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Verdana" w:cs="Verdana" w:eastAsia="Verdana" w:hAnsi="Verdana"/>
          <w:sz w:val="25"/>
          <w:szCs w:val="25"/>
          <w:b w:val="1"/>
          <w:bCs w:val="1"/>
          <w:color w:val="auto"/>
        </w:rPr>
        <w:t>UNITED STATES SECURITIES AND EXCHANGE COMMISSION</w:t>
      </w:r>
    </w:p>
    <w:p>
      <w:pPr>
        <w:jc w:val="center"/>
        <w:spacing w:after="0"/>
        <w:rPr>
          <w:sz w:val="20"/>
          <w:szCs w:val="20"/>
          <w:color w:val="auto"/>
        </w:rPr>
      </w:pPr>
      <w:r>
        <w:rPr>
          <w:rFonts w:ascii="Verdana" w:cs="Verdana" w:eastAsia="Verdana" w:hAnsi="Verdana"/>
          <w:sz w:val="14"/>
          <w:szCs w:val="14"/>
          <w:b w:val="1"/>
          <w:bCs w:val="1"/>
          <w:color w:val="auto"/>
        </w:rPr>
        <w:t>WASHINGTON, DC 20549</w:t>
      </w:r>
    </w:p>
    <w:p>
      <w:pPr>
        <w:spacing w:after="0" w:line="124" w:lineRule="exact"/>
        <w:rPr>
          <w:sz w:val="24"/>
          <w:szCs w:val="24"/>
          <w:color w:val="auto"/>
        </w:rPr>
      </w:pPr>
    </w:p>
    <w:p>
      <w:pPr>
        <w:jc w:val="center"/>
        <w:spacing w:after="0"/>
        <w:rPr>
          <w:sz w:val="20"/>
          <w:szCs w:val="20"/>
          <w:color w:val="auto"/>
        </w:rPr>
      </w:pPr>
      <w:r>
        <w:rPr>
          <w:rFonts w:ascii="Verdana" w:cs="Verdana" w:eastAsia="Verdana" w:hAnsi="Verdana"/>
          <w:sz w:val="25"/>
          <w:szCs w:val="25"/>
          <w:b w:val="1"/>
          <w:bCs w:val="1"/>
          <w:color w:val="auto"/>
        </w:rPr>
        <w:t>FORM 10-Q</w:t>
      </w:r>
    </w:p>
    <w:p>
      <w:pPr>
        <w:ind w:left="580" w:hanging="376"/>
        <w:spacing w:after="0" w:line="211" w:lineRule="auto"/>
        <w:tabs>
          <w:tab w:leader="none" w:pos="580" w:val="left"/>
        </w:tabs>
        <w:numPr>
          <w:ilvl w:val="0"/>
          <w:numId w:val="1"/>
        </w:numPr>
        <w:rPr>
          <w:rFonts w:ascii="MS PGothic" w:cs="MS PGothic" w:eastAsia="MS PGothic" w:hAnsi="MS PGothic"/>
          <w:sz w:val="36"/>
          <w:szCs w:val="36"/>
          <w:color w:val="auto"/>
          <w:highlight w:val="black"/>
          <w:vertAlign w:val="subscript"/>
        </w:rPr>
      </w:pPr>
      <w:r>
        <w:rPr>
          <w:rFonts w:ascii="Verdana" w:cs="Verdana" w:eastAsia="Verdana" w:hAnsi="Verdana"/>
          <w:sz w:val="14"/>
          <w:szCs w:val="14"/>
          <w:b w:val="1"/>
          <w:bCs w:val="1"/>
          <w:color w:val="auto"/>
        </w:rPr>
        <w:t>Quarterly Report Pursuant to Section 13 or 15(d) of the Securities Exchange Act of 1934</w:t>
      </w:r>
    </w:p>
    <w:p>
      <w:pPr>
        <w:spacing w:after="0" w:line="341" w:lineRule="exact"/>
        <w:rPr>
          <w:sz w:val="24"/>
          <w:szCs w:val="24"/>
          <w:color w:val="auto"/>
        </w:rPr>
      </w:pPr>
    </w:p>
    <w:p>
      <w:pPr>
        <w:jc w:val="center"/>
        <w:spacing w:after="0"/>
        <w:rPr>
          <w:sz w:val="20"/>
          <w:szCs w:val="20"/>
          <w:color w:val="auto"/>
        </w:rPr>
      </w:pPr>
      <w:r>
        <w:rPr>
          <w:rFonts w:ascii="Verdana" w:cs="Verdana" w:eastAsia="Verdana" w:hAnsi="Verdana"/>
          <w:sz w:val="14"/>
          <w:szCs w:val="14"/>
          <w:b w:val="1"/>
          <w:bCs w:val="1"/>
          <w:color w:val="auto"/>
        </w:rPr>
        <w:t>For the Quarterly Period Ended March 31, 2024</w:t>
      </w:r>
    </w:p>
    <w:p>
      <w:pPr>
        <w:spacing w:after="0" w:line="8" w:lineRule="exact"/>
        <w:rPr>
          <w:sz w:val="24"/>
          <w:szCs w:val="24"/>
          <w:color w:val="auto"/>
        </w:rPr>
      </w:pPr>
    </w:p>
    <w:p>
      <w:pPr>
        <w:ind w:left="580" w:hanging="375"/>
        <w:spacing w:after="0"/>
        <w:tabs>
          <w:tab w:leader="none" w:pos="580" w:val="left"/>
        </w:tabs>
        <w:numPr>
          <w:ilvl w:val="0"/>
          <w:numId w:val="2"/>
        </w:numPr>
        <w:rPr>
          <w:rFonts w:ascii="Wingdings" w:cs="Wingdings" w:eastAsia="Wingdings" w:hAnsi="Wingdings"/>
          <w:sz w:val="36"/>
          <w:szCs w:val="36"/>
          <w:b w:val="1"/>
          <w:bCs w:val="1"/>
          <w:color w:val="auto"/>
          <w:highlight w:val="black"/>
          <w:vertAlign w:val="subscript"/>
        </w:rPr>
      </w:pPr>
      <w:r>
        <w:rPr>
          <w:rFonts w:ascii="Verdana" w:cs="Verdana" w:eastAsia="Verdana" w:hAnsi="Verdana"/>
          <w:sz w:val="14"/>
          <w:szCs w:val="14"/>
          <w:b w:val="1"/>
          <w:bCs w:val="1"/>
          <w:color w:val="auto"/>
        </w:rPr>
        <w:t>Transition Report Pursuant to Section 13 or 15(d) of the Securities Exchange Act of 1934</w:t>
      </w:r>
    </w:p>
    <w:p>
      <w:pPr>
        <w:spacing w:after="0" w:line="326" w:lineRule="exact"/>
        <w:rPr>
          <w:sz w:val="24"/>
          <w:szCs w:val="24"/>
          <w:color w:val="auto"/>
        </w:rPr>
      </w:pPr>
    </w:p>
    <w:p>
      <w:pPr>
        <w:jc w:val="center"/>
        <w:spacing w:after="0"/>
        <w:rPr>
          <w:sz w:val="20"/>
          <w:szCs w:val="20"/>
          <w:color w:val="auto"/>
        </w:rPr>
      </w:pPr>
      <w:r>
        <w:rPr>
          <w:rFonts w:ascii="Verdana" w:cs="Verdana" w:eastAsia="Verdana" w:hAnsi="Verdana"/>
          <w:sz w:val="14"/>
          <w:szCs w:val="14"/>
          <w:color w:val="auto"/>
        </w:rPr>
        <w:t>Commission File No. 0-15950</w:t>
      </w:r>
    </w:p>
    <w:p>
      <w:pPr>
        <w:spacing w:after="0" w:line="165" w:lineRule="exact"/>
        <w:rPr>
          <w:sz w:val="24"/>
          <w:szCs w:val="24"/>
          <w:color w:val="auto"/>
        </w:rPr>
      </w:pPr>
    </w:p>
    <w:p>
      <w:pPr>
        <w:jc w:val="center"/>
        <w:spacing w:after="0"/>
        <w:rPr>
          <w:sz w:val="20"/>
          <w:szCs w:val="20"/>
          <w:color w:val="auto"/>
        </w:rPr>
      </w:pPr>
      <w:r>
        <w:rPr>
          <w:rFonts w:ascii="Verdana" w:cs="Verdana" w:eastAsia="Verdana" w:hAnsi="Verdana"/>
          <w:sz w:val="25"/>
          <w:szCs w:val="25"/>
          <w:b w:val="1"/>
          <w:bCs w:val="1"/>
          <w:color w:val="auto"/>
        </w:rPr>
        <w:t>FIRST BUSEY CORPORATION</w:t>
      </w:r>
    </w:p>
    <w:p>
      <w:pPr>
        <w:spacing w:after="0" w:line="9" w:lineRule="exact"/>
        <w:rPr>
          <w:sz w:val="24"/>
          <w:szCs w:val="24"/>
          <w:color w:val="auto"/>
        </w:rPr>
      </w:pPr>
    </w:p>
    <w:p>
      <w:pPr>
        <w:jc w:val="center"/>
        <w:spacing w:after="0"/>
        <w:rPr>
          <w:sz w:val="20"/>
          <w:szCs w:val="20"/>
          <w:color w:val="auto"/>
        </w:rPr>
      </w:pPr>
      <w:r>
        <w:rPr>
          <w:rFonts w:ascii="Verdana" w:cs="Verdana" w:eastAsia="Verdana" w:hAnsi="Verdana"/>
          <w:sz w:val="14"/>
          <w:szCs w:val="14"/>
          <w:color w:val="auto"/>
        </w:rPr>
        <w:t>(Exact name of registrant as specified in its charter)</w:t>
      </w:r>
    </w:p>
    <w:p>
      <w:pPr>
        <w:spacing w:after="0" w:line="221" w:lineRule="exact"/>
        <w:rPr>
          <w:sz w:val="24"/>
          <w:szCs w:val="24"/>
          <w:color w:val="auto"/>
        </w:rPr>
      </w:pPr>
    </w:p>
    <w:tbl>
      <w:tblPr>
        <w:tblLayout w:type="fixed"/>
        <w:tblInd w:w="660" w:type="dxa"/>
        <w:tblCellMar>
          <w:top w:w="0" w:type="dxa"/>
          <w:left w:w="0" w:type="dxa"/>
          <w:bottom w:w="0" w:type="dxa"/>
          <w:right w:w="0" w:type="dxa"/>
        </w:tblCellMar>
      </w:tblPr>
      <w:tr>
        <w:trPr>
          <w:trHeight w:val="187"/>
        </w:trPr>
        <w:tc>
          <w:tcPr>
            <w:tcW w:w="5400" w:type="dxa"/>
            <w:vAlign w:val="bottom"/>
          </w:tcPr>
          <w:p>
            <w:pPr>
              <w:jc w:val="center"/>
              <w:ind w:right="1008"/>
              <w:spacing w:after="0"/>
              <w:rPr>
                <w:sz w:val="20"/>
                <w:szCs w:val="20"/>
                <w:color w:val="auto"/>
              </w:rPr>
            </w:pPr>
            <w:r>
              <w:rPr>
                <w:rFonts w:ascii="Verdana" w:cs="Verdana" w:eastAsia="Verdana" w:hAnsi="Verdana"/>
                <w:sz w:val="14"/>
                <w:szCs w:val="14"/>
                <w:b w:val="1"/>
                <w:bCs w:val="1"/>
                <w:color w:val="auto"/>
              </w:rPr>
              <w:t>Nevada</w:t>
            </w:r>
          </w:p>
        </w:tc>
        <w:tc>
          <w:tcPr>
            <w:tcW w:w="3660" w:type="dxa"/>
            <w:vAlign w:val="bottom"/>
          </w:tcPr>
          <w:p>
            <w:pPr>
              <w:jc w:val="right"/>
              <w:ind w:right="728"/>
              <w:spacing w:after="0"/>
              <w:rPr>
                <w:sz w:val="20"/>
                <w:szCs w:val="20"/>
                <w:color w:val="auto"/>
              </w:rPr>
            </w:pPr>
            <w:r>
              <w:rPr>
                <w:rFonts w:ascii="Verdana" w:cs="Verdana" w:eastAsia="Verdana" w:hAnsi="Verdana"/>
                <w:sz w:val="14"/>
                <w:szCs w:val="14"/>
                <w:b w:val="1"/>
                <w:bCs w:val="1"/>
                <w:color w:val="auto"/>
              </w:rPr>
              <w:t>37-1078406</w:t>
            </w:r>
          </w:p>
        </w:tc>
        <w:tc>
          <w:tcPr>
            <w:tcW w:w="0" w:type="dxa"/>
            <w:vAlign w:val="bottom"/>
          </w:tcPr>
          <w:p>
            <w:pPr>
              <w:spacing w:after="0"/>
              <w:rPr>
                <w:sz w:val="1"/>
                <w:szCs w:val="1"/>
                <w:color w:val="auto"/>
              </w:rPr>
            </w:pPr>
          </w:p>
        </w:tc>
      </w:tr>
      <w:tr>
        <w:trPr>
          <w:trHeight w:val="189"/>
        </w:trPr>
        <w:tc>
          <w:tcPr>
            <w:tcW w:w="5400" w:type="dxa"/>
            <w:vAlign w:val="bottom"/>
          </w:tcPr>
          <w:p>
            <w:pPr>
              <w:jc w:val="center"/>
              <w:ind w:right="1008"/>
              <w:spacing w:after="0"/>
              <w:rPr>
                <w:sz w:val="20"/>
                <w:szCs w:val="20"/>
                <w:color w:val="auto"/>
              </w:rPr>
            </w:pPr>
            <w:r>
              <w:rPr>
                <w:rFonts w:ascii="Verdana" w:cs="Verdana" w:eastAsia="Verdana" w:hAnsi="Verdana"/>
                <w:sz w:val="14"/>
                <w:szCs w:val="14"/>
                <w:color w:val="auto"/>
              </w:rPr>
              <w:t>(State or other jurisdiction of incorporation or organization)</w:t>
            </w:r>
          </w:p>
        </w:tc>
        <w:tc>
          <w:tcPr>
            <w:tcW w:w="3660" w:type="dxa"/>
            <w:vAlign w:val="bottom"/>
          </w:tcPr>
          <w:p>
            <w:pPr>
              <w:jc w:val="center"/>
              <w:ind w:left="1008"/>
              <w:spacing w:after="0"/>
              <w:rPr>
                <w:sz w:val="20"/>
                <w:szCs w:val="20"/>
                <w:color w:val="auto"/>
              </w:rPr>
            </w:pPr>
            <w:r>
              <w:rPr>
                <w:rFonts w:ascii="Verdana" w:cs="Verdana" w:eastAsia="Verdana" w:hAnsi="Verdana"/>
                <w:sz w:val="14"/>
                <w:szCs w:val="14"/>
                <w:color w:val="auto"/>
              </w:rPr>
              <w:t>(I.R.S. Employer Identification No.)</w:t>
            </w:r>
          </w:p>
        </w:tc>
        <w:tc>
          <w:tcPr>
            <w:tcW w:w="0" w:type="dxa"/>
            <w:vAlign w:val="bottom"/>
          </w:tcPr>
          <w:p>
            <w:pPr>
              <w:spacing w:after="0"/>
              <w:rPr>
                <w:sz w:val="1"/>
                <w:szCs w:val="1"/>
                <w:color w:val="auto"/>
              </w:rPr>
            </w:pPr>
          </w:p>
        </w:tc>
      </w:tr>
      <w:tr>
        <w:trPr>
          <w:trHeight w:val="147"/>
        </w:trPr>
        <w:tc>
          <w:tcPr>
            <w:tcW w:w="5400" w:type="dxa"/>
            <w:vAlign w:val="bottom"/>
          </w:tcPr>
          <w:p>
            <w:pPr>
              <w:jc w:val="center"/>
              <w:ind w:right="1008"/>
              <w:spacing w:after="0" w:line="147" w:lineRule="exact"/>
              <w:rPr>
                <w:sz w:val="20"/>
                <w:szCs w:val="20"/>
                <w:color w:val="auto"/>
              </w:rPr>
            </w:pPr>
            <w:r>
              <w:rPr>
                <w:rFonts w:ascii="Verdana" w:cs="Verdana" w:eastAsia="Verdana" w:hAnsi="Verdana"/>
                <w:sz w:val="14"/>
                <w:szCs w:val="14"/>
                <w:color w:val="auto"/>
              </w:rPr>
              <w:t>100 W. University Ave.</w:t>
            </w:r>
          </w:p>
        </w:tc>
        <w:tc>
          <w:tcPr>
            <w:tcW w:w="3660" w:type="dxa"/>
            <w:vAlign w:val="bottom"/>
            <w:vMerge w:val="restart"/>
          </w:tcPr>
          <w:p>
            <w:pPr>
              <w:jc w:val="right"/>
              <w:ind w:right="988"/>
              <w:spacing w:after="0"/>
              <w:rPr>
                <w:sz w:val="20"/>
                <w:szCs w:val="20"/>
                <w:color w:val="auto"/>
              </w:rPr>
            </w:pPr>
            <w:r>
              <w:rPr>
                <w:rFonts w:ascii="Verdana" w:cs="Verdana" w:eastAsia="Verdana" w:hAnsi="Verdana"/>
                <w:sz w:val="14"/>
                <w:szCs w:val="14"/>
                <w:color w:val="auto"/>
              </w:rPr>
              <w:t>61820</w:t>
            </w:r>
          </w:p>
        </w:tc>
        <w:tc>
          <w:tcPr>
            <w:tcW w:w="0" w:type="dxa"/>
            <w:vAlign w:val="bottom"/>
          </w:tcPr>
          <w:p>
            <w:pPr>
              <w:spacing w:after="0"/>
              <w:rPr>
                <w:sz w:val="1"/>
                <w:szCs w:val="1"/>
                <w:color w:val="auto"/>
              </w:rPr>
            </w:pPr>
          </w:p>
        </w:tc>
      </w:tr>
      <w:tr>
        <w:trPr>
          <w:trHeight w:val="179"/>
        </w:trPr>
        <w:tc>
          <w:tcPr>
            <w:tcW w:w="5400" w:type="dxa"/>
            <w:vAlign w:val="bottom"/>
          </w:tcPr>
          <w:p>
            <w:pPr>
              <w:jc w:val="center"/>
              <w:ind w:right="1008"/>
              <w:spacing w:after="0"/>
              <w:rPr>
                <w:sz w:val="20"/>
                <w:szCs w:val="20"/>
                <w:color w:val="auto"/>
              </w:rPr>
            </w:pPr>
            <w:r>
              <w:rPr>
                <w:rFonts w:ascii="Verdana" w:cs="Verdana" w:eastAsia="Verdana" w:hAnsi="Verdana"/>
                <w:sz w:val="14"/>
                <w:szCs w:val="14"/>
                <w:color w:val="auto"/>
              </w:rPr>
              <w:t>Champaign, Illinois</w:t>
            </w:r>
          </w:p>
        </w:tc>
        <w:tc>
          <w:tcPr>
            <w:tcW w:w="3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00" w:type="dxa"/>
            <w:vAlign w:val="bottom"/>
          </w:tcPr>
          <w:p>
            <w:pPr>
              <w:jc w:val="center"/>
              <w:ind w:right="1008"/>
              <w:spacing w:after="0"/>
              <w:rPr>
                <w:sz w:val="20"/>
                <w:szCs w:val="20"/>
                <w:color w:val="auto"/>
              </w:rPr>
            </w:pPr>
            <w:r>
              <w:rPr>
                <w:rFonts w:ascii="Verdana" w:cs="Verdana" w:eastAsia="Verdana" w:hAnsi="Verdana"/>
                <w:sz w:val="14"/>
                <w:szCs w:val="14"/>
                <w:color w:val="auto"/>
              </w:rPr>
              <w:t>(Address of principal executive offices)</w:t>
            </w:r>
          </w:p>
        </w:tc>
        <w:tc>
          <w:tcPr>
            <w:tcW w:w="3660" w:type="dxa"/>
            <w:vAlign w:val="bottom"/>
          </w:tcPr>
          <w:p>
            <w:pPr>
              <w:jc w:val="center"/>
              <w:ind w:left="1008"/>
              <w:spacing w:after="0"/>
              <w:rPr>
                <w:sz w:val="20"/>
                <w:szCs w:val="20"/>
                <w:color w:val="auto"/>
              </w:rPr>
            </w:pPr>
            <w:r>
              <w:rPr>
                <w:rFonts w:ascii="Verdana" w:cs="Verdana" w:eastAsia="Verdana" w:hAnsi="Verdana"/>
                <w:sz w:val="14"/>
                <w:szCs w:val="14"/>
                <w:color w:val="auto"/>
              </w:rPr>
              <w:t>(Zip code)</w:t>
            </w:r>
          </w:p>
        </w:tc>
        <w:tc>
          <w:tcPr>
            <w:tcW w:w="0" w:type="dxa"/>
            <w:vAlign w:val="bottom"/>
          </w:tcPr>
          <w:p>
            <w:pPr>
              <w:spacing w:after="0"/>
              <w:rPr>
                <w:sz w:val="1"/>
                <w:szCs w:val="1"/>
                <w:color w:val="auto"/>
              </w:rPr>
            </w:pPr>
          </w:p>
        </w:tc>
      </w:tr>
    </w:tbl>
    <w:p>
      <w:pPr>
        <w:spacing w:after="0" w:line="205" w:lineRule="exact"/>
        <w:rPr>
          <w:sz w:val="24"/>
          <w:szCs w:val="24"/>
          <w:color w:val="auto"/>
        </w:rPr>
      </w:pPr>
    </w:p>
    <w:p>
      <w:pPr>
        <w:ind w:left="3060"/>
        <w:spacing w:after="0"/>
        <w:rPr>
          <w:sz w:val="20"/>
          <w:szCs w:val="20"/>
          <w:color w:val="auto"/>
        </w:rPr>
      </w:pPr>
      <w:r>
        <w:rPr>
          <w:rFonts w:ascii="Verdana" w:cs="Verdana" w:eastAsia="Verdana" w:hAnsi="Verdana"/>
          <w:sz w:val="14"/>
          <w:szCs w:val="14"/>
          <w:color w:val="auto"/>
        </w:rPr>
        <w:t xml:space="preserve">Registrant’s telephone number, including area code: </w:t>
      </w:r>
      <w:r>
        <w:rPr>
          <w:rFonts w:ascii="Verdana" w:cs="Verdana" w:eastAsia="Verdana" w:hAnsi="Verdana"/>
          <w:sz w:val="14"/>
          <w:szCs w:val="14"/>
          <w:b w:val="1"/>
          <w:bCs w:val="1"/>
          <w:color w:val="auto"/>
        </w:rPr>
        <w:t>(217) 365-4544</w:t>
      </w:r>
    </w:p>
    <w:p>
      <w:pPr>
        <w:spacing w:after="0" w:line="92" w:lineRule="exact"/>
        <w:rPr>
          <w:sz w:val="24"/>
          <w:szCs w:val="24"/>
          <w:color w:val="auto"/>
        </w:rPr>
      </w:pPr>
    </w:p>
    <w:p>
      <w:pPr>
        <w:ind w:left="5480"/>
        <w:spacing w:after="0"/>
        <w:rPr>
          <w:sz w:val="20"/>
          <w:szCs w:val="20"/>
          <w:color w:val="auto"/>
        </w:rPr>
      </w:pPr>
      <w:r>
        <w:rPr>
          <w:rFonts w:ascii="Verdana" w:cs="Verdana" w:eastAsia="Verdana" w:hAnsi="Verdana"/>
          <w:sz w:val="14"/>
          <w:szCs w:val="14"/>
          <w:color w:val="auto"/>
        </w:rPr>
        <w:t>N/A</w:t>
      </w:r>
    </w:p>
    <w:p>
      <w:pPr>
        <w:jc w:val="center"/>
        <w:spacing w:after="0"/>
        <w:rPr>
          <w:sz w:val="20"/>
          <w:szCs w:val="20"/>
          <w:color w:val="auto"/>
        </w:rPr>
      </w:pPr>
      <w:r>
        <w:rPr>
          <w:rFonts w:ascii="Verdana" w:cs="Verdana" w:eastAsia="Verdana" w:hAnsi="Verdana"/>
          <w:sz w:val="14"/>
          <w:szCs w:val="14"/>
          <w:color w:val="auto"/>
        </w:rPr>
        <w:t>(Former name, former address, and former fiscal year, if changed since last report)</w:t>
      </w:r>
    </w:p>
    <w:p>
      <w:pPr>
        <w:spacing w:after="0" w:line="200" w:lineRule="exact"/>
        <w:rPr>
          <w:sz w:val="24"/>
          <w:szCs w:val="24"/>
          <w:color w:val="auto"/>
        </w:rPr>
      </w:pPr>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700" w:type="dxa"/>
            <w:vAlign w:val="bottom"/>
            <w:gridSpan w:val="3"/>
          </w:tcPr>
          <w:p>
            <w:pPr>
              <w:ind w:left="340"/>
              <w:spacing w:after="0"/>
              <w:rPr>
                <w:sz w:val="20"/>
                <w:szCs w:val="20"/>
                <w:color w:val="auto"/>
              </w:rPr>
            </w:pPr>
            <w:r>
              <w:rPr>
                <w:rFonts w:ascii="Verdana" w:cs="Verdana" w:eastAsia="Verdana" w:hAnsi="Verdana"/>
                <w:sz w:val="14"/>
                <w:szCs w:val="14"/>
                <w:color w:val="auto"/>
              </w:rPr>
              <w:t>Securities registered pursuant to Section 12(b) of the Act:</w:t>
            </w: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0" w:type="dxa"/>
            <w:vAlign w:val="bottom"/>
          </w:tcPr>
          <w:p>
            <w:pPr>
              <w:spacing w:after="0"/>
              <w:rPr>
                <w:sz w:val="16"/>
                <w:szCs w:val="16"/>
                <w:color w:val="auto"/>
              </w:rPr>
            </w:pPr>
          </w:p>
        </w:tc>
      </w:tr>
      <w:tr>
        <w:trPr>
          <w:trHeight w:val="336"/>
        </w:trPr>
        <w:tc>
          <w:tcPr>
            <w:tcW w:w="438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Title of each class</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center"/>
              <w:ind w:right="148"/>
              <w:spacing w:after="0"/>
              <w:rPr>
                <w:sz w:val="20"/>
                <w:szCs w:val="20"/>
                <w:color w:val="auto"/>
              </w:rPr>
            </w:pPr>
            <w:r>
              <w:rPr>
                <w:rFonts w:ascii="Verdana" w:cs="Verdana" w:eastAsia="Verdana" w:hAnsi="Verdana"/>
                <w:sz w:val="14"/>
                <w:szCs w:val="14"/>
                <w:b w:val="1"/>
                <w:bCs w:val="1"/>
                <w:color w:val="auto"/>
              </w:rPr>
              <w:t>Trading Symbol (s)</w:t>
            </w:r>
          </w:p>
        </w:tc>
        <w:tc>
          <w:tcPr>
            <w:tcW w:w="10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Name of each exchange on which registered</w:t>
            </w:r>
          </w:p>
        </w:tc>
      </w:tr>
      <w:tr>
        <w:trPr>
          <w:trHeight w:val="184"/>
        </w:trPr>
        <w:tc>
          <w:tcPr>
            <w:tcW w:w="4700" w:type="dxa"/>
            <w:vAlign w:val="bottom"/>
            <w:gridSpan w:val="3"/>
          </w:tcPr>
          <w:p>
            <w:pPr>
              <w:jc w:val="center"/>
              <w:ind w:right="320"/>
              <w:spacing w:after="0"/>
              <w:rPr>
                <w:sz w:val="20"/>
                <w:szCs w:val="20"/>
                <w:color w:val="auto"/>
              </w:rPr>
            </w:pPr>
            <w:r>
              <w:rPr>
                <w:rFonts w:ascii="Verdana" w:cs="Verdana" w:eastAsia="Verdana" w:hAnsi="Verdana"/>
                <w:sz w:val="14"/>
                <w:szCs w:val="14"/>
                <w:color w:val="auto"/>
              </w:rPr>
              <w:t>Common Stock, $.001 par value</w:t>
            </w:r>
          </w:p>
        </w:tc>
        <w:tc>
          <w:tcPr>
            <w:tcW w:w="2140" w:type="dxa"/>
            <w:vAlign w:val="bottom"/>
            <w:gridSpan w:val="2"/>
          </w:tcPr>
          <w:p>
            <w:pPr>
              <w:jc w:val="center"/>
              <w:ind w:right="320"/>
              <w:spacing w:after="0"/>
              <w:rPr>
                <w:sz w:val="20"/>
                <w:szCs w:val="20"/>
                <w:color w:val="auto"/>
              </w:rPr>
            </w:pPr>
            <w:r>
              <w:rPr>
                <w:rFonts w:ascii="Verdana" w:cs="Verdana" w:eastAsia="Verdana" w:hAnsi="Verdana"/>
                <w:sz w:val="14"/>
                <w:szCs w:val="14"/>
                <w:color w:val="auto"/>
                <w:w w:val="98"/>
              </w:rPr>
              <w:t>BUSE</w:t>
            </w:r>
          </w:p>
        </w:tc>
        <w:tc>
          <w:tcPr>
            <w:tcW w:w="4400" w:type="dxa"/>
            <w:vAlign w:val="bottom"/>
          </w:tcPr>
          <w:p>
            <w:pPr>
              <w:jc w:val="center"/>
              <w:spacing w:after="0"/>
              <w:rPr>
                <w:sz w:val="20"/>
                <w:szCs w:val="20"/>
                <w:color w:val="auto"/>
              </w:rPr>
            </w:pPr>
            <w:r>
              <w:rPr>
                <w:rFonts w:ascii="Verdana" w:cs="Verdana" w:eastAsia="Verdana" w:hAnsi="Verdana"/>
                <w:sz w:val="14"/>
                <w:szCs w:val="14"/>
                <w:color w:val="auto"/>
              </w:rPr>
              <w:t>The Nasdaq Stock Market LLC</w:t>
            </w:r>
          </w:p>
        </w:tc>
      </w:tr>
    </w:tbl>
    <w:p>
      <w:pPr>
        <w:spacing w:after="0" w:line="245" w:lineRule="exact"/>
        <w:rPr>
          <w:sz w:val="24"/>
          <w:szCs w:val="24"/>
          <w:color w:val="auto"/>
        </w:rPr>
      </w:pPr>
    </w:p>
    <w:p>
      <w:pPr>
        <w:jc w:val="both"/>
        <w:spacing w:after="0" w:line="212" w:lineRule="auto"/>
        <w:rPr>
          <w:sz w:val="20"/>
          <w:szCs w:val="20"/>
          <w:color w:val="auto"/>
        </w:rPr>
      </w:pPr>
      <w:r>
        <w:rPr>
          <w:rFonts w:ascii="Verdana" w:cs="Verdana" w:eastAsia="Verdana" w:hAnsi="Verdana"/>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rPr>
          <w:sz w:val="20"/>
          <w:szCs w:val="20"/>
          <w:color w:val="auto"/>
        </w:rPr>
      </w:pPr>
      <w:r>
        <w:rPr>
          <w:rFonts w:ascii="Verdana" w:cs="Verdana" w:eastAsia="Verdana" w:hAnsi="Verdana"/>
          <w:sz w:val="14"/>
          <w:szCs w:val="14"/>
          <w:color w:val="auto"/>
        </w:rPr>
        <w:t xml:space="preserve">requirements for the past 90 days. Yes </w:t>
      </w:r>
      <w:r>
        <w:rPr>
          <w:rFonts w:ascii="MS PGothic" w:cs="MS PGothic" w:eastAsia="MS PGothic" w:hAnsi="MS PGothic"/>
          <w:sz w:val="17"/>
          <w:szCs w:val="17"/>
          <w:color w:val="auto"/>
        </w:rPr>
        <w:t>☑</w:t>
      </w:r>
      <w:r>
        <w:rPr>
          <w:rFonts w:ascii="Verdana" w:cs="Verdana" w:eastAsia="Verdana" w:hAnsi="Verdana"/>
          <w:sz w:val="14"/>
          <w:szCs w:val="14"/>
          <w:color w:val="auto"/>
        </w:rPr>
        <w:t xml:space="preserve"> No </w:t>
      </w:r>
      <w:r>
        <w:rPr>
          <w:rFonts w:ascii="Wingdings" w:cs="Wingdings" w:eastAsia="Wingdings" w:hAnsi="Wingdings"/>
          <w:sz w:val="17"/>
          <w:szCs w:val="17"/>
          <w:b w:val="1"/>
          <w:bCs w:val="1"/>
          <w:color w:val="auto"/>
        </w:rPr>
        <w:t>o</w:t>
      </w:r>
    </w:p>
    <w:p>
      <w:pPr>
        <w:spacing w:after="0" w:line="113" w:lineRule="exact"/>
        <w:rPr>
          <w:sz w:val="24"/>
          <w:szCs w:val="24"/>
          <w:color w:val="auto"/>
        </w:rPr>
      </w:pPr>
    </w:p>
    <w:p>
      <w:pPr>
        <w:jc w:val="both"/>
        <w:ind w:right="20"/>
        <w:spacing w:after="0" w:line="203" w:lineRule="auto"/>
        <w:rPr>
          <w:sz w:val="20"/>
          <w:szCs w:val="20"/>
          <w:color w:val="auto"/>
        </w:rPr>
      </w:pPr>
      <w:r>
        <w:rPr>
          <w:rFonts w:ascii="Verdana" w:cs="Verdana" w:eastAsia="Verdana" w:hAnsi="Verdana"/>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rPr>
          <w:sz w:val="20"/>
          <w:szCs w:val="20"/>
          <w:color w:val="auto"/>
        </w:rPr>
      </w:pPr>
      <w:r>
        <w:rPr>
          <w:rFonts w:ascii="Verdana" w:cs="Verdana" w:eastAsia="Verdana" w:hAnsi="Verdana"/>
          <w:sz w:val="14"/>
          <w:szCs w:val="14"/>
          <w:color w:val="auto"/>
        </w:rPr>
        <w:t xml:space="preserve">files). Yes </w:t>
      </w:r>
      <w:r>
        <w:rPr>
          <w:rFonts w:ascii="MS PGothic" w:cs="MS PGothic" w:eastAsia="MS PGothic" w:hAnsi="MS PGothic"/>
          <w:sz w:val="17"/>
          <w:szCs w:val="17"/>
          <w:color w:val="auto"/>
        </w:rPr>
        <w:t>☑</w:t>
      </w:r>
      <w:r>
        <w:rPr>
          <w:rFonts w:ascii="Verdana" w:cs="Verdana" w:eastAsia="Verdana" w:hAnsi="Verdana"/>
          <w:sz w:val="14"/>
          <w:szCs w:val="14"/>
          <w:color w:val="auto"/>
        </w:rPr>
        <w:t xml:space="preserve"> No </w:t>
      </w:r>
      <w:r>
        <w:rPr>
          <w:rFonts w:ascii="Wingdings" w:cs="Wingdings" w:eastAsia="Wingdings" w:hAnsi="Wingdings"/>
          <w:sz w:val="17"/>
          <w:szCs w:val="17"/>
          <w:b w:val="1"/>
          <w:bCs w:val="1"/>
          <w:color w:val="auto"/>
        </w:rPr>
        <w:t>o</w:t>
      </w:r>
    </w:p>
    <w:p>
      <w:pPr>
        <w:spacing w:after="0" w:line="113" w:lineRule="exact"/>
        <w:rPr>
          <w:sz w:val="24"/>
          <w:szCs w:val="24"/>
          <w:color w:val="auto"/>
        </w:rPr>
      </w:pPr>
    </w:p>
    <w:p>
      <w:pPr>
        <w:jc w:val="both"/>
        <w:spacing w:after="0" w:line="221" w:lineRule="auto"/>
        <w:rPr>
          <w:sz w:val="20"/>
          <w:szCs w:val="20"/>
          <w:color w:val="auto"/>
        </w:rPr>
      </w:pPr>
      <w:r>
        <w:rPr>
          <w:rFonts w:ascii="Verdana" w:cs="Verdana" w:eastAsia="Verdana" w:hAnsi="Verdana"/>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10" w:right="339" w:bottom="1440" w:gutter="0" w:footer="0" w:header="0"/>
        </w:sectPr>
      </w:pPr>
    </w:p>
    <w:p>
      <w:pPr>
        <w:spacing w:after="0" w:line="250" w:lineRule="exact"/>
        <w:rPr>
          <w:sz w:val="24"/>
          <w:szCs w:val="24"/>
          <w:color w:val="auto"/>
        </w:rPr>
      </w:pPr>
    </w:p>
    <w:p>
      <w:pPr>
        <w:ind w:left="360"/>
        <w:spacing w:after="0" w:line="207" w:lineRule="exact"/>
        <w:rPr>
          <w:sz w:val="20"/>
          <w:szCs w:val="20"/>
          <w:color w:val="auto"/>
        </w:rPr>
      </w:pPr>
      <w:r>
        <w:rPr>
          <w:rFonts w:ascii="Verdana" w:cs="Verdana" w:eastAsia="Verdana" w:hAnsi="Verdana"/>
          <w:sz w:val="14"/>
          <w:szCs w:val="14"/>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Verdana" w:cs="Verdana" w:eastAsia="Verdana" w:hAnsi="Verdana"/>
          <w:sz w:val="14"/>
          <w:szCs w:val="14"/>
          <w:color w:val="auto"/>
        </w:rPr>
        <w:t xml:space="preserve">Accelerated filer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Verdana" w:cs="Verdana" w:eastAsia="Verdana" w:hAnsi="Verdana"/>
          <w:sz w:val="14"/>
          <w:szCs w:val="14"/>
          <w:color w:val="auto"/>
        </w:rPr>
        <w:t xml:space="preserve">Non-accelerated filer </w:t>
      </w: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3">
            <w:col w:w="3240" w:space="720"/>
            <w:col w:w="2940" w:space="720"/>
            <w:col w:w="3620"/>
          </w:cols>
          <w:pgMar w:left="320" w:top="310" w:right="339" w:bottom="1440" w:gutter="0" w:footer="0" w:header="0"/>
          <w:type w:val="continuous"/>
        </w:sectPr>
      </w:pPr>
    </w:p>
    <w:p>
      <w:pPr>
        <w:spacing w:after="0" w:line="64" w:lineRule="exact"/>
        <w:rPr>
          <w:sz w:val="24"/>
          <w:szCs w:val="24"/>
          <w:color w:val="auto"/>
        </w:rPr>
      </w:pPr>
    </w:p>
    <w:p>
      <w:pPr>
        <w:ind w:left="360"/>
        <w:spacing w:after="0" w:line="207" w:lineRule="exact"/>
        <w:rPr>
          <w:sz w:val="20"/>
          <w:szCs w:val="20"/>
          <w:color w:val="auto"/>
        </w:rPr>
      </w:pPr>
      <w:r>
        <w:rPr>
          <w:rFonts w:ascii="Verdana" w:cs="Verdana" w:eastAsia="Verdana" w:hAnsi="Verdana"/>
          <w:sz w:val="14"/>
          <w:szCs w:val="14"/>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207" w:lineRule="exact"/>
        <w:rPr>
          <w:sz w:val="20"/>
          <w:szCs w:val="20"/>
          <w:color w:val="auto"/>
        </w:rPr>
      </w:pPr>
      <w:r>
        <w:rPr>
          <w:rFonts w:ascii="Verdana" w:cs="Verdana" w:eastAsia="Verdana" w:hAnsi="Verdana"/>
          <w:sz w:val="14"/>
          <w:szCs w:val="14"/>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310" w:right="339" w:bottom="1440" w:gutter="0" w:footer="0" w:header="0"/>
          <w:type w:val="continuous"/>
        </w:sectPr>
      </w:pPr>
    </w:p>
    <w:p>
      <w:pPr>
        <w:spacing w:after="0" w:line="237" w:lineRule="exact"/>
        <w:rPr>
          <w:sz w:val="24"/>
          <w:szCs w:val="24"/>
          <w:color w:val="auto"/>
        </w:rPr>
      </w:pPr>
    </w:p>
    <w:p>
      <w:pPr>
        <w:spacing w:after="0" w:line="230" w:lineRule="auto"/>
        <w:rPr>
          <w:sz w:val="20"/>
          <w:szCs w:val="20"/>
          <w:color w:val="auto"/>
        </w:rPr>
      </w:pPr>
      <w:r>
        <w:rPr>
          <w:rFonts w:ascii="Verdana" w:cs="Verdana" w:eastAsia="Verdana" w:hAnsi="Verdana"/>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62" w:lineRule="exact"/>
        <w:rPr>
          <w:sz w:val="24"/>
          <w:szCs w:val="24"/>
          <w:color w:val="auto"/>
        </w:rPr>
      </w:pPr>
    </w:p>
    <w:p>
      <w:pPr>
        <w:ind w:right="1920"/>
        <w:spacing w:after="0" w:line="280" w:lineRule="exact"/>
        <w:rPr>
          <w:sz w:val="20"/>
          <w:szCs w:val="20"/>
          <w:color w:val="auto"/>
        </w:rPr>
      </w:pPr>
      <w:r>
        <w:rPr>
          <w:rFonts w:ascii="Verdana" w:cs="Verdana" w:eastAsia="Verdana" w:hAnsi="Verdana"/>
          <w:sz w:val="14"/>
          <w:szCs w:val="14"/>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Verdana" w:cs="Verdana" w:eastAsia="Verdana" w:hAnsi="Verdana"/>
          <w:sz w:val="14"/>
          <w:szCs w:val="14"/>
          <w:color w:val="auto"/>
        </w:rPr>
        <w:t xml:space="preserve"> No </w:t>
      </w:r>
      <w:r>
        <w:rPr>
          <w:rFonts w:ascii="MS PGothic" w:cs="MS PGothic" w:eastAsia="MS PGothic" w:hAnsi="MS PGothic"/>
          <w:sz w:val="17"/>
          <w:szCs w:val="17"/>
          <w:color w:val="auto"/>
        </w:rPr>
        <w:t>☑</w:t>
      </w:r>
      <w:r>
        <w:rPr>
          <w:rFonts w:ascii="Verdana" w:cs="Verdana" w:eastAsia="Verdana" w:hAnsi="Verdana"/>
          <w:sz w:val="14"/>
          <w:szCs w:val="14"/>
          <w:color w:val="auto"/>
        </w:rPr>
        <w:t xml:space="preserve"> Indicate the number of shares outstanding of each of the issuer’s classes of common stock, as of the latest practicable date.</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6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Class</w:t>
            </w:r>
          </w:p>
        </w:tc>
        <w:tc>
          <w:tcPr>
            <w:tcW w:w="100" w:type="dxa"/>
            <w:vAlign w:val="bottom"/>
          </w:tcPr>
          <w:p>
            <w:pPr>
              <w:spacing w:after="0"/>
              <w:rPr>
                <w:sz w:val="16"/>
                <w:szCs w:val="16"/>
                <w:color w:val="auto"/>
              </w:rPr>
            </w:pPr>
          </w:p>
        </w:tc>
        <w:tc>
          <w:tcPr>
            <w:tcW w:w="468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Outstanding at May 7, 2024</w:t>
            </w:r>
          </w:p>
        </w:tc>
        <w:tc>
          <w:tcPr>
            <w:tcW w:w="900" w:type="dxa"/>
            <w:vAlign w:val="bottom"/>
            <w:gridSpan w:val="2"/>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60" w:type="dxa"/>
            <w:vAlign w:val="bottom"/>
            <w:gridSpan w:val="2"/>
          </w:tcPr>
          <w:p>
            <w:pPr>
              <w:jc w:val="center"/>
              <w:ind w:right="100"/>
              <w:spacing w:after="0"/>
              <w:rPr>
                <w:sz w:val="20"/>
                <w:szCs w:val="20"/>
                <w:color w:val="auto"/>
              </w:rPr>
            </w:pPr>
            <w:r>
              <w:rPr>
                <w:rFonts w:ascii="Verdana" w:cs="Verdana" w:eastAsia="Verdana" w:hAnsi="Verdana"/>
                <w:sz w:val="14"/>
                <w:szCs w:val="14"/>
                <w:color w:val="auto"/>
              </w:rPr>
              <w:t>Common Stock, $.001 par value</w:t>
            </w:r>
          </w:p>
        </w:tc>
        <w:tc>
          <w:tcPr>
            <w:tcW w:w="4680" w:type="dxa"/>
            <w:vAlign w:val="bottom"/>
          </w:tcPr>
          <w:p>
            <w:pPr>
              <w:jc w:val="right"/>
              <w:ind w:right="1848"/>
              <w:spacing w:after="0"/>
              <w:rPr>
                <w:sz w:val="20"/>
                <w:szCs w:val="20"/>
                <w:color w:val="auto"/>
              </w:rPr>
            </w:pPr>
            <w:r>
              <w:rPr>
                <w:rFonts w:ascii="Verdana" w:cs="Verdana" w:eastAsia="Verdana" w:hAnsi="Verdana"/>
                <w:sz w:val="14"/>
                <w:szCs w:val="14"/>
                <w:color w:val="auto"/>
              </w:rPr>
              <w:t>56,729,312</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23"/>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9"/>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1" w:name="page2"/>
    <w:bookmarkEnd w:id="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b w:val="1"/>
          <w:bCs w:val="1"/>
          <w:color w:val="auto"/>
        </w:rPr>
        <w:t>FIRST BUSEY CORPORATION</w:t>
      </w:r>
    </w:p>
    <w:p>
      <w:pPr>
        <w:jc w:val="center"/>
        <w:ind w:right="-19"/>
        <w:spacing w:after="0" w:line="236" w:lineRule="auto"/>
        <w:rPr>
          <w:sz w:val="20"/>
          <w:szCs w:val="20"/>
          <w:color w:val="auto"/>
        </w:rPr>
      </w:pPr>
      <w:r>
        <w:rPr>
          <w:rFonts w:ascii="Verdana" w:cs="Verdana" w:eastAsia="Verdana" w:hAnsi="Verdana"/>
          <w:sz w:val="18"/>
          <w:szCs w:val="18"/>
          <w:b w:val="1"/>
          <w:bCs w:val="1"/>
          <w:color w:val="auto"/>
        </w:rPr>
        <w:t>FORM 10-Q</w:t>
      </w:r>
    </w:p>
    <w:p>
      <w:pPr>
        <w:spacing w:after="0" w:line="1"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b w:val="1"/>
          <w:bCs w:val="1"/>
          <w:color w:val="auto"/>
        </w:rPr>
        <w:t>March 31, 2024</w:t>
      </w:r>
    </w:p>
    <w:p>
      <w:pPr>
        <w:spacing w:after="0" w:line="51"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b w:val="1"/>
          <w:bCs w:val="1"/>
          <w:color w:val="auto"/>
        </w:rPr>
        <w:t>Table of Contents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1360" w:type="dxa"/>
            <w:vAlign w:val="bottom"/>
            <w:gridSpan w:val="8"/>
          </w:tcPr>
          <w:p>
            <w:pPr>
              <w:spacing w:after="0"/>
              <w:rPr>
                <w:sz w:val="20"/>
                <w:szCs w:val="20"/>
                <w:color w:val="auto"/>
              </w:rPr>
            </w:pPr>
            <w:r>
              <w:rPr>
                <w:rFonts w:ascii="Verdana" w:cs="Verdana" w:eastAsia="Verdana" w:hAnsi="Verdana"/>
                <w:sz w:val="18"/>
                <w:szCs w:val="18"/>
                <w:color w:val="0000FF"/>
              </w:rPr>
              <w:t>GLOSSARY</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3</w:t>
            </w:r>
          </w:p>
        </w:tc>
      </w:tr>
      <w:tr>
        <w:trPr>
          <w:trHeight w:val="412"/>
        </w:trPr>
        <w:tc>
          <w:tcPr>
            <w:tcW w:w="680" w:type="dxa"/>
            <w:vAlign w:val="bottom"/>
            <w:tcBorders>
              <w:top w:val="single" w:sz="8" w:color="0000FF"/>
            </w:tcBorders>
            <w:gridSpan w:val="3"/>
          </w:tcPr>
          <w:p>
            <w:pPr>
              <w:spacing w:after="0"/>
              <w:rPr>
                <w:sz w:val="20"/>
                <w:szCs w:val="20"/>
                <w:color w:val="auto"/>
              </w:rPr>
            </w:pPr>
            <w:r>
              <w:rPr>
                <w:rFonts w:ascii="Verdana" w:cs="Verdana" w:eastAsia="Verdana" w:hAnsi="Verdana"/>
                <w:sz w:val="18"/>
                <w:szCs w:val="18"/>
                <w:color w:val="0000FF"/>
              </w:rPr>
              <w:t>PART I</w:t>
            </w: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33"/>
          </w:tcPr>
          <w:p>
            <w:pPr>
              <w:spacing w:after="0"/>
              <w:rPr>
                <w:sz w:val="20"/>
                <w:szCs w:val="20"/>
                <w:color w:val="auto"/>
              </w:rPr>
            </w:pPr>
            <w:r>
              <w:rPr>
                <w:rFonts w:ascii="Verdana" w:cs="Verdana" w:eastAsia="Verdana" w:hAnsi="Verdana"/>
                <w:sz w:val="18"/>
                <w:szCs w:val="18"/>
                <w:color w:val="0000FF"/>
              </w:rPr>
              <w:t>FINANCIAL INFORMATION</w:t>
            </w:r>
          </w:p>
        </w:tc>
        <w:tc>
          <w:tcPr>
            <w:tcW w:w="440" w:type="dxa"/>
            <w:vAlign w:val="bottom"/>
            <w:gridSpan w:val="2"/>
          </w:tcPr>
          <w:p>
            <w:pPr>
              <w:spacing w:after="0"/>
              <w:rPr>
                <w:sz w:val="24"/>
                <w:szCs w:val="24"/>
                <w:color w:val="auto"/>
              </w:rPr>
            </w:pPr>
          </w:p>
        </w:tc>
        <w:tc>
          <w:tcPr>
            <w:tcW w:w="120" w:type="dxa"/>
            <w:vAlign w:val="bottom"/>
            <w:tcBorders>
              <w:top w:val="single" w:sz="8" w:color="0000FF"/>
            </w:tcBorders>
          </w:tcPr>
          <w:p>
            <w:pPr>
              <w:jc w:val="right"/>
              <w:spacing w:after="0"/>
              <w:rPr>
                <w:sz w:val="20"/>
                <w:szCs w:val="20"/>
                <w:color w:val="auto"/>
              </w:rPr>
            </w:pPr>
            <w:r>
              <w:rPr>
                <w:rFonts w:ascii="Verdana" w:cs="Verdana" w:eastAsia="Verdana" w:hAnsi="Verdana"/>
                <w:sz w:val="18"/>
                <w:szCs w:val="18"/>
                <w:color w:val="0000FF"/>
                <w:w w:val="86"/>
              </w:rPr>
              <w:t>5</w:t>
            </w:r>
          </w:p>
        </w:tc>
      </w:tr>
      <w:tr>
        <w:trPr>
          <w:trHeight w:val="412"/>
        </w:trPr>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0"/>
                <w:szCs w:val="20"/>
                <w:color w:val="auto"/>
              </w:rPr>
            </w:pPr>
            <w:r>
              <w:rPr>
                <w:rFonts w:ascii="Verdana" w:cs="Verdana" w:eastAsia="Verdana" w:hAnsi="Verdana"/>
                <w:sz w:val="18"/>
                <w:szCs w:val="18"/>
                <w:color w:val="0000FF"/>
                <w:w w:val="97"/>
              </w:rPr>
              <w:t>Item</w:t>
            </w:r>
          </w:p>
        </w:tc>
        <w:tc>
          <w:tcPr>
            <w:tcW w:w="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Verdana" w:cs="Verdana" w:eastAsia="Verdana" w:hAnsi="Verdana"/>
                <w:sz w:val="18"/>
                <w:szCs w:val="18"/>
                <w:color w:val="0000FF"/>
                <w:w w:val="77"/>
              </w:rPr>
              <w:t>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Borders>
              <w:top w:val="single" w:sz="8" w:color="0000FF"/>
            </w:tcBorders>
            <w:gridSpan w:val="11"/>
          </w:tcPr>
          <w:p>
            <w:pPr>
              <w:spacing w:after="0"/>
              <w:rPr>
                <w:sz w:val="20"/>
                <w:szCs w:val="20"/>
                <w:color w:val="auto"/>
              </w:rPr>
            </w:pPr>
            <w:r>
              <w:rPr>
                <w:rFonts w:ascii="Verdana" w:cs="Verdana" w:eastAsia="Verdana" w:hAnsi="Verdana"/>
                <w:sz w:val="18"/>
                <w:szCs w:val="18"/>
                <w:color w:val="0000FF"/>
              </w:rPr>
              <w:t>FINANCIAL STATEMENTS</w:t>
            </w:r>
          </w:p>
        </w:tc>
        <w:tc>
          <w:tcPr>
            <w:tcW w:w="6920" w:type="dxa"/>
            <w:vAlign w:val="bottom"/>
            <w:gridSpan w:val="22"/>
          </w:tcPr>
          <w:p>
            <w:pPr>
              <w:spacing w:after="0"/>
              <w:rPr>
                <w:sz w:val="24"/>
                <w:szCs w:val="24"/>
                <w:color w:val="auto"/>
              </w:rPr>
            </w:pPr>
          </w:p>
        </w:tc>
        <w:tc>
          <w:tcPr>
            <w:tcW w:w="440" w:type="dxa"/>
            <w:vAlign w:val="bottom"/>
            <w:gridSpan w:val="2"/>
          </w:tcPr>
          <w:p>
            <w:pPr>
              <w:spacing w:after="0"/>
              <w:rPr>
                <w:sz w:val="24"/>
                <w:szCs w:val="24"/>
                <w:color w:val="auto"/>
              </w:rPr>
            </w:pPr>
          </w:p>
        </w:tc>
        <w:tc>
          <w:tcPr>
            <w:tcW w:w="120" w:type="dxa"/>
            <w:vAlign w:val="bottom"/>
            <w:tcBorders>
              <w:top w:val="single" w:sz="8" w:color="0000FF"/>
            </w:tcBorders>
          </w:tcPr>
          <w:p>
            <w:pPr>
              <w:jc w:val="right"/>
              <w:spacing w:after="0"/>
              <w:rPr>
                <w:sz w:val="20"/>
                <w:szCs w:val="20"/>
                <w:color w:val="auto"/>
              </w:rPr>
            </w:pPr>
            <w:r>
              <w:rPr>
                <w:rFonts w:ascii="Verdana" w:cs="Verdana" w:eastAsia="Verdana" w:hAnsi="Verdana"/>
                <w:sz w:val="18"/>
                <w:szCs w:val="18"/>
                <w:color w:val="0000FF"/>
                <w:w w:val="86"/>
              </w:rPr>
              <w:t>5</w:t>
            </w: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120" w:type="dxa"/>
            <w:vAlign w:val="bottom"/>
            <w:gridSpan w:val="32"/>
          </w:tcPr>
          <w:p>
            <w:pPr>
              <w:spacing w:after="0"/>
              <w:rPr>
                <w:sz w:val="20"/>
                <w:szCs w:val="20"/>
                <w:color w:val="auto"/>
              </w:rPr>
            </w:pPr>
            <w:r>
              <w:rPr>
                <w:rFonts w:ascii="Verdana" w:cs="Verdana" w:eastAsia="Verdana" w:hAnsi="Verdana"/>
                <w:sz w:val="18"/>
                <w:szCs w:val="18"/>
                <w:color w:val="0000FF"/>
              </w:rPr>
              <w:t>CONSOLIDATED BALANCE SHEETS (Unaudited)</w:t>
            </w: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6</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80" w:type="dxa"/>
            <w:vAlign w:val="bottom"/>
            <w:tcBorders>
              <w:bottom w:val="single" w:sz="8" w:color="0000FF"/>
            </w:tcBorders>
            <w:gridSpan w:val="22"/>
          </w:tcPr>
          <w:p>
            <w:pPr>
              <w:spacing w:after="0"/>
              <w:rPr>
                <w:sz w:val="20"/>
                <w:szCs w:val="20"/>
                <w:color w:val="auto"/>
              </w:rPr>
            </w:pPr>
            <w:r>
              <w:rPr>
                <w:rFonts w:ascii="Verdana" w:cs="Verdana" w:eastAsia="Verdana" w:hAnsi="Verdana"/>
                <w:sz w:val="18"/>
                <w:szCs w:val="18"/>
                <w:color w:val="0000FF"/>
                <w:w w:val="99"/>
              </w:rPr>
              <w:t>CONSOLIDATED STATEMENTS OF INCOME (Unaudited)</w:t>
            </w:r>
          </w:p>
        </w:tc>
        <w:tc>
          <w:tcPr>
            <w:tcW w:w="4140" w:type="dxa"/>
            <w:vAlign w:val="bottom"/>
            <w:gridSpan w:val="10"/>
          </w:tcPr>
          <w:p>
            <w:pPr>
              <w:spacing w:after="0"/>
              <w:rPr>
                <w:sz w:val="21"/>
                <w:szCs w:val="21"/>
                <w:color w:val="auto"/>
              </w:rPr>
            </w:pPr>
          </w:p>
        </w:tc>
        <w:tc>
          <w:tcPr>
            <w:tcW w:w="440" w:type="dxa"/>
            <w:vAlign w:val="bottom"/>
            <w:gridSpan w:val="2"/>
          </w:tcPr>
          <w:p>
            <w:pPr>
              <w:spacing w:after="0"/>
              <w:rPr>
                <w:sz w:val="21"/>
                <w:szCs w:val="21"/>
                <w:color w:val="auto"/>
              </w:rPr>
            </w:pPr>
          </w:p>
        </w:tc>
        <w:tc>
          <w:tcPr>
            <w:tcW w:w="120" w:type="dxa"/>
            <w:vAlign w:val="bottom"/>
            <w:tcBorders>
              <w:bottom w:val="single" w:sz="8" w:color="0000FF"/>
            </w:tcBorders>
          </w:tcPr>
          <w:p>
            <w:pPr>
              <w:jc w:val="right"/>
              <w:spacing w:after="0"/>
              <w:rPr>
                <w:sz w:val="20"/>
                <w:szCs w:val="20"/>
                <w:color w:val="auto"/>
              </w:rPr>
            </w:pPr>
            <w:r>
              <w:rPr>
                <w:rFonts w:ascii="Verdana" w:cs="Verdana" w:eastAsia="Verdana" w:hAnsi="Verdana"/>
                <w:sz w:val="18"/>
                <w:szCs w:val="18"/>
                <w:color w:val="0000FF"/>
                <w:w w:val="86"/>
              </w:rPr>
              <w:t>7</w:t>
            </w: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40" w:type="dxa"/>
            <w:vAlign w:val="bottom"/>
            <w:tcBorders>
              <w:bottom w:val="single" w:sz="8" w:color="0000FF"/>
            </w:tcBorders>
            <w:gridSpan w:val="29"/>
          </w:tcPr>
          <w:p>
            <w:pPr>
              <w:spacing w:after="0"/>
              <w:rPr>
                <w:sz w:val="20"/>
                <w:szCs w:val="20"/>
                <w:color w:val="auto"/>
              </w:rPr>
            </w:pPr>
            <w:r>
              <w:rPr>
                <w:rFonts w:ascii="Verdana" w:cs="Verdana" w:eastAsia="Verdana" w:hAnsi="Verdana"/>
                <w:sz w:val="18"/>
                <w:szCs w:val="18"/>
                <w:color w:val="0000FF"/>
                <w:w w:val="99"/>
              </w:rPr>
              <w:t>CONSOLIDATED STATEMENTS OF COMPREHENSIVE INCOME (LOSS) (Unaudited)</w:t>
            </w:r>
          </w:p>
        </w:tc>
        <w:tc>
          <w:tcPr>
            <w:tcW w:w="1780" w:type="dxa"/>
            <w:vAlign w:val="bottom"/>
            <w:gridSpan w:val="3"/>
          </w:tcPr>
          <w:p>
            <w:pPr>
              <w:spacing w:after="0"/>
              <w:rPr>
                <w:sz w:val="21"/>
                <w:szCs w:val="21"/>
                <w:color w:val="auto"/>
              </w:rPr>
            </w:pPr>
          </w:p>
        </w:tc>
        <w:tc>
          <w:tcPr>
            <w:tcW w:w="440" w:type="dxa"/>
            <w:vAlign w:val="bottom"/>
            <w:gridSpan w:val="2"/>
          </w:tcPr>
          <w:p>
            <w:pPr>
              <w:spacing w:after="0"/>
              <w:rPr>
                <w:sz w:val="21"/>
                <w:szCs w:val="21"/>
                <w:color w:val="auto"/>
              </w:rPr>
            </w:pPr>
          </w:p>
        </w:tc>
        <w:tc>
          <w:tcPr>
            <w:tcW w:w="120" w:type="dxa"/>
            <w:vAlign w:val="bottom"/>
            <w:tcBorders>
              <w:bottom w:val="single" w:sz="8" w:color="0000FF"/>
            </w:tcBorders>
          </w:tcPr>
          <w:p>
            <w:pPr>
              <w:jc w:val="right"/>
              <w:spacing w:after="0"/>
              <w:rPr>
                <w:sz w:val="20"/>
                <w:szCs w:val="20"/>
                <w:color w:val="auto"/>
              </w:rPr>
            </w:pPr>
            <w:r>
              <w:rPr>
                <w:rFonts w:ascii="Verdana" w:cs="Verdana" w:eastAsia="Verdana" w:hAnsi="Verdana"/>
                <w:sz w:val="18"/>
                <w:szCs w:val="18"/>
                <w:color w:val="0000FF"/>
                <w:w w:val="86"/>
              </w:rPr>
              <w:t>8</w:t>
            </w: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120" w:type="dxa"/>
            <w:vAlign w:val="bottom"/>
            <w:gridSpan w:val="32"/>
          </w:tcPr>
          <w:p>
            <w:pPr>
              <w:spacing w:after="0"/>
              <w:rPr>
                <w:sz w:val="20"/>
                <w:szCs w:val="20"/>
                <w:color w:val="auto"/>
              </w:rPr>
            </w:pPr>
            <w:r>
              <w:rPr>
                <w:rFonts w:ascii="Verdana" w:cs="Verdana" w:eastAsia="Verdana" w:hAnsi="Verdana"/>
                <w:sz w:val="18"/>
                <w:szCs w:val="18"/>
                <w:color w:val="0000FF"/>
              </w:rPr>
              <w:t>CONSOLIDATED STATEMENTS OF STOCKHOLDERS’ EQUITY (Unaudited)</w:t>
            </w: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9</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520" w:type="dxa"/>
            <w:vAlign w:val="bottom"/>
            <w:gridSpan w:val="28"/>
          </w:tcPr>
          <w:p>
            <w:pPr>
              <w:spacing w:after="0"/>
              <w:rPr>
                <w:sz w:val="20"/>
                <w:szCs w:val="20"/>
                <w:color w:val="auto"/>
              </w:rPr>
            </w:pPr>
            <w:r>
              <w:rPr>
                <w:rFonts w:ascii="Verdana" w:cs="Verdana" w:eastAsia="Verdana" w:hAnsi="Verdana"/>
                <w:sz w:val="18"/>
                <w:szCs w:val="18"/>
                <w:color w:val="0000FF"/>
              </w:rPr>
              <w:t>CONSOLIDATED STATEMENTS OF CASH FLOWS (Unaudited)</w:t>
            </w:r>
          </w:p>
        </w:tc>
        <w:tc>
          <w:tcPr>
            <w:tcW w:w="2600" w:type="dxa"/>
            <w:vAlign w:val="bottom"/>
            <w:gridSpan w:val="4"/>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10</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80" w:type="dxa"/>
            <w:vAlign w:val="bottom"/>
            <w:gridSpan w:val="33"/>
          </w:tcPr>
          <w:p>
            <w:pPr>
              <w:spacing w:after="0"/>
              <w:rPr>
                <w:sz w:val="20"/>
                <w:szCs w:val="20"/>
                <w:color w:val="auto"/>
              </w:rPr>
            </w:pPr>
            <w:r>
              <w:rPr>
                <w:rFonts w:ascii="Verdana" w:cs="Verdana" w:eastAsia="Verdana" w:hAnsi="Verdana"/>
                <w:sz w:val="18"/>
                <w:szCs w:val="18"/>
                <w:color w:val="0000FF"/>
              </w:rPr>
              <w:t>NOTES TO CONSOLIDATED FINANCIAL STATEMENTS (Unaudited)</w:t>
            </w: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12</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40" w:type="dxa"/>
            <w:vAlign w:val="bottom"/>
            <w:gridSpan w:val="19"/>
          </w:tcPr>
          <w:p>
            <w:pPr>
              <w:spacing w:after="0"/>
              <w:rPr>
                <w:sz w:val="20"/>
                <w:szCs w:val="20"/>
                <w:color w:val="auto"/>
              </w:rPr>
            </w:pPr>
            <w:r>
              <w:rPr>
                <w:rFonts w:ascii="Verdana" w:cs="Verdana" w:eastAsia="Verdana" w:hAnsi="Verdana"/>
                <w:sz w:val="18"/>
                <w:szCs w:val="18"/>
                <w:color w:val="0000FF"/>
              </w:rPr>
              <w:t>Note 1.   Significant Accounting Policies</w:t>
            </w:r>
          </w:p>
        </w:tc>
        <w:tc>
          <w:tcPr>
            <w:tcW w:w="2040" w:type="dxa"/>
            <w:vAlign w:val="bottom"/>
            <w:gridSpan w:val="7"/>
          </w:tcPr>
          <w:p>
            <w:pPr>
              <w:spacing w:after="0"/>
              <w:rPr>
                <w:sz w:val="21"/>
                <w:szCs w:val="21"/>
                <w:color w:val="auto"/>
              </w:rPr>
            </w:pPr>
          </w:p>
        </w:tc>
        <w:tc>
          <w:tcPr>
            <w:tcW w:w="3440" w:type="dxa"/>
            <w:vAlign w:val="bottom"/>
            <w:gridSpan w:val="6"/>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12</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2.</w:t>
            </w:r>
          </w:p>
        </w:tc>
        <w:tc>
          <w:tcPr>
            <w:tcW w:w="1400" w:type="dxa"/>
            <w:vAlign w:val="bottom"/>
            <w:gridSpan w:val="9"/>
          </w:tcPr>
          <w:p>
            <w:pPr>
              <w:ind w:left="80"/>
              <w:spacing w:after="0"/>
              <w:rPr>
                <w:sz w:val="20"/>
                <w:szCs w:val="20"/>
                <w:color w:val="auto"/>
              </w:rPr>
            </w:pPr>
            <w:r>
              <w:rPr>
                <w:rFonts w:ascii="Verdana" w:cs="Verdana" w:eastAsia="Verdana" w:hAnsi="Verdana"/>
                <w:sz w:val="18"/>
                <w:szCs w:val="18"/>
                <w:color w:val="0000FF"/>
                <w:w w:val="92"/>
              </w:rPr>
              <w:t>Debt Securities</w:t>
            </w:r>
          </w:p>
        </w:tc>
        <w:tc>
          <w:tcPr>
            <w:tcW w:w="1400" w:type="dxa"/>
            <w:vAlign w:val="bottom"/>
            <w:gridSpan w:val="8"/>
          </w:tcPr>
          <w:p>
            <w:pPr>
              <w:spacing w:after="0"/>
              <w:rPr>
                <w:sz w:val="21"/>
                <w:szCs w:val="21"/>
                <w:color w:val="auto"/>
              </w:rPr>
            </w:pPr>
          </w:p>
        </w:tc>
        <w:tc>
          <w:tcPr>
            <w:tcW w:w="5480" w:type="dxa"/>
            <w:vAlign w:val="bottom"/>
            <w:gridSpan w:val="13"/>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15</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3.</w:t>
            </w:r>
          </w:p>
        </w:tc>
        <w:tc>
          <w:tcPr>
            <w:tcW w:w="1400" w:type="dxa"/>
            <w:vAlign w:val="bottom"/>
            <w:gridSpan w:val="9"/>
          </w:tcPr>
          <w:p>
            <w:pPr>
              <w:ind w:left="80"/>
              <w:spacing w:after="0"/>
              <w:rPr>
                <w:sz w:val="20"/>
                <w:szCs w:val="20"/>
                <w:color w:val="auto"/>
              </w:rPr>
            </w:pPr>
            <w:r>
              <w:rPr>
                <w:rFonts w:ascii="Verdana" w:cs="Verdana" w:eastAsia="Verdana" w:hAnsi="Verdana"/>
                <w:sz w:val="18"/>
                <w:szCs w:val="18"/>
                <w:color w:val="0000FF"/>
                <w:w w:val="95"/>
              </w:rPr>
              <w:t>Portfolio Loans</w:t>
            </w:r>
          </w:p>
        </w:tc>
        <w:tc>
          <w:tcPr>
            <w:tcW w:w="6880" w:type="dxa"/>
            <w:vAlign w:val="bottom"/>
            <w:gridSpan w:val="21"/>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21</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4.</w:t>
            </w:r>
          </w:p>
        </w:tc>
        <w:tc>
          <w:tcPr>
            <w:tcW w:w="1400" w:type="dxa"/>
            <w:vAlign w:val="bottom"/>
            <w:gridSpan w:val="9"/>
          </w:tcPr>
          <w:p>
            <w:pPr>
              <w:ind w:left="80"/>
              <w:spacing w:after="0"/>
              <w:rPr>
                <w:sz w:val="20"/>
                <w:szCs w:val="20"/>
                <w:color w:val="auto"/>
              </w:rPr>
            </w:pPr>
            <w:r>
              <w:rPr>
                <w:rFonts w:ascii="Verdana" w:cs="Verdana" w:eastAsia="Verdana" w:hAnsi="Verdana"/>
                <w:sz w:val="18"/>
                <w:szCs w:val="18"/>
                <w:color w:val="0000FF"/>
              </w:rPr>
              <w:t>Leases</w:t>
            </w:r>
          </w:p>
        </w:tc>
        <w:tc>
          <w:tcPr>
            <w:tcW w:w="6880" w:type="dxa"/>
            <w:vAlign w:val="bottom"/>
            <w:gridSpan w:val="21"/>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33</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5.</w:t>
            </w:r>
          </w:p>
        </w:tc>
        <w:tc>
          <w:tcPr>
            <w:tcW w:w="860" w:type="dxa"/>
            <w:vAlign w:val="bottom"/>
            <w:gridSpan w:val="4"/>
          </w:tcPr>
          <w:p>
            <w:pPr>
              <w:ind w:left="80"/>
              <w:spacing w:after="0"/>
              <w:rPr>
                <w:sz w:val="20"/>
                <w:szCs w:val="20"/>
                <w:color w:val="auto"/>
              </w:rPr>
            </w:pPr>
            <w:r>
              <w:rPr>
                <w:rFonts w:ascii="Verdana" w:cs="Verdana" w:eastAsia="Verdana" w:hAnsi="Verdana"/>
                <w:sz w:val="18"/>
                <w:szCs w:val="18"/>
                <w:color w:val="0000FF"/>
                <w:w w:val="97"/>
              </w:rPr>
              <w:t>Deposits</w:t>
            </w:r>
          </w:p>
        </w:tc>
        <w:tc>
          <w:tcPr>
            <w:tcW w:w="7420" w:type="dxa"/>
            <w:vAlign w:val="bottom"/>
            <w:gridSpan w:val="26"/>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35</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6.</w:t>
            </w:r>
          </w:p>
        </w:tc>
        <w:tc>
          <w:tcPr>
            <w:tcW w:w="8280" w:type="dxa"/>
            <w:vAlign w:val="bottom"/>
            <w:gridSpan w:val="30"/>
          </w:tcPr>
          <w:p>
            <w:pPr>
              <w:ind w:left="80"/>
              <w:spacing w:after="0"/>
              <w:rPr>
                <w:sz w:val="20"/>
                <w:szCs w:val="20"/>
                <w:color w:val="auto"/>
              </w:rPr>
            </w:pPr>
            <w:r>
              <w:rPr>
                <w:rFonts w:ascii="Verdana" w:cs="Verdana" w:eastAsia="Verdana" w:hAnsi="Verdana"/>
                <w:sz w:val="18"/>
                <w:szCs w:val="18"/>
                <w:color w:val="0000FF"/>
              </w:rPr>
              <w:t>Borrowings</w:t>
            </w: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36</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7.</w:t>
            </w:r>
          </w:p>
        </w:tc>
        <w:tc>
          <w:tcPr>
            <w:tcW w:w="1740" w:type="dxa"/>
            <w:vAlign w:val="bottom"/>
            <w:gridSpan w:val="11"/>
          </w:tcPr>
          <w:p>
            <w:pPr>
              <w:ind w:left="80"/>
              <w:spacing w:after="0"/>
              <w:rPr>
                <w:sz w:val="20"/>
                <w:szCs w:val="20"/>
                <w:color w:val="auto"/>
              </w:rPr>
            </w:pPr>
            <w:r>
              <w:rPr>
                <w:rFonts w:ascii="Verdana" w:cs="Verdana" w:eastAsia="Verdana" w:hAnsi="Verdana"/>
                <w:sz w:val="18"/>
                <w:szCs w:val="18"/>
                <w:color w:val="0000FF"/>
                <w:w w:val="98"/>
              </w:rPr>
              <w:t>Regulatory Capital</w:t>
            </w:r>
          </w:p>
        </w:tc>
        <w:tc>
          <w:tcPr>
            <w:tcW w:w="6540" w:type="dxa"/>
            <w:vAlign w:val="bottom"/>
            <w:gridSpan w:val="19"/>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37</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120" w:type="dxa"/>
            <w:vAlign w:val="bottom"/>
            <w:gridSpan w:val="32"/>
          </w:tcPr>
          <w:p>
            <w:pPr>
              <w:spacing w:after="0"/>
              <w:rPr>
                <w:sz w:val="20"/>
                <w:szCs w:val="20"/>
                <w:color w:val="auto"/>
              </w:rPr>
            </w:pPr>
            <w:r>
              <w:rPr>
                <w:rFonts w:ascii="Verdana" w:cs="Verdana" w:eastAsia="Verdana" w:hAnsi="Verdana"/>
                <w:sz w:val="18"/>
                <w:szCs w:val="18"/>
                <w:color w:val="0000FF"/>
              </w:rPr>
              <w:t>Note 8.   Tax Credit and Other Investments in Unconsolidated Entities</w:t>
            </w: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40</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9.</w:t>
            </w:r>
          </w:p>
        </w:tc>
        <w:tc>
          <w:tcPr>
            <w:tcW w:w="5480" w:type="dxa"/>
            <w:vAlign w:val="bottom"/>
            <w:gridSpan w:val="25"/>
          </w:tcPr>
          <w:p>
            <w:pPr>
              <w:ind w:left="80"/>
              <w:spacing w:after="0"/>
              <w:rPr>
                <w:sz w:val="20"/>
                <w:szCs w:val="20"/>
                <w:color w:val="auto"/>
              </w:rPr>
            </w:pPr>
            <w:r>
              <w:rPr>
                <w:rFonts w:ascii="Verdana" w:cs="Verdana" w:eastAsia="Verdana" w:hAnsi="Verdana"/>
                <w:sz w:val="18"/>
                <w:szCs w:val="18"/>
                <w:color w:val="0000FF"/>
              </w:rPr>
              <w:t>Stock-Based Compensation</w:t>
            </w:r>
          </w:p>
        </w:tc>
        <w:tc>
          <w:tcPr>
            <w:tcW w:w="2800" w:type="dxa"/>
            <w:vAlign w:val="bottom"/>
            <w:gridSpan w:val="5"/>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41</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10.</w:t>
            </w:r>
          </w:p>
        </w:tc>
        <w:tc>
          <w:tcPr>
            <w:tcW w:w="8280" w:type="dxa"/>
            <w:vAlign w:val="bottom"/>
            <w:gridSpan w:val="30"/>
          </w:tcPr>
          <w:p>
            <w:pPr>
              <w:ind w:left="60"/>
              <w:spacing w:after="0"/>
              <w:rPr>
                <w:sz w:val="20"/>
                <w:szCs w:val="20"/>
                <w:color w:val="auto"/>
              </w:rPr>
            </w:pPr>
            <w:r>
              <w:rPr>
                <w:rFonts w:ascii="Verdana" w:cs="Verdana" w:eastAsia="Verdana" w:hAnsi="Verdana"/>
                <w:sz w:val="18"/>
                <w:szCs w:val="18"/>
                <w:color w:val="0000FF"/>
              </w:rPr>
              <w:t>Outstanding Commitments and Contingent Liabilities</w:t>
            </w: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44</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11.</w:t>
            </w:r>
          </w:p>
        </w:tc>
        <w:tc>
          <w:tcPr>
            <w:tcW w:w="4840" w:type="dxa"/>
            <w:vAlign w:val="bottom"/>
            <w:gridSpan w:val="24"/>
          </w:tcPr>
          <w:p>
            <w:pPr>
              <w:ind w:left="60"/>
              <w:spacing w:after="0"/>
              <w:rPr>
                <w:sz w:val="20"/>
                <w:szCs w:val="20"/>
                <w:color w:val="auto"/>
              </w:rPr>
            </w:pPr>
            <w:r>
              <w:rPr>
                <w:rFonts w:ascii="Verdana" w:cs="Verdana" w:eastAsia="Verdana" w:hAnsi="Verdana"/>
                <w:sz w:val="18"/>
                <w:szCs w:val="18"/>
                <w:color w:val="0000FF"/>
              </w:rPr>
              <w:t>Derivative Financial Instruments</w:t>
            </w:r>
          </w:p>
        </w:tc>
        <w:tc>
          <w:tcPr>
            <w:tcW w:w="3440" w:type="dxa"/>
            <w:vAlign w:val="bottom"/>
            <w:gridSpan w:val="6"/>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45</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12.</w:t>
            </w:r>
          </w:p>
        </w:tc>
        <w:tc>
          <w:tcPr>
            <w:tcW w:w="2340" w:type="dxa"/>
            <w:vAlign w:val="bottom"/>
            <w:gridSpan w:val="13"/>
          </w:tcPr>
          <w:p>
            <w:pPr>
              <w:ind w:left="60"/>
              <w:spacing w:after="0"/>
              <w:rPr>
                <w:sz w:val="20"/>
                <w:szCs w:val="20"/>
                <w:color w:val="auto"/>
              </w:rPr>
            </w:pPr>
            <w:r>
              <w:rPr>
                <w:rFonts w:ascii="Verdana" w:cs="Verdana" w:eastAsia="Verdana" w:hAnsi="Verdana"/>
                <w:sz w:val="18"/>
                <w:szCs w:val="18"/>
                <w:color w:val="0000FF"/>
                <w:w w:val="98"/>
              </w:rPr>
              <w:t>Fair Value Measurements</w:t>
            </w:r>
          </w:p>
        </w:tc>
        <w:tc>
          <w:tcPr>
            <w:tcW w:w="660" w:type="dxa"/>
            <w:vAlign w:val="bottom"/>
            <w:gridSpan w:val="5"/>
          </w:tcPr>
          <w:p>
            <w:pPr>
              <w:spacing w:after="0"/>
              <w:rPr>
                <w:sz w:val="21"/>
                <w:szCs w:val="21"/>
                <w:color w:val="auto"/>
              </w:rPr>
            </w:pPr>
          </w:p>
        </w:tc>
        <w:tc>
          <w:tcPr>
            <w:tcW w:w="5280" w:type="dxa"/>
            <w:vAlign w:val="bottom"/>
            <w:gridSpan w:val="12"/>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51</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13.</w:t>
            </w:r>
          </w:p>
        </w:tc>
        <w:tc>
          <w:tcPr>
            <w:tcW w:w="8280" w:type="dxa"/>
            <w:vAlign w:val="bottom"/>
            <w:gridSpan w:val="30"/>
          </w:tcPr>
          <w:p>
            <w:pPr>
              <w:ind w:left="60"/>
              <w:spacing w:after="0"/>
              <w:rPr>
                <w:sz w:val="20"/>
                <w:szCs w:val="20"/>
                <w:color w:val="auto"/>
              </w:rPr>
            </w:pPr>
            <w:r>
              <w:rPr>
                <w:rFonts w:ascii="Verdana" w:cs="Verdana" w:eastAsia="Verdana" w:hAnsi="Verdana"/>
                <w:sz w:val="18"/>
                <w:szCs w:val="18"/>
                <w:color w:val="0000FF"/>
              </w:rPr>
              <w:t>Earnings per Common Share</w:t>
            </w: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57</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14.</w:t>
            </w:r>
          </w:p>
        </w:tc>
        <w:tc>
          <w:tcPr>
            <w:tcW w:w="4620" w:type="dxa"/>
            <w:vAlign w:val="bottom"/>
            <w:gridSpan w:val="23"/>
          </w:tcPr>
          <w:p>
            <w:pPr>
              <w:ind w:left="60"/>
              <w:spacing w:after="0"/>
              <w:rPr>
                <w:sz w:val="20"/>
                <w:szCs w:val="20"/>
                <w:color w:val="auto"/>
              </w:rPr>
            </w:pPr>
            <w:r>
              <w:rPr>
                <w:rFonts w:ascii="Verdana" w:cs="Verdana" w:eastAsia="Verdana" w:hAnsi="Verdana"/>
                <w:sz w:val="18"/>
                <w:szCs w:val="18"/>
                <w:color w:val="0000FF"/>
                <w:w w:val="99"/>
              </w:rPr>
              <w:t>Accumulated Other Comprehensive Income (Loss)</w:t>
            </w:r>
          </w:p>
        </w:tc>
        <w:tc>
          <w:tcPr>
            <w:tcW w:w="3660" w:type="dxa"/>
            <w:vAlign w:val="bottom"/>
            <w:gridSpan w:val="7"/>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58</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15.</w:t>
            </w:r>
          </w:p>
        </w:tc>
        <w:tc>
          <w:tcPr>
            <w:tcW w:w="4620" w:type="dxa"/>
            <w:vAlign w:val="bottom"/>
            <w:gridSpan w:val="23"/>
          </w:tcPr>
          <w:p>
            <w:pPr>
              <w:ind w:left="60"/>
              <w:spacing w:after="0"/>
              <w:rPr>
                <w:sz w:val="20"/>
                <w:szCs w:val="20"/>
                <w:color w:val="auto"/>
              </w:rPr>
            </w:pPr>
            <w:r>
              <w:rPr>
                <w:rFonts w:ascii="Verdana" w:cs="Verdana" w:eastAsia="Verdana" w:hAnsi="Verdana"/>
                <w:sz w:val="18"/>
                <w:szCs w:val="18"/>
                <w:color w:val="0000FF"/>
              </w:rPr>
              <w:t>Operating Segments and Related Information</w:t>
            </w:r>
          </w:p>
        </w:tc>
        <w:tc>
          <w:tcPr>
            <w:tcW w:w="3660" w:type="dxa"/>
            <w:vAlign w:val="bottom"/>
            <w:gridSpan w:val="7"/>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59</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16.</w:t>
            </w:r>
          </w:p>
        </w:tc>
        <w:tc>
          <w:tcPr>
            <w:tcW w:w="4180" w:type="dxa"/>
            <w:vAlign w:val="bottom"/>
            <w:gridSpan w:val="21"/>
          </w:tcPr>
          <w:p>
            <w:pPr>
              <w:ind w:left="60"/>
              <w:spacing w:after="0"/>
              <w:rPr>
                <w:sz w:val="20"/>
                <w:szCs w:val="20"/>
                <w:color w:val="auto"/>
              </w:rPr>
            </w:pPr>
            <w:r>
              <w:rPr>
                <w:rFonts w:ascii="Verdana" w:cs="Verdana" w:eastAsia="Verdana" w:hAnsi="Verdana"/>
                <w:sz w:val="18"/>
                <w:szCs w:val="18"/>
                <w:color w:val="0000FF"/>
              </w:rPr>
              <w:t>Acquisition</w:t>
            </w:r>
          </w:p>
        </w:tc>
        <w:tc>
          <w:tcPr>
            <w:tcW w:w="4100" w:type="dxa"/>
            <w:vAlign w:val="bottom"/>
            <w:gridSpan w:val="9"/>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61</w:t>
            </w:r>
          </w:p>
        </w:tc>
      </w:tr>
      <w:tr>
        <w:trPr>
          <w:trHeight w:val="20"/>
        </w:trPr>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tcBorders>
              <w:bottom w:val="single" w:sz="8" w:color="0000FF"/>
            </w:tcBorders>
            <w:gridSpan w:val="2"/>
          </w:tcPr>
          <w:p>
            <w:pPr>
              <w:spacing w:after="0"/>
              <w:rPr>
                <w:sz w:val="20"/>
                <w:szCs w:val="20"/>
                <w:color w:val="auto"/>
              </w:rPr>
            </w:pPr>
            <w:r>
              <w:rPr>
                <w:rFonts w:ascii="Verdana" w:cs="Verdana" w:eastAsia="Verdana" w:hAnsi="Verdana"/>
                <w:sz w:val="18"/>
                <w:szCs w:val="18"/>
                <w:color w:val="0000FF"/>
              </w:rPr>
              <w:t>Item</w:t>
            </w:r>
          </w:p>
        </w:tc>
        <w:tc>
          <w:tcPr>
            <w:tcW w:w="160" w:type="dxa"/>
            <w:vAlign w:val="bottom"/>
            <w:tcBorders>
              <w:bottom w:val="single" w:sz="8" w:color="0000FF"/>
            </w:tcBorders>
          </w:tcPr>
          <w:p>
            <w:pPr>
              <w:spacing w:after="0"/>
              <w:rPr>
                <w:sz w:val="20"/>
                <w:szCs w:val="20"/>
                <w:color w:val="auto"/>
              </w:rPr>
            </w:pPr>
            <w:r>
              <w:rPr>
                <w:rFonts w:ascii="Verdana" w:cs="Verdana" w:eastAsia="Verdana" w:hAnsi="Verdana"/>
                <w:sz w:val="18"/>
                <w:szCs w:val="18"/>
                <w:color w:val="0000FF"/>
                <w:w w:val="77"/>
              </w:rPr>
              <w:t>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300" w:type="dxa"/>
            <w:vAlign w:val="bottom"/>
            <w:tcBorders>
              <w:bottom w:val="single" w:sz="8" w:color="0000FF"/>
            </w:tcBorders>
            <w:gridSpan w:val="31"/>
          </w:tcPr>
          <w:p>
            <w:pPr>
              <w:spacing w:after="0"/>
              <w:rPr>
                <w:sz w:val="20"/>
                <w:szCs w:val="20"/>
                <w:color w:val="auto"/>
              </w:rPr>
            </w:pPr>
            <w:r>
              <w:rPr>
                <w:rFonts w:ascii="Verdana" w:cs="Verdana" w:eastAsia="Verdana" w:hAnsi="Verdana"/>
                <w:sz w:val="18"/>
                <w:szCs w:val="18"/>
                <w:color w:val="0000FF"/>
                <w:w w:val="99"/>
              </w:rPr>
              <w:t>MANAGEMENT’S DISCUSSION AND ANALYSIS OF FINANCIAL CONDITION AND RESULTS OF</w:t>
            </w:r>
          </w:p>
        </w:tc>
        <w:tc>
          <w:tcPr>
            <w:tcW w:w="980" w:type="dxa"/>
            <w:vAlign w:val="bottom"/>
            <w:gridSpan w:val="2"/>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96"/>
        </w:trPr>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3"/>
          </w:tcPr>
          <w:p>
            <w:pPr>
              <w:spacing w:after="0" w:line="196" w:lineRule="exact"/>
              <w:rPr>
                <w:sz w:val="20"/>
                <w:szCs w:val="20"/>
                <w:color w:val="auto"/>
              </w:rPr>
            </w:pPr>
            <w:r>
              <w:rPr>
                <w:rFonts w:ascii="Verdana" w:cs="Verdana" w:eastAsia="Verdana" w:hAnsi="Verdana"/>
                <w:sz w:val="18"/>
                <w:szCs w:val="18"/>
                <w:color w:val="0000FF"/>
              </w:rPr>
              <w:t>OPERATIONS</w:t>
            </w:r>
          </w:p>
        </w:tc>
        <w:tc>
          <w:tcPr>
            <w:tcW w:w="560" w:type="dxa"/>
            <w:vAlign w:val="bottom"/>
            <w:gridSpan w:val="3"/>
          </w:tcPr>
          <w:p>
            <w:pPr>
              <w:jc w:val="right"/>
              <w:spacing w:after="0" w:line="196" w:lineRule="exact"/>
              <w:rPr>
                <w:sz w:val="20"/>
                <w:szCs w:val="20"/>
                <w:color w:val="auto"/>
              </w:rPr>
            </w:pPr>
            <w:r>
              <w:rPr>
                <w:rFonts w:ascii="Verdana" w:cs="Verdana" w:eastAsia="Verdana" w:hAnsi="Verdana"/>
                <w:sz w:val="18"/>
                <w:szCs w:val="18"/>
                <w:color w:val="0000FF"/>
              </w:rPr>
              <w:t>63</w:t>
            </w:r>
          </w:p>
        </w:tc>
      </w:tr>
      <w:tr>
        <w:trPr>
          <w:trHeight w:val="20"/>
        </w:trPr>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80" w:type="dxa"/>
            <w:vAlign w:val="bottom"/>
            <w:gridSpan w:val="28"/>
          </w:tcPr>
          <w:p>
            <w:pPr>
              <w:spacing w:after="0"/>
              <w:rPr>
                <w:sz w:val="20"/>
                <w:szCs w:val="20"/>
                <w:color w:val="auto"/>
              </w:rPr>
            </w:pPr>
            <w:r>
              <w:rPr>
                <w:rFonts w:ascii="Verdana" w:cs="Verdana" w:eastAsia="Verdana" w:hAnsi="Verdana"/>
                <w:sz w:val="18"/>
                <w:szCs w:val="18"/>
                <w:color w:val="0000FF"/>
                <w:w w:val="98"/>
              </w:rPr>
              <w:t>QUANTITATIVE AND QUALITATIVE DISCLOSURES ABOUT MARKET RISK</w:t>
            </w:r>
          </w:p>
        </w:tc>
        <w:tc>
          <w:tcPr>
            <w:tcW w:w="2800" w:type="dxa"/>
            <w:vAlign w:val="bottom"/>
            <w:gridSpan w:val="5"/>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94</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20" w:type="dxa"/>
            <w:vAlign w:val="bottom"/>
            <w:gridSpan w:val="11"/>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60" w:type="dxa"/>
            <w:vAlign w:val="bottom"/>
          </w:tcPr>
          <w:p>
            <w:pPr>
              <w:spacing w:after="0"/>
              <w:rPr>
                <w:sz w:val="20"/>
                <w:szCs w:val="20"/>
                <w:color w:val="auto"/>
              </w:rPr>
            </w:pPr>
            <w:r>
              <w:rPr>
                <w:rFonts w:ascii="Verdana" w:cs="Verdana" w:eastAsia="Verdana" w:hAnsi="Verdana"/>
                <w:sz w:val="18"/>
                <w:szCs w:val="18"/>
                <w:color w:val="0000FF"/>
                <w:w w:val="77"/>
              </w:rPr>
              <w:t>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80" w:type="dxa"/>
            <w:vAlign w:val="bottom"/>
            <w:gridSpan w:val="28"/>
          </w:tcPr>
          <w:p>
            <w:pPr>
              <w:spacing w:after="0"/>
              <w:rPr>
                <w:sz w:val="20"/>
                <w:szCs w:val="20"/>
                <w:color w:val="auto"/>
              </w:rPr>
            </w:pPr>
            <w:r>
              <w:rPr>
                <w:rFonts w:ascii="Verdana" w:cs="Verdana" w:eastAsia="Verdana" w:hAnsi="Verdana"/>
                <w:sz w:val="18"/>
                <w:szCs w:val="18"/>
                <w:color w:val="0000FF"/>
              </w:rPr>
              <w:t>CONTROLS AND PROCEDURES</w:t>
            </w:r>
          </w:p>
        </w:tc>
        <w:tc>
          <w:tcPr>
            <w:tcW w:w="2800" w:type="dxa"/>
            <w:vAlign w:val="bottom"/>
            <w:gridSpan w:val="5"/>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95</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412"/>
        </w:trPr>
        <w:tc>
          <w:tcPr>
            <w:tcW w:w="680" w:type="dxa"/>
            <w:vAlign w:val="bottom"/>
            <w:gridSpan w:val="3"/>
          </w:tcPr>
          <w:p>
            <w:pPr>
              <w:spacing w:after="0"/>
              <w:rPr>
                <w:sz w:val="20"/>
                <w:szCs w:val="20"/>
                <w:color w:val="auto"/>
              </w:rPr>
            </w:pPr>
            <w:r>
              <w:rPr>
                <w:rFonts w:ascii="Verdana" w:cs="Verdana" w:eastAsia="Verdana" w:hAnsi="Verdana"/>
                <w:sz w:val="18"/>
                <w:szCs w:val="18"/>
                <w:color w:val="0000FF"/>
                <w:w w:val="93"/>
              </w:rPr>
              <w:t>PART II</w:t>
            </w:r>
          </w:p>
        </w:tc>
        <w:tc>
          <w:tcPr>
            <w:tcW w:w="680" w:type="dxa"/>
            <w:vAlign w:val="bottom"/>
            <w:gridSpan w:val="5"/>
          </w:tcPr>
          <w:p>
            <w:pPr>
              <w:spacing w:after="0"/>
              <w:rPr>
                <w:sz w:val="24"/>
                <w:szCs w:val="24"/>
                <w:color w:val="auto"/>
              </w:rPr>
            </w:pPr>
          </w:p>
        </w:tc>
        <w:tc>
          <w:tcPr>
            <w:tcW w:w="1980" w:type="dxa"/>
            <w:vAlign w:val="bottom"/>
            <w:gridSpan w:val="8"/>
          </w:tcPr>
          <w:p>
            <w:pPr>
              <w:spacing w:after="0"/>
              <w:rPr>
                <w:sz w:val="20"/>
                <w:szCs w:val="20"/>
                <w:color w:val="auto"/>
              </w:rPr>
            </w:pPr>
            <w:r>
              <w:rPr>
                <w:rFonts w:ascii="Verdana" w:cs="Verdana" w:eastAsia="Verdana" w:hAnsi="Verdana"/>
                <w:sz w:val="18"/>
                <w:szCs w:val="18"/>
                <w:color w:val="0000FF"/>
                <w:w w:val="96"/>
              </w:rPr>
              <w:t>OTHER INFORMATION</w:t>
            </w:r>
          </w:p>
        </w:tc>
        <w:tc>
          <w:tcPr>
            <w:tcW w:w="7300" w:type="dxa"/>
            <w:vAlign w:val="bottom"/>
            <w:gridSpan w:val="25"/>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96</w:t>
            </w:r>
          </w:p>
        </w:tc>
      </w:tr>
      <w:tr>
        <w:trPr>
          <w:trHeight w:val="20"/>
        </w:trPr>
        <w:tc>
          <w:tcPr>
            <w:tcW w:w="1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Verdana" w:cs="Verdana" w:eastAsia="Verdana" w:hAnsi="Verdana"/>
                <w:sz w:val="18"/>
                <w:szCs w:val="18"/>
                <w:color w:val="0000FF"/>
                <w:w w:val="97"/>
              </w:rPr>
              <w:t>LEGAL PROCEEDINGS</w:t>
            </w:r>
          </w:p>
        </w:tc>
        <w:tc>
          <w:tcPr>
            <w:tcW w:w="7300" w:type="dxa"/>
            <w:vAlign w:val="bottom"/>
            <w:gridSpan w:val="25"/>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96</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680" w:type="dxa"/>
            <w:vAlign w:val="bottom"/>
            <w:gridSpan w:val="5"/>
          </w:tcPr>
          <w:p>
            <w:pPr>
              <w:spacing w:after="0"/>
              <w:rPr>
                <w:sz w:val="20"/>
                <w:szCs w:val="20"/>
                <w:color w:val="auto"/>
              </w:rPr>
            </w:pPr>
            <w:r>
              <w:rPr>
                <w:rFonts w:ascii="Verdana" w:cs="Verdana" w:eastAsia="Verdana" w:hAnsi="Verdana"/>
                <w:sz w:val="18"/>
                <w:szCs w:val="18"/>
                <w:color w:val="0000FF"/>
              </w:rPr>
              <w:t>1A</w:t>
            </w:r>
            <w:r>
              <w:rPr>
                <w:rFonts w:ascii="Verdana" w:cs="Verdana" w:eastAsia="Verdana" w:hAnsi="Verdana"/>
                <w:sz w:val="18"/>
                <w:szCs w:val="18"/>
                <w:color w:val="000000"/>
              </w:rPr>
              <w:t>.</w:t>
            </w:r>
          </w:p>
        </w:tc>
        <w:tc>
          <w:tcPr>
            <w:tcW w:w="9280" w:type="dxa"/>
            <w:vAlign w:val="bottom"/>
            <w:gridSpan w:val="33"/>
          </w:tcPr>
          <w:p>
            <w:pPr>
              <w:spacing w:after="0"/>
              <w:rPr>
                <w:sz w:val="20"/>
                <w:szCs w:val="20"/>
                <w:color w:val="auto"/>
              </w:rPr>
            </w:pPr>
            <w:r>
              <w:rPr>
                <w:rFonts w:ascii="Verdana" w:cs="Verdana" w:eastAsia="Verdana" w:hAnsi="Verdana"/>
                <w:sz w:val="18"/>
                <w:szCs w:val="18"/>
                <w:color w:val="0000FF"/>
              </w:rPr>
              <w:t>RISK FACTORS</w:t>
            </w: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96</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tcBorders>
              <w:bottom w:val="single" w:sz="8" w:color="0000FF"/>
            </w:tcBorders>
            <w:gridSpan w:val="2"/>
          </w:tcPr>
          <w:p>
            <w:pPr>
              <w:spacing w:after="0"/>
              <w:rPr>
                <w:sz w:val="20"/>
                <w:szCs w:val="20"/>
                <w:color w:val="auto"/>
              </w:rPr>
            </w:pPr>
            <w:r>
              <w:rPr>
                <w:rFonts w:ascii="Verdana" w:cs="Verdana" w:eastAsia="Verdana" w:hAnsi="Verdana"/>
                <w:sz w:val="18"/>
                <w:szCs w:val="18"/>
                <w:color w:val="0000FF"/>
              </w:rPr>
              <w:t>Item</w:t>
            </w:r>
          </w:p>
        </w:tc>
        <w:tc>
          <w:tcPr>
            <w:tcW w:w="160" w:type="dxa"/>
            <w:vAlign w:val="bottom"/>
            <w:tcBorders>
              <w:bottom w:val="single" w:sz="8" w:color="0000FF"/>
            </w:tcBorders>
          </w:tcPr>
          <w:p>
            <w:pPr>
              <w:spacing w:after="0"/>
              <w:rPr>
                <w:sz w:val="20"/>
                <w:szCs w:val="20"/>
                <w:color w:val="auto"/>
              </w:rPr>
            </w:pPr>
            <w:r>
              <w:rPr>
                <w:rFonts w:ascii="Verdana" w:cs="Verdana" w:eastAsia="Verdana" w:hAnsi="Verdana"/>
                <w:sz w:val="18"/>
                <w:szCs w:val="18"/>
                <w:color w:val="0000FF"/>
                <w:w w:val="77"/>
              </w:rPr>
              <w:t>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940" w:type="dxa"/>
            <w:vAlign w:val="bottom"/>
            <w:tcBorders>
              <w:bottom w:val="single" w:sz="8" w:color="0000FF"/>
            </w:tcBorders>
            <w:gridSpan w:val="32"/>
          </w:tcPr>
          <w:p>
            <w:pPr>
              <w:spacing w:after="0"/>
              <w:rPr>
                <w:sz w:val="20"/>
                <w:szCs w:val="20"/>
                <w:color w:val="auto"/>
              </w:rPr>
            </w:pPr>
            <w:r>
              <w:rPr>
                <w:rFonts w:ascii="Verdana" w:cs="Verdana" w:eastAsia="Verdana" w:hAnsi="Verdana"/>
                <w:sz w:val="18"/>
                <w:szCs w:val="18"/>
                <w:color w:val="0000FF"/>
                <w:w w:val="99"/>
              </w:rPr>
              <w:t>UNREGISTERED SALES OF EQUITY SECURITIES, USE OF PROCEEDS, AND ISSUER PURCHASES OF</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96"/>
        </w:trPr>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80" w:type="dxa"/>
            <w:vAlign w:val="bottom"/>
            <w:gridSpan w:val="33"/>
          </w:tcPr>
          <w:p>
            <w:pPr>
              <w:spacing w:after="0" w:line="196" w:lineRule="exact"/>
              <w:rPr>
                <w:sz w:val="20"/>
                <w:szCs w:val="20"/>
                <w:color w:val="auto"/>
              </w:rPr>
            </w:pPr>
            <w:r>
              <w:rPr>
                <w:rFonts w:ascii="Verdana" w:cs="Verdana" w:eastAsia="Verdana" w:hAnsi="Verdana"/>
                <w:sz w:val="18"/>
                <w:szCs w:val="18"/>
                <w:color w:val="0000FF"/>
              </w:rPr>
              <w:t>EQUITY SECURITIES</w:t>
            </w:r>
          </w:p>
        </w:tc>
        <w:tc>
          <w:tcPr>
            <w:tcW w:w="560" w:type="dxa"/>
            <w:vAlign w:val="bottom"/>
            <w:gridSpan w:val="3"/>
          </w:tcPr>
          <w:p>
            <w:pPr>
              <w:jc w:val="right"/>
              <w:spacing w:after="0" w:line="196" w:lineRule="exact"/>
              <w:rPr>
                <w:sz w:val="20"/>
                <w:szCs w:val="20"/>
                <w:color w:val="auto"/>
              </w:rPr>
            </w:pPr>
            <w:r>
              <w:rPr>
                <w:rFonts w:ascii="Verdana" w:cs="Verdana" w:eastAsia="Verdana" w:hAnsi="Verdana"/>
                <w:sz w:val="18"/>
                <w:szCs w:val="18"/>
                <w:color w:val="0000FF"/>
              </w:rPr>
              <w:t>96</w:t>
            </w:r>
          </w:p>
        </w:tc>
      </w:tr>
      <w:tr>
        <w:trPr>
          <w:trHeight w:val="20"/>
        </w:trPr>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82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60" w:type="dxa"/>
            <w:vAlign w:val="bottom"/>
            <w:gridSpan w:val="17"/>
          </w:tcPr>
          <w:p>
            <w:pPr>
              <w:spacing w:after="0"/>
              <w:rPr>
                <w:sz w:val="20"/>
                <w:szCs w:val="20"/>
                <w:color w:val="auto"/>
              </w:rPr>
            </w:pPr>
            <w:r>
              <w:rPr>
                <w:rFonts w:ascii="Verdana" w:cs="Verdana" w:eastAsia="Verdana" w:hAnsi="Verdana"/>
                <w:sz w:val="18"/>
                <w:szCs w:val="18"/>
                <w:color w:val="0000FF"/>
                <w:w w:val="98"/>
              </w:rPr>
              <w:t>DEFAULTS UPON SENIOR SECURITIES</w:t>
            </w:r>
          </w:p>
        </w:tc>
        <w:tc>
          <w:tcPr>
            <w:tcW w:w="5820" w:type="dxa"/>
            <w:vAlign w:val="bottom"/>
            <w:gridSpan w:val="16"/>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96</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720" w:type="dxa"/>
            <w:vAlign w:val="bottom"/>
            <w:gridSpan w:val="11"/>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820" w:type="dxa"/>
            <w:vAlign w:val="bottom"/>
            <w:gridSpan w:val="1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60" w:type="dxa"/>
            <w:vAlign w:val="bottom"/>
            <w:gridSpan w:val="17"/>
          </w:tcPr>
          <w:p>
            <w:pPr>
              <w:spacing w:after="0"/>
              <w:rPr>
                <w:sz w:val="20"/>
                <w:szCs w:val="20"/>
                <w:color w:val="auto"/>
              </w:rPr>
            </w:pPr>
            <w:r>
              <w:rPr>
                <w:rFonts w:ascii="Verdana" w:cs="Verdana" w:eastAsia="Verdana" w:hAnsi="Verdana"/>
                <w:sz w:val="18"/>
                <w:szCs w:val="18"/>
                <w:color w:val="0000FF"/>
              </w:rPr>
              <w:t>MINE SAFETY DISCLOSURES</w:t>
            </w:r>
          </w:p>
        </w:tc>
        <w:tc>
          <w:tcPr>
            <w:tcW w:w="5820" w:type="dxa"/>
            <w:vAlign w:val="bottom"/>
            <w:gridSpan w:val="16"/>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96</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720" w:type="dxa"/>
            <w:vAlign w:val="bottom"/>
            <w:gridSpan w:val="11"/>
            <w:shd w:val="clear" w:color="auto" w:fill="0000FF"/>
          </w:tcPr>
          <w:p>
            <w:pPr>
              <w:spacing w:after="0" w:line="20" w:lineRule="exact"/>
              <w:rPr>
                <w:sz w:val="1"/>
                <w:szCs w:val="1"/>
                <w:color w:val="auto"/>
              </w:rPr>
            </w:pPr>
          </w:p>
        </w:tc>
        <w:tc>
          <w:tcPr>
            <w:tcW w:w="6680" w:type="dxa"/>
            <w:vAlign w:val="bottom"/>
            <w:gridSpan w:val="2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8"/>
          </w:tcPr>
          <w:p>
            <w:pPr>
              <w:spacing w:after="0"/>
              <w:rPr>
                <w:sz w:val="20"/>
                <w:szCs w:val="20"/>
                <w:color w:val="auto"/>
              </w:rPr>
            </w:pPr>
            <w:r>
              <w:rPr>
                <w:rFonts w:ascii="Verdana" w:cs="Verdana" w:eastAsia="Verdana" w:hAnsi="Verdana"/>
                <w:sz w:val="18"/>
                <w:szCs w:val="18"/>
                <w:color w:val="0000FF"/>
                <w:w w:val="96"/>
              </w:rPr>
              <w:t>OTHER INFORMATION</w:t>
            </w:r>
          </w:p>
        </w:tc>
        <w:tc>
          <w:tcPr>
            <w:tcW w:w="620" w:type="dxa"/>
            <w:vAlign w:val="bottom"/>
            <w:gridSpan w:val="5"/>
          </w:tcPr>
          <w:p>
            <w:pPr>
              <w:spacing w:after="0"/>
              <w:rPr>
                <w:sz w:val="21"/>
                <w:szCs w:val="21"/>
                <w:color w:val="auto"/>
              </w:rPr>
            </w:pPr>
          </w:p>
        </w:tc>
        <w:tc>
          <w:tcPr>
            <w:tcW w:w="6680" w:type="dxa"/>
            <w:vAlign w:val="bottom"/>
            <w:gridSpan w:val="20"/>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96</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Verdana" w:cs="Verdana" w:eastAsia="Verdana" w:hAnsi="Verdana"/>
                <w:sz w:val="18"/>
                <w:szCs w:val="18"/>
                <w:color w:val="0000FF"/>
                <w:w w:val="97"/>
              </w:rPr>
              <w:t>EXHIBITS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97</w:t>
            </w:r>
          </w:p>
        </w:tc>
      </w:tr>
      <w:tr>
        <w:trPr>
          <w:trHeight w:val="20"/>
        </w:trPr>
        <w:tc>
          <w:tcPr>
            <w:tcW w:w="16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412"/>
        </w:trPr>
        <w:tc>
          <w:tcPr>
            <w:tcW w:w="1200" w:type="dxa"/>
            <w:vAlign w:val="bottom"/>
            <w:gridSpan w:val="7"/>
          </w:tcPr>
          <w:p>
            <w:pPr>
              <w:spacing w:after="0"/>
              <w:rPr>
                <w:sz w:val="20"/>
                <w:szCs w:val="20"/>
                <w:color w:val="auto"/>
              </w:rPr>
            </w:pPr>
            <w:r>
              <w:rPr>
                <w:rFonts w:ascii="Verdana" w:cs="Verdana" w:eastAsia="Verdana" w:hAnsi="Verdana"/>
                <w:sz w:val="18"/>
                <w:szCs w:val="18"/>
                <w:color w:val="0000FF"/>
                <w:w w:val="98"/>
              </w:rPr>
              <w:t>SIGNATURES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Verdana" w:cs="Verdana" w:eastAsia="Verdana" w:hAnsi="Verdana"/>
                <w:sz w:val="18"/>
                <w:szCs w:val="18"/>
                <w:color w:val="0000FF"/>
              </w:rPr>
              <w:t>98</w:t>
            </w: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10" w:right="35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type w:val="continuous"/>
        </w:sectPr>
      </w:pPr>
    </w:p>
    <w:bookmarkStart w:id="2" w:name="page3"/>
    <w:bookmarkEnd w:id="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080"/>
        <w:spacing w:after="0"/>
        <w:rPr>
          <w:sz w:val="20"/>
          <w:szCs w:val="20"/>
          <w:color w:val="auto"/>
        </w:rPr>
      </w:pPr>
      <w:r>
        <w:rPr>
          <w:rFonts w:ascii="Verdana" w:cs="Verdana" w:eastAsia="Verdana" w:hAnsi="Verdana"/>
          <w:sz w:val="18"/>
          <w:szCs w:val="18"/>
          <w:b w:val="1"/>
          <w:bCs w:val="1"/>
          <w:color w:val="auto"/>
        </w:rPr>
        <w:t>GLOSSARY</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color w:val="auto"/>
        </w:rPr>
        <w:t>We use acronyms, abbreviations, and other terms throughout this Quarterly Report, as defined in the glossary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Term</w:t>
            </w:r>
          </w:p>
        </w:tc>
        <w:tc>
          <w:tcPr>
            <w:tcW w:w="8880" w:type="dxa"/>
            <w:vAlign w:val="bottom"/>
          </w:tcPr>
          <w:p>
            <w:pPr>
              <w:ind w:left="20"/>
              <w:spacing w:after="0"/>
              <w:rPr>
                <w:sz w:val="20"/>
                <w:szCs w:val="20"/>
                <w:color w:val="auto"/>
              </w:rPr>
            </w:pPr>
            <w:r>
              <w:rPr>
                <w:rFonts w:ascii="Arial" w:cs="Arial" w:eastAsia="Arial" w:hAnsi="Arial"/>
                <w:sz w:val="18"/>
                <w:szCs w:val="18"/>
                <w:color w:val="auto"/>
              </w:rPr>
              <w:t>Definition</w:t>
            </w:r>
          </w:p>
        </w:tc>
      </w:tr>
      <w:tr>
        <w:trPr>
          <w:trHeight w:val="23"/>
        </w:trPr>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63"/>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2020 Equity Plan</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Busey Corporation Amended 2020 Equity Incentive Plan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2021 ESPP</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First Busey Corporation 2021 Employee Stock Purchase Plan</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401(k) Plan</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Busey Corporation Profit Sharing Plan and Trust</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ACL</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Allowance for credit losses</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Annual Report</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Annual report filed with the SEC on Form 10-K pursuant to Section 13 or 15(d) of the Exchange</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Act</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AOCI</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Accumulated other comprehensive income (loss)</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ASC</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Accounting Standards Codification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ASU</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Accounting Standards Update</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Basel III</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2010 capital accord adopted by the international Basel Committee on Banking Supervision</w:t>
            </w:r>
          </w:p>
        </w:tc>
      </w:tr>
      <w:tr>
        <w:trPr>
          <w:trHeight w:val="238"/>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Basel III Rule</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Regulations promulgated by U.S. federal banking agencies – the Office of the Comptroller of the</w:t>
            </w: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Pr>
          <w:p>
            <w:pPr>
              <w:ind w:left="20"/>
              <w:spacing w:after="0" w:line="216" w:lineRule="exact"/>
              <w:rPr>
                <w:sz w:val="20"/>
                <w:szCs w:val="20"/>
                <w:color w:val="auto"/>
              </w:rPr>
            </w:pPr>
            <w:r>
              <w:rPr>
                <w:rFonts w:ascii="Verdana" w:cs="Verdana" w:eastAsia="Verdana" w:hAnsi="Verdana"/>
                <w:sz w:val="18"/>
                <w:szCs w:val="18"/>
                <w:color w:val="auto"/>
                <w:w w:val="99"/>
              </w:rPr>
              <w:t>Currency, the Federal Reserve, and the FDIC – to both enforce implementation of certain aspects</w:t>
            </w: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Pr>
          <w:p>
            <w:pPr>
              <w:ind w:left="20"/>
              <w:spacing w:after="0" w:line="216" w:lineRule="exact"/>
              <w:rPr>
                <w:sz w:val="20"/>
                <w:szCs w:val="20"/>
                <w:color w:val="auto"/>
              </w:rPr>
            </w:pPr>
            <w:r>
              <w:rPr>
                <w:rFonts w:ascii="Verdana" w:cs="Verdana" w:eastAsia="Verdana" w:hAnsi="Verdana"/>
                <w:sz w:val="18"/>
                <w:szCs w:val="18"/>
                <w:color w:val="auto"/>
              </w:rPr>
              <w:t>of the Basel III capital reforms and effect certain changes required by the Dodd-Frank Wall</w:t>
            </w:r>
          </w:p>
        </w:tc>
      </w:tr>
      <w:tr>
        <w:trPr>
          <w:trHeight w:val="242"/>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Street Reform and Consumer Protection Act</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BHCA</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Bank Holding Company Act of 1956, as amended</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bps</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basis points</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C&amp;I</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Commercial and industrial loans</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CAC</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Cummins-American Corp.</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CECL</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w w:val="99"/>
              </w:rPr>
              <w:t>ASU 2016-13, codified as ASC Topic 326 “Financial Instruments-Credit Losses,” which established</w:t>
            </w:r>
          </w:p>
        </w:tc>
      </w:tr>
      <w:tr>
        <w:trPr>
          <w:trHeight w:val="216"/>
        </w:trPr>
        <w:tc>
          <w:tcPr>
            <w:tcW w:w="22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8880" w:type="dxa"/>
            <w:vAlign w:val="bottom"/>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the Current Expected Credit Losses methodology for measuring credit losses on financial</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instruments</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CFPB</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Consumer Financial Protection Bureau</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Current Report</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Current report filed with the SEC on Form 8-K pursuant to Section 13 or 15(d) of the Securities</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Exchange Act of 1934</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DSU</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Deferred stock unit</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Exchange Act</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Securities Exchange Act of 1934, as amended</w:t>
            </w:r>
          </w:p>
        </w:tc>
      </w:tr>
      <w:tr>
        <w:trPr>
          <w:trHeight w:val="238"/>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Fair value</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The price that would be received to sell an asset, or paid to transfer a liability, in an orderly</w:t>
            </w: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Pr>
          <w:p>
            <w:pPr>
              <w:ind w:left="20"/>
              <w:spacing w:after="0" w:line="216" w:lineRule="exact"/>
              <w:rPr>
                <w:sz w:val="20"/>
                <w:szCs w:val="20"/>
                <w:color w:val="auto"/>
              </w:rPr>
            </w:pPr>
            <w:r>
              <w:rPr>
                <w:rFonts w:ascii="Verdana" w:cs="Verdana" w:eastAsia="Verdana" w:hAnsi="Verdana"/>
                <w:sz w:val="18"/>
                <w:szCs w:val="18"/>
                <w:color w:val="auto"/>
              </w:rPr>
              <w:t>transaction between market participants at the measurement date, as defined in ASC Topic 820</w:t>
            </w:r>
          </w:p>
        </w:tc>
      </w:tr>
      <w:tr>
        <w:trPr>
          <w:trHeight w:val="242"/>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“Fair Value Measurement”</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FASB</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Financial Accounting Standards Board</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FDIC</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Federal Deposit Insurance Corporation</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Federal Reserve</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Board of Governors of the Federal Reserve System</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FHLB</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Federal Home Loan Bank</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First Busey</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Busey Corporation, together with its wholly-owned consolidated subsidiaries; also, “Busey,”</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the “Company,” “we,” “us,” and “our”</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FirsTech</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FirsTech, Inc.</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FOMC</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Federal Open Market Committee</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GAAP</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U.S. Generally Accepted Accounting Principles</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LIBOR</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London Interbank Offered Rate</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M&amp;M</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Merchants and Manufacturers Bank Corporation</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M&amp;M Bank</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Merchants and Manufacturers Bank</w:t>
            </w:r>
          </w:p>
        </w:tc>
      </w:tr>
      <w:tr>
        <w:trPr>
          <w:trHeight w:val="256"/>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Nasdaq</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National Association of Securities Dealers Automated Quotations</w:t>
            </w:r>
          </w:p>
        </w:tc>
      </w:tr>
    </w:tbl>
    <w:p>
      <w:pPr>
        <w:spacing w:after="0" w:line="200" w:lineRule="exact"/>
        <w:rPr>
          <w:sz w:val="20"/>
          <w:szCs w:val="20"/>
          <w:color w:val="auto"/>
        </w:rPr>
      </w:pP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9"/>
        </w:trPr>
        <w:tc>
          <w:tcPr>
            <w:tcW w:w="1580" w:type="dxa"/>
            <w:vAlign w:val="bottom"/>
            <w:tcBorders>
              <w:bottom w:val="single" w:sz="8" w:color="0000FF"/>
            </w:tcBorders>
          </w:tcPr>
          <w:p>
            <w:pPr>
              <w:spacing w:after="0"/>
              <w:rPr>
                <w:sz w:val="20"/>
                <w:szCs w:val="20"/>
                <w:color w:val="auto"/>
              </w:rPr>
            </w:pPr>
            <w:r>
              <w:rPr>
                <w:rFonts w:ascii="Verdana" w:cs="Verdana" w:eastAsia="Verdana" w:hAnsi="Verdana"/>
                <w:sz w:val="18"/>
                <w:szCs w:val="18"/>
                <w:color w:val="0000FF"/>
                <w:w w:val="97"/>
              </w:rPr>
              <w:t>Table of Contents</w:t>
            </w:r>
          </w:p>
        </w:tc>
        <w:tc>
          <w:tcPr>
            <w:tcW w:w="780" w:type="dxa"/>
            <w:vAlign w:val="bottom"/>
            <w:gridSpan w:val="2"/>
          </w:tcPr>
          <w:p>
            <w:pPr>
              <w:spacing w:after="0"/>
              <w:rPr>
                <w:sz w:val="19"/>
                <w:szCs w:val="19"/>
                <w:color w:val="auto"/>
              </w:rPr>
            </w:pPr>
          </w:p>
        </w:tc>
        <w:tc>
          <w:tcPr>
            <w:tcW w:w="8880" w:type="dxa"/>
            <w:vAlign w:val="bottom"/>
          </w:tcPr>
          <w:p>
            <w:pPr>
              <w:spacing w:after="0"/>
              <w:rPr>
                <w:sz w:val="19"/>
                <w:szCs w:val="19"/>
                <w:color w:val="auto"/>
              </w:rPr>
            </w:pPr>
          </w:p>
        </w:tc>
      </w:tr>
      <w:tr>
        <w:trPr>
          <w:trHeight w:val="1091"/>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Term</w:t>
            </w:r>
          </w:p>
        </w:tc>
        <w:tc>
          <w:tcPr>
            <w:tcW w:w="8880" w:type="dxa"/>
            <w:vAlign w:val="bottom"/>
          </w:tcPr>
          <w:p>
            <w:pPr>
              <w:ind w:left="20"/>
              <w:spacing w:after="0"/>
              <w:rPr>
                <w:sz w:val="20"/>
                <w:szCs w:val="20"/>
                <w:color w:val="auto"/>
              </w:rPr>
            </w:pPr>
            <w:r>
              <w:rPr>
                <w:rFonts w:ascii="Arial" w:cs="Arial" w:eastAsia="Arial" w:hAnsi="Arial"/>
                <w:sz w:val="18"/>
                <w:szCs w:val="18"/>
                <w:color w:val="auto"/>
              </w:rPr>
              <w:t>Definition</w:t>
            </w:r>
          </w:p>
        </w:tc>
      </w:tr>
      <w:tr>
        <w:trPr>
          <w:trHeight w:val="23"/>
        </w:trPr>
        <w:tc>
          <w:tcPr>
            <w:tcW w:w="2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64"/>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NM</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Not meaningful</w:t>
            </w:r>
          </w:p>
        </w:tc>
      </w:tr>
      <w:tr>
        <w:trPr>
          <w:trHeight w:val="263"/>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NMTC</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New Markets Tax Credit</w:t>
            </w:r>
          </w:p>
        </w:tc>
      </w:tr>
      <w:tr>
        <w:trPr>
          <w:trHeight w:val="277"/>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OCI</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Other comprehensive income (loss)</w:t>
            </w:r>
          </w:p>
        </w:tc>
      </w:tr>
      <w:tr>
        <w:trPr>
          <w:trHeight w:val="263"/>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OREO</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Other real estate owned</w:t>
            </w:r>
          </w:p>
        </w:tc>
      </w:tr>
      <w:tr>
        <w:trPr>
          <w:trHeight w:val="277"/>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PCD</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Purchased credit deteriorated</w:t>
            </w:r>
          </w:p>
        </w:tc>
      </w:tr>
      <w:tr>
        <w:trPr>
          <w:trHeight w:val="263"/>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PSU</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Performance stock unit</w:t>
            </w:r>
          </w:p>
        </w:tc>
      </w:tr>
      <w:tr>
        <w:trPr>
          <w:trHeight w:val="244"/>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Quarterly Report</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Quarterly report filed with the SEC on Form 10-Q pursuant to Section 13 or 15(d) of the</w:t>
            </w:r>
          </w:p>
        </w:tc>
      </w:tr>
      <w:tr>
        <w:trPr>
          <w:trHeight w:val="248"/>
        </w:trPr>
        <w:tc>
          <w:tcPr>
            <w:tcW w:w="1580" w:type="dxa"/>
            <w:vAlign w:val="bottom"/>
            <w:shd w:val="clear" w:color="auto" w:fill="E0E7ED"/>
          </w:tcPr>
          <w:p>
            <w:pPr>
              <w:spacing w:after="0"/>
              <w:rPr>
                <w:sz w:val="21"/>
                <w:szCs w:val="21"/>
                <w:color w:val="auto"/>
              </w:rPr>
            </w:pPr>
          </w:p>
        </w:tc>
        <w:tc>
          <w:tcPr>
            <w:tcW w:w="6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Exchange Act</w:t>
            </w:r>
          </w:p>
        </w:tc>
      </w:tr>
      <w:tr>
        <w:trPr>
          <w:trHeight w:val="263"/>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RSU</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Restricted stock unit</w:t>
            </w:r>
          </w:p>
        </w:tc>
      </w:tr>
      <w:tr>
        <w:trPr>
          <w:trHeight w:val="277"/>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SBA</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U.S. Small Business Administration</w:t>
            </w:r>
          </w:p>
        </w:tc>
      </w:tr>
      <w:tr>
        <w:trPr>
          <w:trHeight w:val="263"/>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SEC</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U.S. Securities and Exchange Commission</w:t>
            </w:r>
          </w:p>
        </w:tc>
      </w:tr>
      <w:tr>
        <w:trPr>
          <w:trHeight w:val="277"/>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Securities Act</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Securities Act of 1933, as amended</w:t>
            </w:r>
          </w:p>
        </w:tc>
      </w:tr>
      <w:tr>
        <w:trPr>
          <w:trHeight w:val="263"/>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SOFR</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Secured Overnight Financing Rate published by the Federal Reserve</w:t>
            </w:r>
          </w:p>
        </w:tc>
      </w:tr>
      <w:tr>
        <w:trPr>
          <w:trHeight w:val="244"/>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Stock Repurchase Plan</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Stock repurchase program approved by First Busey Corporation's board of directors on February</w:t>
            </w:r>
          </w:p>
        </w:tc>
      </w:tr>
      <w:tr>
        <w:trPr>
          <w:trHeight w:val="248"/>
        </w:trPr>
        <w:tc>
          <w:tcPr>
            <w:tcW w:w="1580" w:type="dxa"/>
            <w:vAlign w:val="bottom"/>
            <w:shd w:val="clear" w:color="auto" w:fill="E0E7ED"/>
          </w:tcPr>
          <w:p>
            <w:pPr>
              <w:spacing w:after="0"/>
              <w:rPr>
                <w:sz w:val="21"/>
                <w:szCs w:val="21"/>
                <w:color w:val="auto"/>
              </w:rPr>
            </w:pPr>
          </w:p>
        </w:tc>
        <w:tc>
          <w:tcPr>
            <w:tcW w:w="6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3, 2015</w:t>
            </w:r>
          </w:p>
        </w:tc>
      </w:tr>
      <w:tr>
        <w:trPr>
          <w:trHeight w:val="238"/>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Term Loan</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$60 million term loan provided for in the Second Amended and Restated Credit Agreement,</w:t>
            </w:r>
          </w:p>
        </w:tc>
      </w:tr>
      <w:tr>
        <w:trPr>
          <w:trHeight w:val="242"/>
        </w:trPr>
        <w:tc>
          <w:tcPr>
            <w:tcW w:w="1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dated May 28, 2021</w:t>
            </w:r>
          </w:p>
        </w:tc>
      </w:tr>
      <w:tr>
        <w:trPr>
          <w:trHeight w:val="277"/>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U.S.</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United States of America</w:t>
            </w:r>
          </w:p>
        </w:tc>
      </w:tr>
      <w:tr>
        <w:trPr>
          <w:trHeight w:val="257"/>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U.S. Treasury</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U.S. Department of the Treasury</w:t>
            </w:r>
          </w:p>
        </w:tc>
      </w:tr>
      <w:tr>
        <w:trPr>
          <w:trHeight w:val="931"/>
        </w:trPr>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tcPr>
          <w:p>
            <w:pPr>
              <w:ind w:left="3200"/>
              <w:spacing w:after="0"/>
              <w:rPr>
                <w:sz w:val="20"/>
                <w:szCs w:val="20"/>
                <w:color w:val="auto"/>
              </w:rPr>
            </w:pPr>
            <w:r>
              <w:rPr>
                <w:rFonts w:ascii="Verdana" w:cs="Verdana" w:eastAsia="Verdana" w:hAnsi="Verdana"/>
                <w:sz w:val="18"/>
                <w:szCs w:val="18"/>
                <w:color w:val="auto"/>
              </w:rPr>
              <w:t>4</w:t>
            </w:r>
          </w:p>
        </w:tc>
      </w:tr>
      <w:tr>
        <w:trPr>
          <w:trHeight w:val="277"/>
        </w:trPr>
        <w:tc>
          <w:tcPr>
            <w:tcW w:w="15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4" w:name="page5"/>
    <w:bookmarkEnd w:id="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20"/>
        <w:spacing w:after="0"/>
        <w:rPr>
          <w:sz w:val="20"/>
          <w:szCs w:val="20"/>
          <w:color w:val="auto"/>
        </w:rPr>
      </w:pPr>
      <w:r>
        <w:rPr>
          <w:rFonts w:ascii="Verdana" w:cs="Verdana" w:eastAsia="Verdana" w:hAnsi="Verdana"/>
          <w:sz w:val="18"/>
          <w:szCs w:val="18"/>
          <w:b w:val="1"/>
          <w:bCs w:val="1"/>
          <w:color w:val="auto"/>
        </w:rPr>
        <w:t>PART I—FINANCIAL INFORMATION</w:t>
      </w:r>
    </w:p>
    <w:p>
      <w:pPr>
        <w:spacing w:after="0" w:line="173" w:lineRule="exact"/>
        <w:rPr>
          <w:sz w:val="20"/>
          <w:szCs w:val="20"/>
          <w:color w:val="auto"/>
        </w:rPr>
      </w:pPr>
    </w:p>
    <w:p>
      <w:pPr>
        <w:jc w:val="center"/>
        <w:ind w:right="-1120"/>
        <w:spacing w:after="0"/>
        <w:rPr>
          <w:sz w:val="20"/>
          <w:szCs w:val="20"/>
          <w:color w:val="auto"/>
        </w:rPr>
      </w:pPr>
      <w:r>
        <w:rPr>
          <w:rFonts w:ascii="Verdana" w:cs="Verdana" w:eastAsia="Verdana" w:hAnsi="Verdana"/>
          <w:sz w:val="18"/>
          <w:szCs w:val="18"/>
          <w:b w:val="1"/>
          <w:bCs w:val="1"/>
          <w:color w:val="auto"/>
        </w:rPr>
        <w:t>ITEM 1. FINANCIAL STATEMENTS</w:t>
      </w:r>
    </w:p>
    <w:p>
      <w:pPr>
        <w:spacing w:after="0" w:line="200" w:lineRule="exact"/>
        <w:rPr>
          <w:sz w:val="20"/>
          <w:szCs w:val="20"/>
          <w:color w:val="auto"/>
        </w:rPr>
      </w:pPr>
    </w:p>
    <w:p>
      <w:pPr>
        <w:spacing w:after="0" w:line="391" w:lineRule="exact"/>
        <w:rPr>
          <w:sz w:val="20"/>
          <w:szCs w:val="20"/>
          <w:color w:val="auto"/>
        </w:rPr>
      </w:pPr>
    </w:p>
    <w:p>
      <w:pPr>
        <w:ind w:left="5560"/>
        <w:spacing w:after="0"/>
        <w:rPr>
          <w:sz w:val="20"/>
          <w:szCs w:val="20"/>
          <w:color w:val="auto"/>
        </w:rPr>
      </w:pPr>
      <w:r>
        <w:rPr>
          <w:rFonts w:ascii="Verdana" w:cs="Verdana" w:eastAsia="Verdana" w:hAnsi="Verdana"/>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0" w:right="1440" w:bottom="1440" w:gutter="0" w:footer="0" w:header="0"/>
        </w:sectPr>
      </w:pPr>
    </w:p>
    <w:bookmarkStart w:id="5" w:name="page6"/>
    <w:bookmarkEnd w:id="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02"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b w:val="1"/>
          <w:bCs w:val="1"/>
          <w:color w:val="auto"/>
        </w:rPr>
        <w:t>FIRST BUSEY CORPORATION</w:t>
      </w:r>
    </w:p>
    <w:p>
      <w:pPr>
        <w:jc w:val="center"/>
        <w:ind w:right="-19"/>
        <w:spacing w:after="0" w:line="236" w:lineRule="auto"/>
        <w:rPr>
          <w:sz w:val="20"/>
          <w:szCs w:val="20"/>
          <w:color w:val="auto"/>
        </w:rPr>
      </w:pPr>
      <w:r>
        <w:rPr>
          <w:rFonts w:ascii="Verdana" w:cs="Verdana" w:eastAsia="Verdana" w:hAnsi="Verdana"/>
          <w:sz w:val="18"/>
          <w:szCs w:val="18"/>
          <w:b w:val="1"/>
          <w:bCs w:val="1"/>
          <w:color w:val="auto"/>
        </w:rPr>
        <w:t>CONSOLIDATED BALANCE SHEETS (Unaudited)</w:t>
      </w:r>
    </w:p>
    <w:p>
      <w:pPr>
        <w:spacing w:after="0" w:line="1"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i w:val="1"/>
          <w:i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280" w:type="dxa"/>
            <w:vAlign w:val="bottom"/>
            <w:tcBorders>
              <w:bottom w:val="single" w:sz="8" w:color="auto"/>
            </w:tcBorders>
          </w:tcPr>
          <w:p>
            <w:pPr>
              <w:spacing w:after="0"/>
              <w:rPr>
                <w:sz w:val="15"/>
                <w:szCs w:val="15"/>
                <w:color w:val="auto"/>
              </w:rPr>
            </w:pPr>
          </w:p>
        </w:tc>
      </w:tr>
      <w:tr>
        <w:trPr>
          <w:trHeight w:val="122"/>
        </w:trPr>
        <w:tc>
          <w:tcPr>
            <w:tcW w:w="4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March 31,</w:t>
            </w:r>
          </w:p>
        </w:tc>
        <w:tc>
          <w:tcPr>
            <w:tcW w:w="200" w:type="dxa"/>
            <w:vAlign w:val="bottom"/>
          </w:tcPr>
          <w:p>
            <w:pPr>
              <w:spacing w:after="0"/>
              <w:rPr>
                <w:sz w:val="10"/>
                <w:szCs w:val="10"/>
                <w:color w:val="auto"/>
              </w:rPr>
            </w:pPr>
          </w:p>
        </w:tc>
        <w:tc>
          <w:tcPr>
            <w:tcW w:w="1280" w:type="dxa"/>
            <w:vAlign w:val="bottom"/>
          </w:tcPr>
          <w:p>
            <w:pPr>
              <w:jc w:val="right"/>
              <w:ind w:right="177"/>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422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20" w:type="dxa"/>
            <w:vAlign w:val="bottom"/>
            <w:tcBorders>
              <w:bottom w:val="single" w:sz="8" w:color="E0E7ED"/>
            </w:tcBorders>
          </w:tcPr>
          <w:p>
            <w:pPr>
              <w:spacing w:after="0"/>
              <w:rPr>
                <w:sz w:val="14"/>
                <w:szCs w:val="14"/>
                <w:color w:val="auto"/>
              </w:rPr>
            </w:pPr>
          </w:p>
        </w:tc>
        <w:tc>
          <w:tcPr>
            <w:tcW w:w="160" w:type="dxa"/>
            <w:vAlign w:val="bottom"/>
            <w:tcBorders>
              <w:bottom w:val="single" w:sz="8" w:color="E0E7ED"/>
            </w:tcBorders>
          </w:tcPr>
          <w:p>
            <w:pPr>
              <w:spacing w:after="0"/>
              <w:rPr>
                <w:sz w:val="14"/>
                <w:szCs w:val="14"/>
                <w:color w:val="auto"/>
              </w:rPr>
            </w:pPr>
          </w:p>
        </w:tc>
        <w:tc>
          <w:tcPr>
            <w:tcW w:w="336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161"/>
        </w:trPr>
        <w:tc>
          <w:tcPr>
            <w:tcW w:w="8140" w:type="dxa"/>
            <w:vAlign w:val="bottom"/>
            <w:gridSpan w:val="5"/>
            <w:shd w:val="clear" w:color="auto" w:fill="E0E7ED"/>
          </w:tcPr>
          <w:p>
            <w:pPr>
              <w:ind w:left="20"/>
              <w:spacing w:after="0" w:line="150" w:lineRule="exact"/>
              <w:rPr>
                <w:sz w:val="20"/>
                <w:szCs w:val="20"/>
                <w:color w:val="auto"/>
              </w:rPr>
            </w:pPr>
            <w:r>
              <w:rPr>
                <w:rFonts w:ascii="Verdana" w:cs="Verdana" w:eastAsia="Verdana" w:hAnsi="Verdana"/>
                <w:sz w:val="13"/>
                <w:szCs w:val="13"/>
                <w:b w:val="1"/>
                <w:bCs w:val="1"/>
                <w:color w:val="auto"/>
              </w:rPr>
              <w:t>Assets</w:t>
            </w:r>
          </w:p>
        </w:tc>
        <w:tc>
          <w:tcPr>
            <w:tcW w:w="240" w:type="dxa"/>
            <w:vAlign w:val="bottom"/>
            <w:shd w:val="clear" w:color="auto" w:fill="E0E7ED"/>
          </w:tcPr>
          <w:p>
            <w:pPr>
              <w:spacing w:after="0"/>
              <w:rPr>
                <w:sz w:val="13"/>
                <w:szCs w:val="13"/>
                <w:color w:val="auto"/>
              </w:rPr>
            </w:pPr>
          </w:p>
        </w:tc>
        <w:tc>
          <w:tcPr>
            <w:tcW w:w="124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280" w:type="dxa"/>
            <w:vAlign w:val="bottom"/>
            <w:shd w:val="clear" w:color="auto" w:fill="E0E7ED"/>
          </w:tcPr>
          <w:p>
            <w:pPr>
              <w:spacing w:after="0"/>
              <w:rPr>
                <w:sz w:val="13"/>
                <w:szCs w:val="13"/>
                <w:color w:val="auto"/>
              </w:rPr>
            </w:pP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Cash and cash equivalents:</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Cash and due from banks</w:t>
            </w:r>
          </w:p>
        </w:tc>
        <w:tc>
          <w:tcPr>
            <w:tcW w:w="240" w:type="dxa"/>
            <w:vAlign w:val="bottom"/>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93,091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134,680</w:t>
            </w:r>
          </w:p>
        </w:tc>
      </w:tr>
      <w:tr>
        <w:trPr>
          <w:trHeight w:val="170"/>
        </w:trPr>
        <w:tc>
          <w:tcPr>
            <w:tcW w:w="8140" w:type="dxa"/>
            <w:vAlign w:val="bottom"/>
            <w:tcBorders>
              <w:bottom w:val="single" w:sz="8" w:color="E0E7ED"/>
            </w:tcBorders>
            <w:gridSpan w:val="5"/>
          </w:tcPr>
          <w:p>
            <w:pPr>
              <w:ind w:left="340"/>
              <w:spacing w:after="0"/>
              <w:rPr>
                <w:sz w:val="20"/>
                <w:szCs w:val="20"/>
                <w:color w:val="auto"/>
              </w:rPr>
            </w:pPr>
            <w:r>
              <w:rPr>
                <w:rFonts w:ascii="Verdana" w:cs="Verdana" w:eastAsia="Verdana" w:hAnsi="Verdana"/>
                <w:sz w:val="13"/>
                <w:szCs w:val="13"/>
                <w:color w:val="auto"/>
              </w:rPr>
              <w:t>Interest-bearing deposits</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497,980</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584,901</w:t>
            </w:r>
          </w:p>
        </w:tc>
      </w:tr>
      <w:tr>
        <w:trPr>
          <w:trHeight w:val="174"/>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Total cash and cash equivalents</w:t>
            </w: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591,071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719,581</w:t>
            </w:r>
          </w:p>
        </w:tc>
      </w:tr>
      <w:tr>
        <w:trPr>
          <w:trHeight w:val="203"/>
        </w:trPr>
        <w:tc>
          <w:tcPr>
            <w:tcW w:w="4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76"/>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Debt securities available for sale</w:t>
            </w: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1,898,072</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2,087,571</w:t>
            </w: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Debt securities held to maturity</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862,218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872,628</w:t>
            </w: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Equity securities</w:t>
            </w: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9,790</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9,812</w:t>
            </w: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Loans held for sale</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6,827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2,379</w:t>
            </w: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Portfolio loans (net of ACL of $91,562 at March 31, 2024, and $91,740 at December 31, 2023)</w:t>
            </w: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7,496,515</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7,559,294</w:t>
            </w: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Premises and equipment, net</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121,506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122,594</w:t>
            </w: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Right of use assets</w:t>
            </w: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10,590</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11,027</w:t>
            </w: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Goodwill</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317,873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317,873</w:t>
            </w: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Other intangible assets, net</w:t>
            </w: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33,582</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35,991</w:t>
            </w: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Cash surrender value of bank owned life insurance</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182,105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182,975</w:t>
            </w:r>
          </w:p>
        </w:tc>
      </w:tr>
      <w:tr>
        <w:trPr>
          <w:trHeight w:val="175"/>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Other assets</w:t>
            </w:r>
          </w:p>
        </w:tc>
        <w:tc>
          <w:tcPr>
            <w:tcW w:w="240" w:type="dxa"/>
            <w:vAlign w:val="bottom"/>
            <w:tcBorders>
              <w:bottom w:val="single" w:sz="8" w:color="auto"/>
            </w:tcBorders>
            <w:shd w:val="clear" w:color="auto" w:fill="E0E7ED"/>
          </w:tcPr>
          <w:p>
            <w:pPr>
              <w:spacing w:after="0"/>
              <w:rPr>
                <w:sz w:val="15"/>
                <w:szCs w:val="15"/>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357,309</w:t>
            </w:r>
          </w:p>
        </w:tc>
        <w:tc>
          <w:tcPr>
            <w:tcW w:w="10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361,690</w:t>
            </w:r>
          </w:p>
        </w:tc>
      </w:tr>
      <w:tr>
        <w:trPr>
          <w:trHeight w:val="174"/>
        </w:trPr>
        <w:tc>
          <w:tcPr>
            <w:tcW w:w="8140" w:type="dxa"/>
            <w:vAlign w:val="bottom"/>
            <w:gridSpan w:val="5"/>
          </w:tcPr>
          <w:p>
            <w:pPr>
              <w:ind w:left="20"/>
              <w:spacing w:after="0"/>
              <w:rPr>
                <w:sz w:val="20"/>
                <w:szCs w:val="20"/>
                <w:color w:val="auto"/>
              </w:rPr>
            </w:pPr>
            <w:r>
              <w:rPr>
                <w:rFonts w:ascii="Verdana" w:cs="Verdana" w:eastAsia="Verdana" w:hAnsi="Verdana"/>
                <w:sz w:val="13"/>
                <w:szCs w:val="13"/>
                <w:color w:val="auto"/>
              </w:rPr>
              <w:t>Total assets</w:t>
            </w:r>
          </w:p>
        </w:tc>
        <w:tc>
          <w:tcPr>
            <w:tcW w:w="240" w:type="dxa"/>
            <w:vAlign w:val="bottom"/>
            <w:tcBorders>
              <w:bottom w:val="single" w:sz="8" w:color="auto"/>
            </w:tcBorders>
          </w:tcPr>
          <w:p>
            <w:pPr>
              <w:jc w:val="right"/>
              <w:ind w:right="77"/>
              <w:spacing w:after="0"/>
              <w:rPr>
                <w:sz w:val="20"/>
                <w:szCs w:val="20"/>
                <w:color w:val="auto"/>
              </w:rPr>
            </w:pPr>
            <w:r>
              <w:rPr>
                <w:rFonts w:ascii="Verdana" w:cs="Verdana" w:eastAsia="Verdana" w:hAnsi="Verdana"/>
                <w:sz w:val="13"/>
                <w:szCs w:val="13"/>
                <w:color w:val="auto"/>
                <w:w w:val="95"/>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11,887,458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12,283,415</w:t>
            </w:r>
          </w:p>
        </w:tc>
      </w:tr>
      <w:tr>
        <w:trPr>
          <w:trHeight w:val="20"/>
        </w:trPr>
        <w:tc>
          <w:tcPr>
            <w:tcW w:w="422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E0E7ED"/>
            </w:tcBorders>
          </w:tcPr>
          <w:p>
            <w:pPr>
              <w:spacing w:after="0" w:line="20" w:lineRule="exact"/>
              <w:rPr>
                <w:sz w:val="1"/>
                <w:szCs w:val="1"/>
                <w:color w:val="auto"/>
              </w:rPr>
            </w:pPr>
          </w:p>
        </w:tc>
        <w:tc>
          <w:tcPr>
            <w:tcW w:w="336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9"/>
        </w:trPr>
        <w:tc>
          <w:tcPr>
            <w:tcW w:w="42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20" w:type="dxa"/>
            <w:vAlign w:val="bottom"/>
            <w:shd w:val="clear" w:color="auto" w:fill="E0E7ED"/>
          </w:tcPr>
          <w:p>
            <w:pPr>
              <w:spacing w:after="0"/>
              <w:rPr>
                <w:sz w:val="14"/>
                <w:szCs w:val="14"/>
                <w:color w:val="auto"/>
              </w:rPr>
            </w:pPr>
          </w:p>
        </w:tc>
        <w:tc>
          <w:tcPr>
            <w:tcW w:w="160" w:type="dxa"/>
            <w:vAlign w:val="bottom"/>
            <w:shd w:val="clear" w:color="auto" w:fill="E0E7ED"/>
          </w:tcPr>
          <w:p>
            <w:pPr>
              <w:spacing w:after="0"/>
              <w:rPr>
                <w:sz w:val="14"/>
                <w:szCs w:val="14"/>
                <w:color w:val="auto"/>
              </w:rPr>
            </w:pPr>
          </w:p>
        </w:tc>
        <w:tc>
          <w:tcPr>
            <w:tcW w:w="3360" w:type="dxa"/>
            <w:vAlign w:val="bottom"/>
            <w:shd w:val="clear" w:color="auto" w:fill="E0E7ED"/>
          </w:tcPr>
          <w:p>
            <w:pPr>
              <w:spacing w:after="0"/>
              <w:rPr>
                <w:sz w:val="14"/>
                <w:szCs w:val="14"/>
                <w:color w:val="auto"/>
              </w:rPr>
            </w:pPr>
          </w:p>
        </w:tc>
        <w:tc>
          <w:tcPr>
            <w:tcW w:w="240" w:type="dxa"/>
            <w:vAlign w:val="bottom"/>
            <w:shd w:val="clear" w:color="auto" w:fill="E0E7ED"/>
          </w:tcPr>
          <w:p>
            <w:pPr>
              <w:spacing w:after="0"/>
              <w:rPr>
                <w:sz w:val="14"/>
                <w:szCs w:val="14"/>
                <w:color w:val="auto"/>
              </w:rPr>
            </w:pPr>
          </w:p>
        </w:tc>
        <w:tc>
          <w:tcPr>
            <w:tcW w:w="124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280" w:type="dxa"/>
            <w:vAlign w:val="bottom"/>
            <w:shd w:val="clear" w:color="auto" w:fill="E0E7ED"/>
          </w:tcPr>
          <w:p>
            <w:pPr>
              <w:spacing w:after="0"/>
              <w:rPr>
                <w:sz w:val="14"/>
                <w:szCs w:val="14"/>
                <w:color w:val="auto"/>
              </w:rPr>
            </w:pPr>
          </w:p>
        </w:tc>
      </w:tr>
      <w:tr>
        <w:trPr>
          <w:trHeight w:val="170"/>
        </w:trPr>
        <w:tc>
          <w:tcPr>
            <w:tcW w:w="8140" w:type="dxa"/>
            <w:vAlign w:val="bottom"/>
            <w:gridSpan w:val="5"/>
          </w:tcPr>
          <w:p>
            <w:pPr>
              <w:ind w:left="20"/>
              <w:spacing w:after="0"/>
              <w:rPr>
                <w:sz w:val="20"/>
                <w:szCs w:val="20"/>
                <w:color w:val="auto"/>
              </w:rPr>
            </w:pPr>
            <w:r>
              <w:rPr>
                <w:rFonts w:ascii="Verdana" w:cs="Verdana" w:eastAsia="Verdana" w:hAnsi="Verdana"/>
                <w:sz w:val="13"/>
                <w:szCs w:val="13"/>
                <w:b w:val="1"/>
                <w:bCs w:val="1"/>
                <w:color w:val="auto"/>
              </w:rPr>
              <w:t>Liabilities and stockholders’ equity</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b w:val="1"/>
                <w:bCs w:val="1"/>
                <w:color w:val="auto"/>
              </w:rPr>
              <w:t>Liabilities</w:t>
            </w: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spacing w:after="0"/>
              <w:rPr>
                <w:sz w:val="15"/>
                <w:szCs w:val="15"/>
                <w:color w:val="auto"/>
              </w:rPr>
            </w:pPr>
          </w:p>
        </w:tc>
      </w:tr>
      <w:tr>
        <w:trPr>
          <w:trHeight w:val="170"/>
        </w:trPr>
        <w:tc>
          <w:tcPr>
            <w:tcW w:w="8140" w:type="dxa"/>
            <w:vAlign w:val="bottom"/>
            <w:gridSpan w:val="5"/>
          </w:tcPr>
          <w:p>
            <w:pPr>
              <w:ind w:left="340"/>
              <w:spacing w:after="0"/>
              <w:rPr>
                <w:sz w:val="20"/>
                <w:szCs w:val="20"/>
                <w:color w:val="auto"/>
              </w:rPr>
            </w:pPr>
            <w:r>
              <w:rPr>
                <w:rFonts w:ascii="Verdana" w:cs="Verdana" w:eastAsia="Verdana" w:hAnsi="Verdana"/>
                <w:sz w:val="13"/>
                <w:szCs w:val="13"/>
                <w:color w:val="auto"/>
              </w:rPr>
              <w:t>Deposits:</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8140" w:type="dxa"/>
            <w:vAlign w:val="bottom"/>
            <w:gridSpan w:val="5"/>
            <w:shd w:val="clear" w:color="auto" w:fill="E0E7ED"/>
          </w:tcPr>
          <w:p>
            <w:pPr>
              <w:ind w:left="500"/>
              <w:spacing w:after="0"/>
              <w:rPr>
                <w:sz w:val="20"/>
                <w:szCs w:val="20"/>
                <w:color w:val="auto"/>
              </w:rPr>
            </w:pPr>
            <w:r>
              <w:rPr>
                <w:rFonts w:ascii="Verdana" w:cs="Verdana" w:eastAsia="Verdana" w:hAnsi="Verdana"/>
                <w:sz w:val="13"/>
                <w:szCs w:val="13"/>
                <w:color w:val="auto"/>
              </w:rPr>
              <w:t>Noninterest-bearing</w:t>
            </w:r>
          </w:p>
        </w:tc>
        <w:tc>
          <w:tcPr>
            <w:tcW w:w="240" w:type="dxa"/>
            <w:vAlign w:val="bottom"/>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2,784,338</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2,834,655</w:t>
            </w:r>
          </w:p>
        </w:tc>
      </w:tr>
      <w:tr>
        <w:trPr>
          <w:trHeight w:val="170"/>
        </w:trPr>
        <w:tc>
          <w:tcPr>
            <w:tcW w:w="8140" w:type="dxa"/>
            <w:vAlign w:val="bottom"/>
            <w:tcBorders>
              <w:bottom w:val="single" w:sz="8" w:color="E0E7ED"/>
            </w:tcBorders>
            <w:gridSpan w:val="5"/>
          </w:tcPr>
          <w:p>
            <w:pPr>
              <w:ind w:left="500"/>
              <w:spacing w:after="0"/>
              <w:rPr>
                <w:sz w:val="20"/>
                <w:szCs w:val="20"/>
                <w:color w:val="auto"/>
              </w:rPr>
            </w:pPr>
            <w:r>
              <w:rPr>
                <w:rFonts w:ascii="Verdana" w:cs="Verdana" w:eastAsia="Verdana" w:hAnsi="Verdana"/>
                <w:sz w:val="13"/>
                <w:szCs w:val="13"/>
                <w:color w:val="auto"/>
              </w:rPr>
              <w:t>Interest-bearing</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7,175,853</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7,456,501</w:t>
            </w:r>
          </w:p>
        </w:tc>
      </w:tr>
      <w:tr>
        <w:trPr>
          <w:trHeight w:val="174"/>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Total deposits</w:t>
            </w: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9,960,191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10,291,156</w:t>
            </w:r>
          </w:p>
        </w:tc>
      </w:tr>
      <w:tr>
        <w:trPr>
          <w:trHeight w:val="203"/>
        </w:trPr>
        <w:tc>
          <w:tcPr>
            <w:tcW w:w="4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75"/>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Securities sold under agreements to repurchase</w:t>
            </w: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147,175</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187,396</w:t>
            </w:r>
          </w:p>
        </w:tc>
      </w:tr>
      <w:tr>
        <w:trPr>
          <w:trHeight w:val="170"/>
        </w:trPr>
        <w:tc>
          <w:tcPr>
            <w:tcW w:w="8140" w:type="dxa"/>
            <w:vAlign w:val="bottom"/>
            <w:gridSpan w:val="5"/>
          </w:tcPr>
          <w:p>
            <w:pPr>
              <w:ind w:left="340"/>
              <w:spacing w:after="0"/>
              <w:rPr>
                <w:sz w:val="20"/>
                <w:szCs w:val="20"/>
                <w:color w:val="auto"/>
              </w:rPr>
            </w:pPr>
            <w:r>
              <w:rPr>
                <w:rFonts w:ascii="Verdana" w:cs="Verdana" w:eastAsia="Verdana" w:hAnsi="Verdana"/>
                <w:sz w:val="13"/>
                <w:szCs w:val="13"/>
                <w:color w:val="auto"/>
              </w:rPr>
              <w:t>Short-term borrowings</w:t>
            </w:r>
          </w:p>
        </w:tc>
        <w:tc>
          <w:tcPr>
            <w:tcW w:w="2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12,000</w:t>
            </w: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Long-term debt</w:t>
            </w:r>
          </w:p>
        </w:tc>
        <w:tc>
          <w:tcPr>
            <w:tcW w:w="240" w:type="dxa"/>
            <w:vAlign w:val="bottom"/>
            <w:shd w:val="clear" w:color="auto" w:fill="E0E7ED"/>
          </w:tcPr>
          <w:p>
            <w:pPr>
              <w:spacing w:after="0"/>
              <w:rPr>
                <w:sz w:val="15"/>
                <w:szCs w:val="15"/>
                <w:color w:val="auto"/>
              </w:rPr>
            </w:pPr>
          </w:p>
        </w:tc>
        <w:tc>
          <w:tcPr>
            <w:tcW w:w="13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18,000</w:t>
            </w:r>
          </w:p>
        </w:tc>
      </w:tr>
      <w:tr>
        <w:trPr>
          <w:trHeight w:val="170"/>
        </w:trPr>
        <w:tc>
          <w:tcPr>
            <w:tcW w:w="8140" w:type="dxa"/>
            <w:vAlign w:val="bottom"/>
            <w:gridSpan w:val="5"/>
          </w:tcPr>
          <w:p>
            <w:pPr>
              <w:ind w:left="340"/>
              <w:spacing w:after="0"/>
              <w:rPr>
                <w:sz w:val="20"/>
                <w:szCs w:val="20"/>
                <w:color w:val="auto"/>
              </w:rPr>
            </w:pPr>
            <w:r>
              <w:rPr>
                <w:rFonts w:ascii="Verdana" w:cs="Verdana" w:eastAsia="Verdana" w:hAnsi="Verdana"/>
                <w:sz w:val="13"/>
                <w:szCs w:val="13"/>
                <w:color w:val="auto"/>
              </w:rPr>
              <w:t>Subordinated notes, net of unamortized issuance costs</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223,100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222,882</w:t>
            </w: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Junior subordinated debt owed to unconsolidated trusts</w:t>
            </w: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72,040</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71,993</w:t>
            </w:r>
          </w:p>
        </w:tc>
      </w:tr>
      <w:tr>
        <w:trPr>
          <w:trHeight w:val="170"/>
        </w:trPr>
        <w:tc>
          <w:tcPr>
            <w:tcW w:w="8140" w:type="dxa"/>
            <w:vAlign w:val="bottom"/>
            <w:gridSpan w:val="5"/>
          </w:tcPr>
          <w:p>
            <w:pPr>
              <w:ind w:left="340"/>
              <w:spacing w:after="0"/>
              <w:rPr>
                <w:sz w:val="20"/>
                <w:szCs w:val="20"/>
                <w:color w:val="auto"/>
              </w:rPr>
            </w:pPr>
            <w:r>
              <w:rPr>
                <w:rFonts w:ascii="Verdana" w:cs="Verdana" w:eastAsia="Verdana" w:hAnsi="Verdana"/>
                <w:sz w:val="13"/>
                <w:szCs w:val="13"/>
                <w:color w:val="auto"/>
              </w:rPr>
              <w:t>Lease liabilities</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10,896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11,308</w:t>
            </w: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Other liabilities</w:t>
            </w:r>
          </w:p>
        </w:tc>
        <w:tc>
          <w:tcPr>
            <w:tcW w:w="240" w:type="dxa"/>
            <w:vAlign w:val="bottom"/>
            <w:tcBorders>
              <w:bottom w:val="single" w:sz="8" w:color="auto"/>
            </w:tcBorders>
            <w:shd w:val="clear" w:color="auto" w:fill="E0E7ED"/>
          </w:tcPr>
          <w:p>
            <w:pPr>
              <w:spacing w:after="0"/>
              <w:rPr>
                <w:sz w:val="15"/>
                <w:szCs w:val="15"/>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191,405</w:t>
            </w:r>
          </w:p>
        </w:tc>
        <w:tc>
          <w:tcPr>
            <w:tcW w:w="10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196,699</w:t>
            </w:r>
          </w:p>
        </w:tc>
      </w:tr>
      <w:tr>
        <w:trPr>
          <w:trHeight w:val="164"/>
        </w:trPr>
        <w:tc>
          <w:tcPr>
            <w:tcW w:w="8140" w:type="dxa"/>
            <w:vAlign w:val="bottom"/>
            <w:tcBorders>
              <w:bottom w:val="single" w:sz="8" w:color="E0E7ED"/>
            </w:tcBorders>
            <w:gridSpan w:val="5"/>
          </w:tcPr>
          <w:p>
            <w:pPr>
              <w:ind w:left="180"/>
              <w:spacing w:after="0" w:line="153" w:lineRule="exact"/>
              <w:rPr>
                <w:sz w:val="20"/>
                <w:szCs w:val="20"/>
                <w:color w:val="auto"/>
              </w:rPr>
            </w:pPr>
            <w:r>
              <w:rPr>
                <w:rFonts w:ascii="Verdana" w:cs="Verdana" w:eastAsia="Verdana" w:hAnsi="Verdana"/>
                <w:sz w:val="13"/>
                <w:szCs w:val="13"/>
                <w:color w:val="auto"/>
              </w:rPr>
              <w:t>Total liabilities</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10,604,807</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11,011,434</w:t>
            </w:r>
          </w:p>
        </w:tc>
      </w:tr>
      <w:tr>
        <w:trPr>
          <w:trHeight w:val="188"/>
        </w:trPr>
        <w:tc>
          <w:tcPr>
            <w:tcW w:w="42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60" w:type="dxa"/>
            <w:vAlign w:val="bottom"/>
            <w:shd w:val="clear" w:color="auto" w:fill="E0E7ED"/>
          </w:tcPr>
          <w:p>
            <w:pPr>
              <w:spacing w:after="0"/>
              <w:rPr>
                <w:sz w:val="16"/>
                <w:szCs w:val="16"/>
                <w:color w:val="auto"/>
              </w:rPr>
            </w:pPr>
          </w:p>
        </w:tc>
        <w:tc>
          <w:tcPr>
            <w:tcW w:w="33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2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280" w:type="dxa"/>
            <w:vAlign w:val="bottom"/>
            <w:shd w:val="clear" w:color="auto" w:fill="E0E7ED"/>
          </w:tcPr>
          <w:p>
            <w:pPr>
              <w:spacing w:after="0"/>
              <w:rPr>
                <w:sz w:val="16"/>
                <w:szCs w:val="16"/>
                <w:color w:val="auto"/>
              </w:rPr>
            </w:pPr>
          </w:p>
        </w:tc>
      </w:tr>
      <w:tr>
        <w:trPr>
          <w:trHeight w:val="135"/>
        </w:trPr>
        <w:tc>
          <w:tcPr>
            <w:tcW w:w="8140" w:type="dxa"/>
            <w:vAlign w:val="bottom"/>
            <w:gridSpan w:val="5"/>
          </w:tcPr>
          <w:p>
            <w:pPr>
              <w:ind w:left="180"/>
              <w:spacing w:after="0" w:line="135" w:lineRule="exact"/>
              <w:rPr>
                <w:sz w:val="20"/>
                <w:szCs w:val="20"/>
                <w:color w:val="auto"/>
              </w:rPr>
            </w:pPr>
            <w:r>
              <w:rPr>
                <w:rFonts w:ascii="Verdana" w:cs="Verdana" w:eastAsia="Verdana" w:hAnsi="Verdana"/>
                <w:sz w:val="13"/>
                <w:szCs w:val="13"/>
                <w:color w:val="auto"/>
              </w:rPr>
              <w:t xml:space="preserve">Outstanding commitments and contingent liabilities (see Notes </w:t>
            </w:r>
            <w:r>
              <w:rPr>
                <w:rFonts w:ascii="Verdana" w:cs="Verdana" w:eastAsia="Verdana" w:hAnsi="Verdana"/>
                <w:sz w:val="13"/>
                <w:szCs w:val="13"/>
                <w:color w:val="0000FF"/>
              </w:rPr>
              <w:t>4</w:t>
            </w:r>
            <w:r>
              <w:rPr>
                <w:rFonts w:ascii="Verdana" w:cs="Verdana" w:eastAsia="Verdana" w:hAnsi="Verdana"/>
                <w:sz w:val="13"/>
                <w:szCs w:val="13"/>
                <w:color w:val="auto"/>
              </w:rPr>
              <w:t xml:space="preserve"> and </w:t>
            </w:r>
            <w:r>
              <w:rPr>
                <w:rFonts w:ascii="Verdana" w:cs="Verdana" w:eastAsia="Verdana" w:hAnsi="Verdana"/>
                <w:sz w:val="13"/>
                <w:szCs w:val="13"/>
                <w:color w:val="0000FF"/>
              </w:rPr>
              <w:t>10</w:t>
            </w:r>
            <w:r>
              <w:rPr>
                <w:rFonts w:ascii="Verdana" w:cs="Verdana" w:eastAsia="Verdana" w:hAnsi="Verdana"/>
                <w:sz w:val="13"/>
                <w:szCs w:val="13"/>
                <w:color w:val="auto"/>
              </w:rPr>
              <w:t>)</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0"/>
        </w:trPr>
        <w:tc>
          <w:tcPr>
            <w:tcW w:w="42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3"/>
        </w:trPr>
        <w:tc>
          <w:tcPr>
            <w:tcW w:w="42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2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336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124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280" w:type="dxa"/>
            <w:vAlign w:val="bottom"/>
            <w:shd w:val="clear" w:color="auto" w:fill="E0E7ED"/>
          </w:tcPr>
          <w:p>
            <w:pPr>
              <w:spacing w:after="0"/>
              <w:rPr>
                <w:sz w:val="17"/>
                <w:szCs w:val="17"/>
                <w:color w:val="auto"/>
              </w:rPr>
            </w:pP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Stockholders’ equity</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Common stock, ($.001 par value; 100,000,000 shares authorized)</w:t>
            </w: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58</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58</w:t>
            </w:r>
          </w:p>
        </w:tc>
      </w:tr>
      <w:tr>
        <w:trPr>
          <w:trHeight w:val="170"/>
        </w:trPr>
        <w:tc>
          <w:tcPr>
            <w:tcW w:w="8140" w:type="dxa"/>
            <w:vAlign w:val="bottom"/>
            <w:gridSpan w:val="5"/>
          </w:tcPr>
          <w:p>
            <w:pPr>
              <w:ind w:left="340"/>
              <w:spacing w:after="0"/>
              <w:rPr>
                <w:sz w:val="20"/>
                <w:szCs w:val="20"/>
                <w:color w:val="auto"/>
              </w:rPr>
            </w:pPr>
            <w:r>
              <w:rPr>
                <w:rFonts w:ascii="Verdana" w:cs="Verdana" w:eastAsia="Verdana" w:hAnsi="Verdana"/>
                <w:sz w:val="13"/>
                <w:szCs w:val="13"/>
                <w:color w:val="auto"/>
              </w:rPr>
              <w:t>Additional paid-in capital</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1,324,999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1,323,595</w:t>
            </w: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Retained earnings</w:t>
            </w: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248,412</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237,197</w:t>
            </w:r>
          </w:p>
        </w:tc>
      </w:tr>
      <w:tr>
        <w:trPr>
          <w:trHeight w:val="170"/>
        </w:trPr>
        <w:tc>
          <w:tcPr>
            <w:tcW w:w="8140" w:type="dxa"/>
            <w:vAlign w:val="bottom"/>
            <w:tcBorders>
              <w:bottom w:val="single" w:sz="8" w:color="E0E7ED"/>
            </w:tcBorders>
            <w:gridSpan w:val="5"/>
          </w:tcPr>
          <w:p>
            <w:pPr>
              <w:ind w:left="340"/>
              <w:spacing w:after="0"/>
              <w:rPr>
                <w:sz w:val="20"/>
                <w:szCs w:val="20"/>
                <w:color w:val="auto"/>
              </w:rPr>
            </w:pPr>
            <w:r>
              <w:rPr>
                <w:rFonts w:ascii="Verdana" w:cs="Verdana" w:eastAsia="Verdana" w:hAnsi="Verdana"/>
                <w:sz w:val="13"/>
                <w:szCs w:val="13"/>
                <w:color w:val="auto"/>
              </w:rPr>
              <w:t>AOCI</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(222,190)</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(218,803)</w:t>
            </w:r>
          </w:p>
        </w:tc>
      </w:tr>
      <w:tr>
        <w:trPr>
          <w:trHeight w:val="174"/>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Total stockholders’ equity before treasury stock</w:t>
            </w: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1,351,279</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1,342,047</w:t>
            </w:r>
          </w:p>
        </w:tc>
      </w:tr>
      <w:tr>
        <w:trPr>
          <w:trHeight w:val="170"/>
        </w:trPr>
        <w:tc>
          <w:tcPr>
            <w:tcW w:w="8140" w:type="dxa"/>
            <w:vAlign w:val="bottom"/>
            <w:tcBorders>
              <w:bottom w:val="single" w:sz="8" w:color="E0E7ED"/>
            </w:tcBorders>
            <w:gridSpan w:val="5"/>
          </w:tcPr>
          <w:p>
            <w:pPr>
              <w:ind w:left="340"/>
              <w:spacing w:after="0"/>
              <w:rPr>
                <w:sz w:val="20"/>
                <w:szCs w:val="20"/>
                <w:color w:val="auto"/>
              </w:rPr>
            </w:pPr>
            <w:r>
              <w:rPr>
                <w:rFonts w:ascii="Verdana" w:cs="Verdana" w:eastAsia="Verdana" w:hAnsi="Verdana"/>
                <w:sz w:val="13"/>
                <w:szCs w:val="13"/>
                <w:color w:val="auto"/>
              </w:rPr>
              <w:t>Treasury stock at cost</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(68,628)</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(70,066)</w:t>
            </w:r>
          </w:p>
        </w:tc>
      </w:tr>
      <w:tr>
        <w:trPr>
          <w:trHeight w:val="169"/>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Total stockholders’ equity</w:t>
            </w:r>
          </w:p>
        </w:tc>
        <w:tc>
          <w:tcPr>
            <w:tcW w:w="240" w:type="dxa"/>
            <w:vAlign w:val="bottom"/>
            <w:tcBorders>
              <w:bottom w:val="single" w:sz="8" w:color="auto"/>
            </w:tcBorders>
            <w:shd w:val="clear" w:color="auto" w:fill="E0E7ED"/>
          </w:tcPr>
          <w:p>
            <w:pPr>
              <w:spacing w:after="0"/>
              <w:rPr>
                <w:sz w:val="14"/>
                <w:szCs w:val="14"/>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1,282,651</w:t>
            </w:r>
          </w:p>
        </w:tc>
        <w:tc>
          <w:tcPr>
            <w:tcW w:w="100" w:type="dxa"/>
            <w:vAlign w:val="bottom"/>
            <w:shd w:val="clear" w:color="auto" w:fill="E0E7ED"/>
          </w:tcPr>
          <w:p>
            <w:pPr>
              <w:spacing w:after="0"/>
              <w:rPr>
                <w:sz w:val="14"/>
                <w:szCs w:val="14"/>
                <w:color w:val="auto"/>
              </w:rPr>
            </w:pPr>
          </w:p>
        </w:tc>
        <w:tc>
          <w:tcPr>
            <w:tcW w:w="200" w:type="dxa"/>
            <w:vAlign w:val="bottom"/>
            <w:tcBorders>
              <w:bottom w:val="single" w:sz="8" w:color="auto"/>
            </w:tcBorders>
            <w:shd w:val="clear" w:color="auto" w:fill="E0E7ED"/>
          </w:tcPr>
          <w:p>
            <w:pPr>
              <w:spacing w:after="0"/>
              <w:rPr>
                <w:sz w:val="14"/>
                <w:szCs w:val="14"/>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1,271,981</w:t>
            </w:r>
          </w:p>
        </w:tc>
      </w:tr>
      <w:tr>
        <w:trPr>
          <w:trHeight w:val="174"/>
        </w:trPr>
        <w:tc>
          <w:tcPr>
            <w:tcW w:w="8140" w:type="dxa"/>
            <w:vAlign w:val="bottom"/>
            <w:gridSpan w:val="5"/>
          </w:tcPr>
          <w:p>
            <w:pPr>
              <w:ind w:left="20"/>
              <w:spacing w:after="0"/>
              <w:rPr>
                <w:sz w:val="20"/>
                <w:szCs w:val="20"/>
                <w:color w:val="auto"/>
              </w:rPr>
            </w:pPr>
            <w:r>
              <w:rPr>
                <w:rFonts w:ascii="Verdana" w:cs="Verdana" w:eastAsia="Verdana" w:hAnsi="Verdana"/>
                <w:sz w:val="13"/>
                <w:szCs w:val="13"/>
                <w:color w:val="auto"/>
              </w:rPr>
              <w:t>Total liabilities and stockholders’ equity</w:t>
            </w:r>
          </w:p>
        </w:tc>
        <w:tc>
          <w:tcPr>
            <w:tcW w:w="240" w:type="dxa"/>
            <w:vAlign w:val="bottom"/>
            <w:tcBorders>
              <w:bottom w:val="single" w:sz="8" w:color="auto"/>
            </w:tcBorders>
          </w:tcPr>
          <w:p>
            <w:pPr>
              <w:jc w:val="right"/>
              <w:ind w:right="77"/>
              <w:spacing w:after="0"/>
              <w:rPr>
                <w:sz w:val="20"/>
                <w:szCs w:val="20"/>
                <w:color w:val="auto"/>
              </w:rPr>
            </w:pPr>
            <w:r>
              <w:rPr>
                <w:rFonts w:ascii="Verdana" w:cs="Verdana" w:eastAsia="Verdana" w:hAnsi="Verdana"/>
                <w:sz w:val="13"/>
                <w:szCs w:val="13"/>
                <w:color w:val="auto"/>
                <w:w w:val="95"/>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11,887,458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12,283,415</w:t>
            </w:r>
          </w:p>
        </w:tc>
      </w:tr>
      <w:tr>
        <w:trPr>
          <w:trHeight w:val="20"/>
        </w:trPr>
        <w:tc>
          <w:tcPr>
            <w:tcW w:w="422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E0E7ED"/>
            </w:tcBorders>
          </w:tcPr>
          <w:p>
            <w:pPr>
              <w:spacing w:after="0" w:line="20" w:lineRule="exact"/>
              <w:rPr>
                <w:sz w:val="1"/>
                <w:szCs w:val="1"/>
                <w:color w:val="auto"/>
              </w:rPr>
            </w:pPr>
          </w:p>
        </w:tc>
        <w:tc>
          <w:tcPr>
            <w:tcW w:w="336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0"/>
        </w:trPr>
        <w:tc>
          <w:tcPr>
            <w:tcW w:w="42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20" w:type="dxa"/>
            <w:vAlign w:val="bottom"/>
            <w:shd w:val="clear" w:color="auto" w:fill="E0E7ED"/>
          </w:tcPr>
          <w:p>
            <w:pPr>
              <w:spacing w:after="0"/>
              <w:rPr>
                <w:sz w:val="14"/>
                <w:szCs w:val="14"/>
                <w:color w:val="auto"/>
              </w:rPr>
            </w:pPr>
          </w:p>
        </w:tc>
        <w:tc>
          <w:tcPr>
            <w:tcW w:w="160" w:type="dxa"/>
            <w:vAlign w:val="bottom"/>
            <w:shd w:val="clear" w:color="auto" w:fill="E0E7ED"/>
          </w:tcPr>
          <w:p>
            <w:pPr>
              <w:spacing w:after="0"/>
              <w:rPr>
                <w:sz w:val="14"/>
                <w:szCs w:val="14"/>
                <w:color w:val="auto"/>
              </w:rPr>
            </w:pPr>
          </w:p>
        </w:tc>
        <w:tc>
          <w:tcPr>
            <w:tcW w:w="3360" w:type="dxa"/>
            <w:vAlign w:val="bottom"/>
            <w:shd w:val="clear" w:color="auto" w:fill="E0E7ED"/>
          </w:tcPr>
          <w:p>
            <w:pPr>
              <w:spacing w:after="0"/>
              <w:rPr>
                <w:sz w:val="14"/>
                <w:szCs w:val="14"/>
                <w:color w:val="auto"/>
              </w:rPr>
            </w:pPr>
          </w:p>
        </w:tc>
        <w:tc>
          <w:tcPr>
            <w:tcW w:w="240" w:type="dxa"/>
            <w:vAlign w:val="bottom"/>
            <w:shd w:val="clear" w:color="auto" w:fill="E0E7ED"/>
          </w:tcPr>
          <w:p>
            <w:pPr>
              <w:spacing w:after="0"/>
              <w:rPr>
                <w:sz w:val="14"/>
                <w:szCs w:val="14"/>
                <w:color w:val="auto"/>
              </w:rPr>
            </w:pPr>
          </w:p>
        </w:tc>
        <w:tc>
          <w:tcPr>
            <w:tcW w:w="124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280" w:type="dxa"/>
            <w:vAlign w:val="bottom"/>
            <w:shd w:val="clear" w:color="auto" w:fill="E0E7ED"/>
          </w:tcPr>
          <w:p>
            <w:pPr>
              <w:spacing w:after="0"/>
              <w:rPr>
                <w:sz w:val="14"/>
                <w:szCs w:val="14"/>
                <w:color w:val="auto"/>
              </w:rPr>
            </w:pPr>
          </w:p>
        </w:tc>
      </w:tr>
      <w:tr>
        <w:trPr>
          <w:trHeight w:val="170"/>
        </w:trPr>
        <w:tc>
          <w:tcPr>
            <w:tcW w:w="8140" w:type="dxa"/>
            <w:vAlign w:val="bottom"/>
            <w:gridSpan w:val="5"/>
          </w:tcPr>
          <w:p>
            <w:pPr>
              <w:ind w:left="20"/>
              <w:spacing w:after="0"/>
              <w:rPr>
                <w:sz w:val="20"/>
                <w:szCs w:val="20"/>
                <w:color w:val="auto"/>
              </w:rPr>
            </w:pPr>
            <w:r>
              <w:rPr>
                <w:rFonts w:ascii="Verdana" w:cs="Verdana" w:eastAsia="Verdana" w:hAnsi="Verdana"/>
                <w:sz w:val="13"/>
                <w:szCs w:val="13"/>
                <w:b w:val="1"/>
                <w:bCs w:val="1"/>
                <w:color w:val="auto"/>
              </w:rPr>
              <w:t>Shares</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Common shares issued</w:t>
            </w: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58,116,969</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58,116,969</w:t>
            </w:r>
          </w:p>
        </w:tc>
      </w:tr>
      <w:tr>
        <w:trPr>
          <w:trHeight w:val="170"/>
        </w:trPr>
        <w:tc>
          <w:tcPr>
            <w:tcW w:w="8140" w:type="dxa"/>
            <w:vAlign w:val="bottom"/>
            <w:tcBorders>
              <w:bottom w:val="single" w:sz="8" w:color="E0E7ED"/>
            </w:tcBorders>
            <w:gridSpan w:val="5"/>
          </w:tcPr>
          <w:p>
            <w:pPr>
              <w:ind w:left="180"/>
              <w:spacing w:after="0"/>
              <w:rPr>
                <w:sz w:val="20"/>
                <w:szCs w:val="20"/>
                <w:color w:val="auto"/>
              </w:rPr>
            </w:pPr>
            <w:r>
              <w:rPr>
                <w:rFonts w:ascii="Verdana" w:cs="Verdana" w:eastAsia="Verdana" w:hAnsi="Verdana"/>
                <w:sz w:val="13"/>
                <w:szCs w:val="13"/>
                <w:color w:val="auto"/>
              </w:rPr>
              <w:t>Less: Treasury shares</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(2,816,961)</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(2,872,850)</w:t>
            </w:r>
          </w:p>
        </w:tc>
      </w:tr>
      <w:tr>
        <w:trPr>
          <w:trHeight w:val="199"/>
        </w:trPr>
        <w:tc>
          <w:tcPr>
            <w:tcW w:w="8140" w:type="dxa"/>
            <w:vAlign w:val="bottom"/>
            <w:tcBorders>
              <w:bottom w:val="single" w:sz="8" w:color="E0E7ED"/>
            </w:tcBorders>
            <w:gridSpan w:val="5"/>
            <w:shd w:val="clear" w:color="auto" w:fill="E0E7ED"/>
          </w:tcPr>
          <w:p>
            <w:pPr>
              <w:ind w:left="180"/>
              <w:spacing w:after="0"/>
              <w:rPr>
                <w:sz w:val="20"/>
                <w:szCs w:val="20"/>
                <w:color w:val="auto"/>
              </w:rPr>
            </w:pPr>
            <w:r>
              <w:rPr>
                <w:rFonts w:ascii="Verdana" w:cs="Verdana" w:eastAsia="Verdana" w:hAnsi="Verdana"/>
                <w:sz w:val="13"/>
                <w:szCs w:val="13"/>
                <w:color w:val="auto"/>
              </w:rPr>
              <w:t>Common shares outstanding</w:t>
            </w:r>
          </w:p>
        </w:tc>
        <w:tc>
          <w:tcPr>
            <w:tcW w:w="240" w:type="dxa"/>
            <w:vAlign w:val="bottom"/>
            <w:tcBorders>
              <w:bottom w:val="single" w:sz="8" w:color="auto"/>
            </w:tcBorders>
            <w:shd w:val="clear" w:color="auto" w:fill="E0E7ED"/>
          </w:tcPr>
          <w:p>
            <w:pPr>
              <w:spacing w:after="0"/>
              <w:rPr>
                <w:sz w:val="16"/>
                <w:szCs w:val="16"/>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55,300,008</w:t>
            </w:r>
          </w:p>
        </w:tc>
        <w:tc>
          <w:tcPr>
            <w:tcW w:w="10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55,244,119</w:t>
            </w:r>
          </w:p>
        </w:tc>
      </w:tr>
      <w:tr>
        <w:trPr>
          <w:trHeight w:val="20"/>
        </w:trPr>
        <w:tc>
          <w:tcPr>
            <w:tcW w:w="42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tcBorders>
          </w:tcPr>
          <w:p>
            <w:pPr>
              <w:spacing w:after="0" w:line="20" w:lineRule="exact"/>
              <w:rPr>
                <w:sz w:val="1"/>
                <w:szCs w:val="1"/>
                <w:color w:val="auto"/>
              </w:rPr>
            </w:pPr>
          </w:p>
        </w:tc>
        <w:tc>
          <w:tcPr>
            <w:tcW w:w="336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 xml:space="preserve">See accompanying </w:t>
      </w:r>
      <w:r>
        <w:rPr>
          <w:rFonts w:ascii="Verdana" w:cs="Verdana" w:eastAsia="Verdana" w:hAnsi="Verdana"/>
          <w:sz w:val="18"/>
          <w:szCs w:val="18"/>
          <w:u w:val="single" w:color="auto"/>
          <w:color w:val="0000FF"/>
        </w:rPr>
        <w:t>Notes to Consolidated Financial Statements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6" w:name="page7"/>
    <w:bookmarkEnd w:id="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INCOME (Unaudited)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377"/>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81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161"/>
        </w:trPr>
        <w:tc>
          <w:tcPr>
            <w:tcW w:w="8180" w:type="dxa"/>
            <w:vAlign w:val="bottom"/>
            <w:shd w:val="clear" w:color="auto" w:fill="E0E7ED"/>
          </w:tcPr>
          <w:p>
            <w:pPr>
              <w:ind w:left="20"/>
              <w:spacing w:after="0" w:line="150" w:lineRule="exact"/>
              <w:rPr>
                <w:sz w:val="20"/>
                <w:szCs w:val="20"/>
                <w:color w:val="auto"/>
              </w:rPr>
            </w:pPr>
            <w:r>
              <w:rPr>
                <w:rFonts w:ascii="Verdana" w:cs="Verdana" w:eastAsia="Verdana" w:hAnsi="Verdana"/>
                <w:sz w:val="13"/>
                <w:szCs w:val="13"/>
                <w:b w:val="1"/>
                <w:bCs w:val="1"/>
                <w:color w:val="auto"/>
              </w:rPr>
              <w:t>Interest income</w:t>
            </w:r>
          </w:p>
        </w:tc>
        <w:tc>
          <w:tcPr>
            <w:tcW w:w="260" w:type="dxa"/>
            <w:vAlign w:val="bottom"/>
            <w:shd w:val="clear" w:color="auto" w:fill="E0E7ED"/>
          </w:tcPr>
          <w:p>
            <w:pPr>
              <w:spacing w:after="0"/>
              <w:rPr>
                <w:sz w:val="13"/>
                <w:szCs w:val="13"/>
                <w:color w:val="auto"/>
              </w:rPr>
            </w:pPr>
          </w:p>
        </w:tc>
        <w:tc>
          <w:tcPr>
            <w:tcW w:w="122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Interest and fees on loans</w:t>
            </w:r>
          </w:p>
        </w:tc>
        <w:tc>
          <w:tcPr>
            <w:tcW w:w="260" w:type="dxa"/>
            <w:vAlign w:val="bottom"/>
          </w:tcPr>
          <w:p>
            <w:pPr>
              <w:jc w:val="right"/>
              <w:ind w:right="97"/>
              <w:spacing w:after="0"/>
              <w:rPr>
                <w:sz w:val="20"/>
                <w:szCs w:val="20"/>
                <w:color w:val="auto"/>
              </w:rPr>
            </w:pPr>
            <w:r>
              <w:rPr>
                <w:rFonts w:ascii="Verdana" w:cs="Verdana" w:eastAsia="Verdana" w:hAnsi="Verdana"/>
                <w:sz w:val="13"/>
                <w:szCs w:val="13"/>
                <w:color w:val="auto"/>
                <w:w w:val="95"/>
              </w:rPr>
              <w:t>$</w:t>
            </w: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99,325</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89,775</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Interest and dividends on investment securities: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r>
      <w:tr>
        <w:trPr>
          <w:trHeight w:val="170"/>
        </w:trPr>
        <w:tc>
          <w:tcPr>
            <w:tcW w:w="8180" w:type="dxa"/>
            <w:vAlign w:val="bottom"/>
          </w:tcPr>
          <w:p>
            <w:pPr>
              <w:ind w:left="360"/>
              <w:spacing w:after="0"/>
              <w:rPr>
                <w:sz w:val="20"/>
                <w:szCs w:val="20"/>
                <w:color w:val="auto"/>
              </w:rPr>
            </w:pPr>
            <w:r>
              <w:rPr>
                <w:rFonts w:ascii="Verdana" w:cs="Verdana" w:eastAsia="Verdana" w:hAnsi="Verdana"/>
                <w:sz w:val="13"/>
                <w:szCs w:val="13"/>
                <w:color w:val="auto"/>
              </w:rPr>
              <w:t>Taxable interest income</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19,597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19,599</w:t>
            </w:r>
          </w:p>
        </w:tc>
      </w:tr>
      <w:tr>
        <w:trPr>
          <w:trHeight w:val="181"/>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Non-taxable interest income</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340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743</w:t>
            </w:r>
          </w:p>
        </w:tc>
      </w:tr>
      <w:tr>
        <w:trPr>
          <w:trHeight w:val="170"/>
        </w:trPr>
        <w:tc>
          <w:tcPr>
            <w:tcW w:w="818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Other interest income</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6,471</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988</w:t>
            </w:r>
          </w:p>
        </w:tc>
      </w:tr>
      <w:tr>
        <w:trPr>
          <w:trHeight w:val="169"/>
        </w:trPr>
        <w:tc>
          <w:tcPr>
            <w:tcW w:w="8180" w:type="dxa"/>
            <w:vAlign w:val="bottom"/>
            <w:shd w:val="clear" w:color="auto" w:fill="E0E7ED"/>
          </w:tcPr>
          <w:p>
            <w:pPr>
              <w:ind w:left="20"/>
              <w:spacing w:after="0"/>
              <w:rPr>
                <w:sz w:val="20"/>
                <w:szCs w:val="20"/>
                <w:color w:val="auto"/>
              </w:rPr>
            </w:pPr>
            <w:r>
              <w:rPr>
                <w:rFonts w:ascii="Verdana" w:cs="Verdana" w:eastAsia="Verdana" w:hAnsi="Verdana"/>
                <w:sz w:val="13"/>
                <w:szCs w:val="13"/>
                <w:color w:val="auto"/>
              </w:rPr>
              <w:t>Total interest income</w:t>
            </w:r>
          </w:p>
        </w:tc>
        <w:tc>
          <w:tcPr>
            <w:tcW w:w="260" w:type="dxa"/>
            <w:vAlign w:val="bottom"/>
            <w:tcBorders>
              <w:bottom w:val="single" w:sz="8" w:color="auto"/>
            </w:tcBorders>
            <w:shd w:val="clear" w:color="auto" w:fill="E0E7ED"/>
          </w:tcPr>
          <w:p>
            <w:pPr>
              <w:spacing w:after="0"/>
              <w:rPr>
                <w:sz w:val="14"/>
                <w:szCs w:val="14"/>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125,733</w:t>
            </w: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111,105</w:t>
            </w:r>
          </w:p>
        </w:tc>
      </w:t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76"/>
        </w:trPr>
        <w:tc>
          <w:tcPr>
            <w:tcW w:w="818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Interest expense</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Deposits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43,968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14,740</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Federal funds purchased and securities sold under agreements to repurchase</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1,372</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1,222</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Short-term borrowings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232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4,822</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Long-term debt</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296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454</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Subordinated notes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3,109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3,097</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Junior subordinated debt owed to unconsolidated trusts</w:t>
            </w:r>
          </w:p>
        </w:tc>
        <w:tc>
          <w:tcPr>
            <w:tcW w:w="260" w:type="dxa"/>
            <w:vAlign w:val="bottom"/>
            <w:tcBorders>
              <w:bottom w:val="single" w:sz="8" w:color="auto"/>
            </w:tcBorders>
            <w:shd w:val="clear" w:color="auto" w:fill="E0E7ED"/>
          </w:tcPr>
          <w:p>
            <w:pPr>
              <w:spacing w:after="0"/>
              <w:rPr>
                <w:sz w:val="15"/>
                <w:szCs w:val="15"/>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989</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913</w:t>
            </w:r>
          </w:p>
        </w:tc>
      </w:tr>
      <w:tr>
        <w:trPr>
          <w:trHeight w:val="164"/>
        </w:trPr>
        <w:tc>
          <w:tcPr>
            <w:tcW w:w="818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Total interest expense</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49,966</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25,248</w:t>
            </w:r>
          </w:p>
        </w:tc>
      </w:tr>
      <w:tr>
        <w:trPr>
          <w:trHeight w:val="161"/>
        </w:trPr>
        <w:tc>
          <w:tcPr>
            <w:tcW w:w="8180" w:type="dxa"/>
            <w:vAlign w:val="bottom"/>
            <w:shd w:val="clear" w:color="auto" w:fill="E0E7ED"/>
          </w:tcPr>
          <w:p>
            <w:pPr>
              <w:spacing w:after="0"/>
              <w:rPr>
                <w:sz w:val="13"/>
                <w:szCs w:val="13"/>
                <w:color w:val="auto"/>
              </w:rPr>
            </w:pPr>
          </w:p>
        </w:tc>
        <w:tc>
          <w:tcPr>
            <w:tcW w:w="260" w:type="dxa"/>
            <w:vAlign w:val="bottom"/>
            <w:shd w:val="clear" w:color="auto" w:fill="E0E7ED"/>
          </w:tcPr>
          <w:p>
            <w:pPr>
              <w:spacing w:after="0"/>
              <w:rPr>
                <w:sz w:val="13"/>
                <w:szCs w:val="13"/>
                <w:color w:val="auto"/>
              </w:rPr>
            </w:pPr>
          </w:p>
        </w:tc>
        <w:tc>
          <w:tcPr>
            <w:tcW w:w="122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color w:val="auto"/>
              </w:rPr>
              <w:t>Net interest income</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75,767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85,857</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Provision for credit losses</w:t>
            </w:r>
          </w:p>
        </w:tc>
        <w:tc>
          <w:tcPr>
            <w:tcW w:w="260" w:type="dxa"/>
            <w:vAlign w:val="bottom"/>
            <w:tcBorders>
              <w:bottom w:val="single" w:sz="8" w:color="auto"/>
            </w:tcBorders>
            <w:shd w:val="clear" w:color="auto" w:fill="E0E7ED"/>
          </w:tcPr>
          <w:p>
            <w:pPr>
              <w:spacing w:after="0"/>
              <w:rPr>
                <w:sz w:val="15"/>
                <w:szCs w:val="15"/>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5,038</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953</w:t>
            </w:r>
          </w:p>
        </w:tc>
      </w:tr>
      <w:tr>
        <w:trPr>
          <w:trHeight w:val="164"/>
        </w:trPr>
        <w:tc>
          <w:tcPr>
            <w:tcW w:w="818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Net interest income after provision for credit losses</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70,729</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84,904</w:t>
            </w:r>
          </w:p>
        </w:tc>
      </w:tr>
      <w:tr>
        <w:trPr>
          <w:trHeight w:val="161"/>
        </w:trPr>
        <w:tc>
          <w:tcPr>
            <w:tcW w:w="8180" w:type="dxa"/>
            <w:vAlign w:val="bottom"/>
            <w:shd w:val="clear" w:color="auto" w:fill="E0E7ED"/>
          </w:tcPr>
          <w:p>
            <w:pPr>
              <w:spacing w:after="0"/>
              <w:rPr>
                <w:sz w:val="13"/>
                <w:szCs w:val="13"/>
                <w:color w:val="auto"/>
              </w:rPr>
            </w:pPr>
          </w:p>
        </w:tc>
        <w:tc>
          <w:tcPr>
            <w:tcW w:w="260" w:type="dxa"/>
            <w:vAlign w:val="bottom"/>
            <w:shd w:val="clear" w:color="auto" w:fill="E0E7ED"/>
          </w:tcPr>
          <w:p>
            <w:pPr>
              <w:spacing w:after="0"/>
              <w:rPr>
                <w:sz w:val="13"/>
                <w:szCs w:val="13"/>
                <w:color w:val="auto"/>
              </w:rPr>
            </w:pPr>
          </w:p>
        </w:tc>
        <w:tc>
          <w:tcPr>
            <w:tcW w:w="122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Noninterest income</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Wealth management fees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15,549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14,797</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Fees for customer services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7,056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6,819</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Payment technology solutions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5,709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5,315</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Mortgage revenue</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746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288</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Income on bank owned life insurance</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1,419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1,652</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Realized gain on the sale of mortgage servicing rights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7,465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Realized net gains (losses) on securities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(6,802)</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Unrealized net gains (losses) recognized on equity securities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427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(620)</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Other income</w:t>
            </w:r>
          </w:p>
        </w:tc>
        <w:tc>
          <w:tcPr>
            <w:tcW w:w="260" w:type="dxa"/>
            <w:vAlign w:val="bottom"/>
            <w:tcBorders>
              <w:bottom w:val="single" w:sz="8" w:color="auto"/>
            </w:tcBorders>
            <w:shd w:val="clear" w:color="auto" w:fill="E0E7ED"/>
          </w:tcPr>
          <w:p>
            <w:pPr>
              <w:spacing w:after="0"/>
              <w:rPr>
                <w:sz w:val="15"/>
                <w:szCs w:val="15"/>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3,431</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3,593</w:t>
            </w:r>
          </w:p>
        </w:tc>
      </w:tr>
      <w:tr>
        <w:trPr>
          <w:trHeight w:val="164"/>
        </w:trPr>
        <w:tc>
          <w:tcPr>
            <w:tcW w:w="818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Total noninterest income</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35,000</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31,848</w:t>
            </w:r>
          </w:p>
        </w:tc>
      </w:tr>
      <w:tr>
        <w:trPr>
          <w:trHeight w:val="161"/>
        </w:trPr>
        <w:tc>
          <w:tcPr>
            <w:tcW w:w="8180" w:type="dxa"/>
            <w:vAlign w:val="bottom"/>
            <w:shd w:val="clear" w:color="auto" w:fill="E0E7ED"/>
          </w:tcPr>
          <w:p>
            <w:pPr>
              <w:spacing w:after="0"/>
              <w:rPr>
                <w:sz w:val="13"/>
                <w:szCs w:val="13"/>
                <w:color w:val="auto"/>
              </w:rPr>
            </w:pPr>
          </w:p>
        </w:tc>
        <w:tc>
          <w:tcPr>
            <w:tcW w:w="260" w:type="dxa"/>
            <w:vAlign w:val="bottom"/>
            <w:shd w:val="clear" w:color="auto" w:fill="E0E7ED"/>
          </w:tcPr>
          <w:p>
            <w:pPr>
              <w:spacing w:after="0"/>
              <w:rPr>
                <w:sz w:val="13"/>
                <w:szCs w:val="13"/>
                <w:color w:val="auto"/>
              </w:rPr>
            </w:pPr>
          </w:p>
        </w:tc>
        <w:tc>
          <w:tcPr>
            <w:tcW w:w="122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Noninterest expense</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Salaries, wages, and employee benefits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42,090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40,331</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Data processing</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6,550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5,640</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occupancy expense of premises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4,720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4,762</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Furniture and equipment expenses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1,813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1,746</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Professional fees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2,253</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2,058</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Amortization of intangible assets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2,409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2,729</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Interchange expense</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1,611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1,853</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FDIC insurance</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1,400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1,502</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Other expense</w:t>
            </w:r>
          </w:p>
        </w:tc>
        <w:tc>
          <w:tcPr>
            <w:tcW w:w="260" w:type="dxa"/>
            <w:vAlign w:val="bottom"/>
            <w:tcBorders>
              <w:bottom w:val="single" w:sz="8" w:color="auto"/>
            </w:tcBorders>
            <w:shd w:val="clear" w:color="auto" w:fill="E0E7ED"/>
          </w:tcPr>
          <w:p>
            <w:pPr>
              <w:spacing w:after="0"/>
              <w:rPr>
                <w:sz w:val="15"/>
                <w:szCs w:val="15"/>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7,923</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9,782</w:t>
            </w:r>
          </w:p>
        </w:tc>
      </w:tr>
      <w:tr>
        <w:trPr>
          <w:trHeight w:val="164"/>
        </w:trPr>
        <w:tc>
          <w:tcPr>
            <w:tcW w:w="818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Total noninterest expense</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70,769</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70,403</w:t>
            </w:r>
          </w:p>
        </w:tc>
      </w:tr>
      <w:tr>
        <w:trPr>
          <w:trHeight w:val="161"/>
        </w:trPr>
        <w:tc>
          <w:tcPr>
            <w:tcW w:w="8180" w:type="dxa"/>
            <w:vAlign w:val="bottom"/>
            <w:shd w:val="clear" w:color="auto" w:fill="E0E7ED"/>
          </w:tcPr>
          <w:p>
            <w:pPr>
              <w:spacing w:after="0"/>
              <w:rPr>
                <w:sz w:val="13"/>
                <w:szCs w:val="13"/>
                <w:color w:val="auto"/>
              </w:rPr>
            </w:pPr>
          </w:p>
        </w:tc>
        <w:tc>
          <w:tcPr>
            <w:tcW w:w="260" w:type="dxa"/>
            <w:vAlign w:val="bottom"/>
            <w:shd w:val="clear" w:color="auto" w:fill="E0E7ED"/>
          </w:tcPr>
          <w:p>
            <w:pPr>
              <w:spacing w:after="0"/>
              <w:rPr>
                <w:sz w:val="13"/>
                <w:szCs w:val="13"/>
                <w:color w:val="auto"/>
              </w:rPr>
            </w:pPr>
          </w:p>
        </w:tc>
        <w:tc>
          <w:tcPr>
            <w:tcW w:w="122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color w:val="auto"/>
              </w:rPr>
              <w:t>Income before income taxes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34,960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46,349</w:t>
            </w:r>
          </w:p>
        </w:tc>
      </w:tr>
      <w:tr>
        <w:trPr>
          <w:trHeight w:val="175"/>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Income taxes</w:t>
            </w:r>
          </w:p>
        </w:tc>
        <w:tc>
          <w:tcPr>
            <w:tcW w:w="260" w:type="dxa"/>
            <w:vAlign w:val="bottom"/>
            <w:tcBorders>
              <w:bottom w:val="single" w:sz="8" w:color="auto"/>
            </w:tcBorders>
            <w:shd w:val="clear" w:color="auto" w:fill="E0E7ED"/>
          </w:tcPr>
          <w:p>
            <w:pPr>
              <w:spacing w:after="0"/>
              <w:rPr>
                <w:sz w:val="15"/>
                <w:szCs w:val="15"/>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8,735</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9,563</w:t>
            </w:r>
          </w:p>
        </w:tc>
      </w:tr>
      <w:tr>
        <w:trPr>
          <w:trHeight w:val="174"/>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Net income</w:t>
            </w:r>
          </w:p>
        </w:tc>
        <w:tc>
          <w:tcPr>
            <w:tcW w:w="260" w:type="dxa"/>
            <w:vAlign w:val="bottom"/>
            <w:tcBorders>
              <w:bottom w:val="single" w:sz="8" w:color="auto"/>
            </w:tcBorders>
          </w:tcPr>
          <w:p>
            <w:pPr>
              <w:jc w:val="right"/>
              <w:ind w:right="97"/>
              <w:spacing w:after="0"/>
              <w:rPr>
                <w:sz w:val="20"/>
                <w:szCs w:val="20"/>
                <w:color w:val="auto"/>
              </w:rPr>
            </w:pPr>
            <w:r>
              <w:rPr>
                <w:rFonts w:ascii="Verdana" w:cs="Verdana" w:eastAsia="Verdana" w:hAnsi="Verdana"/>
                <w:sz w:val="13"/>
                <w:szCs w:val="13"/>
                <w:color w:val="auto"/>
                <w:w w:val="95"/>
              </w:rPr>
              <w:t>$</w:t>
            </w:r>
          </w:p>
        </w:tc>
        <w:tc>
          <w:tcPr>
            <w:tcW w:w="12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26,225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36,786</w:t>
            </w:r>
          </w:p>
        </w:tc>
      </w:tr>
      <w:tr>
        <w:trPr>
          <w:trHeight w:val="20"/>
        </w:trPr>
        <w:tc>
          <w:tcPr>
            <w:tcW w:w="818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43"/>
        </w:trPr>
        <w:tc>
          <w:tcPr>
            <w:tcW w:w="8180" w:type="dxa"/>
            <w:vAlign w:val="bottom"/>
            <w:shd w:val="clear" w:color="auto" w:fill="E0E7ED"/>
          </w:tcPr>
          <w:p>
            <w:pPr>
              <w:spacing w:after="0"/>
              <w:rPr>
                <w:sz w:val="12"/>
                <w:szCs w:val="12"/>
                <w:color w:val="auto"/>
              </w:rPr>
            </w:pPr>
          </w:p>
        </w:tc>
        <w:tc>
          <w:tcPr>
            <w:tcW w:w="260" w:type="dxa"/>
            <w:vAlign w:val="bottom"/>
            <w:shd w:val="clear" w:color="auto" w:fill="E0E7ED"/>
          </w:tcPr>
          <w:p>
            <w:pPr>
              <w:spacing w:after="0"/>
              <w:rPr>
                <w:sz w:val="12"/>
                <w:szCs w:val="12"/>
                <w:color w:val="auto"/>
              </w:rPr>
            </w:pPr>
          </w:p>
        </w:tc>
        <w:tc>
          <w:tcPr>
            <w:tcW w:w="122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Basic earnings per common share</w:t>
            </w:r>
          </w:p>
        </w:tc>
        <w:tc>
          <w:tcPr>
            <w:tcW w:w="260" w:type="dxa"/>
            <w:vAlign w:val="bottom"/>
          </w:tcPr>
          <w:p>
            <w:pPr>
              <w:jc w:val="right"/>
              <w:ind w:right="97"/>
              <w:spacing w:after="0"/>
              <w:rPr>
                <w:sz w:val="20"/>
                <w:szCs w:val="20"/>
                <w:color w:val="auto"/>
              </w:rPr>
            </w:pPr>
            <w:r>
              <w:rPr>
                <w:rFonts w:ascii="Verdana" w:cs="Verdana" w:eastAsia="Verdana" w:hAnsi="Verdana"/>
                <w:sz w:val="13"/>
                <w:szCs w:val="13"/>
                <w:color w:val="auto"/>
                <w:w w:val="95"/>
              </w:rPr>
              <w:t>$</w:t>
            </w: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0.47</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0.66</w:t>
            </w:r>
          </w:p>
        </w:tc>
      </w:tr>
      <w:tr>
        <w:trPr>
          <w:trHeight w:val="181"/>
        </w:trPr>
        <w:tc>
          <w:tcPr>
            <w:tcW w:w="818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Diluted earnings per common share</w:t>
            </w:r>
          </w:p>
        </w:tc>
        <w:tc>
          <w:tcPr>
            <w:tcW w:w="260" w:type="dxa"/>
            <w:vAlign w:val="bottom"/>
            <w:shd w:val="clear" w:color="auto" w:fill="E0E7ED"/>
          </w:tcPr>
          <w:p>
            <w:pPr>
              <w:jc w:val="right"/>
              <w:ind w:right="97"/>
              <w:spacing w:after="0"/>
              <w:rPr>
                <w:sz w:val="20"/>
                <w:szCs w:val="20"/>
                <w:color w:val="auto"/>
              </w:rPr>
            </w:pPr>
            <w:r>
              <w:rPr>
                <w:rFonts w:ascii="Verdana" w:cs="Verdana" w:eastAsia="Verdana" w:hAnsi="Verdana"/>
                <w:sz w:val="13"/>
                <w:szCs w:val="13"/>
                <w:color w:val="auto"/>
                <w:w w:val="95"/>
              </w:rPr>
              <w:t>$</w:t>
            </w: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0.46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0.65</w:t>
            </w:r>
          </w:p>
        </w:tc>
      </w:tr>
      <w:tr>
        <w:trPr>
          <w:trHeight w:val="165"/>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Dividends declared per share of common stock</w:t>
            </w:r>
          </w:p>
        </w:tc>
        <w:tc>
          <w:tcPr>
            <w:tcW w:w="260" w:type="dxa"/>
            <w:vAlign w:val="bottom"/>
          </w:tcPr>
          <w:p>
            <w:pPr>
              <w:jc w:val="right"/>
              <w:ind w:right="97"/>
              <w:spacing w:after="0"/>
              <w:rPr>
                <w:sz w:val="20"/>
                <w:szCs w:val="20"/>
                <w:color w:val="auto"/>
              </w:rPr>
            </w:pPr>
            <w:r>
              <w:rPr>
                <w:rFonts w:ascii="Verdana" w:cs="Verdana" w:eastAsia="Verdana" w:hAnsi="Verdana"/>
                <w:sz w:val="13"/>
                <w:szCs w:val="13"/>
                <w:color w:val="auto"/>
                <w:w w:val="95"/>
              </w:rPr>
              <w:t>$</w:t>
            </w: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0.24</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0.24</w:t>
            </w:r>
          </w:p>
        </w:tc>
      </w:tr>
    </w:tbl>
    <w:p>
      <w:pPr>
        <w:spacing w:after="0" w:line="2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 xml:space="preserve">See accompanying </w:t>
      </w:r>
      <w:r>
        <w:rPr>
          <w:rFonts w:ascii="Verdana" w:cs="Verdana" w:eastAsia="Verdana" w:hAnsi="Verdana"/>
          <w:sz w:val="18"/>
          <w:szCs w:val="18"/>
          <w:u w:val="single" w:color="auto"/>
          <w:color w:val="0000FF"/>
        </w:rPr>
        <w:t>Notes to Consolidated Financial Statements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 w:name="page8"/>
    <w:bookmarkEnd w:id="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COMPREHENSIVE INCOME (LOSS) (Unaudited)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3060" w:type="dxa"/>
            <w:vAlign w:val="bottom"/>
            <w:tcBorders>
              <w:bottom w:val="single" w:sz="8" w:color="auto"/>
            </w:tcBorders>
            <w:gridSpan w:val="5"/>
          </w:tcPr>
          <w:p>
            <w:pPr>
              <w:jc w:val="right"/>
              <w:ind w:right="377"/>
              <w:spacing w:after="0"/>
              <w:rPr>
                <w:sz w:val="20"/>
                <w:szCs w:val="20"/>
                <w:color w:val="auto"/>
              </w:rPr>
            </w:pPr>
            <w:r>
              <w:rPr>
                <w:rFonts w:ascii="Verdana" w:cs="Verdana" w:eastAsia="Verdana" w:hAnsi="Verdana"/>
                <w:sz w:val="13"/>
                <w:szCs w:val="13"/>
                <w:b w:val="1"/>
                <w:bCs w:val="1"/>
                <w:color w:val="auto"/>
              </w:rPr>
              <w:t>Three Months Ended March 31,</w:t>
            </w:r>
          </w:p>
        </w:tc>
        <w:tc>
          <w:tcPr>
            <w:tcW w:w="0" w:type="dxa"/>
            <w:vAlign w:val="bottom"/>
          </w:tcPr>
          <w:p>
            <w:pPr>
              <w:spacing w:after="0"/>
              <w:rPr>
                <w:sz w:val="1"/>
                <w:szCs w:val="1"/>
                <w:color w:val="auto"/>
              </w:rPr>
            </w:pPr>
          </w:p>
        </w:tc>
      </w:tr>
      <w:tr>
        <w:trPr>
          <w:trHeight w:val="170"/>
        </w:trPr>
        <w:tc>
          <w:tcPr>
            <w:tcW w:w="8180" w:type="dxa"/>
            <w:vAlign w:val="bottom"/>
            <w:tcBorders>
              <w:bottom w:val="single" w:sz="8" w:color="E0E7ED"/>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174"/>
        </w:trPr>
        <w:tc>
          <w:tcPr>
            <w:tcW w:w="8180" w:type="dxa"/>
            <w:vAlign w:val="bottom"/>
            <w:shd w:val="clear" w:color="auto" w:fill="E0E7ED"/>
          </w:tcPr>
          <w:p>
            <w:pPr>
              <w:ind w:left="20"/>
              <w:spacing w:after="0"/>
              <w:rPr>
                <w:sz w:val="20"/>
                <w:szCs w:val="20"/>
                <w:color w:val="auto"/>
              </w:rPr>
            </w:pPr>
            <w:r>
              <w:rPr>
                <w:rFonts w:ascii="Verdana" w:cs="Verdana" w:eastAsia="Verdana" w:hAnsi="Verdana"/>
                <w:sz w:val="13"/>
                <w:szCs w:val="13"/>
                <w:color w:val="auto"/>
              </w:rPr>
              <w:t>Net income</w:t>
            </w:r>
          </w:p>
        </w:tc>
        <w:tc>
          <w:tcPr>
            <w:tcW w:w="940" w:type="dxa"/>
            <w:vAlign w:val="bottom"/>
            <w:shd w:val="clear" w:color="auto" w:fill="E0E7ED"/>
          </w:tcPr>
          <w:p>
            <w:pPr>
              <w:jc w:val="right"/>
              <w:ind w:right="777"/>
              <w:spacing w:after="0"/>
              <w:rPr>
                <w:sz w:val="20"/>
                <w:szCs w:val="20"/>
                <w:color w:val="auto"/>
              </w:rPr>
            </w:pPr>
            <w:r>
              <w:rPr>
                <w:rFonts w:ascii="Verdana" w:cs="Verdana" w:eastAsia="Verdana" w:hAnsi="Verdana"/>
                <w:sz w:val="13"/>
                <w:szCs w:val="13"/>
                <w:color w:val="auto"/>
                <w:w w:val="95"/>
              </w:rPr>
              <w:t>$</w:t>
            </w:r>
          </w:p>
        </w:tc>
        <w:tc>
          <w:tcPr>
            <w:tcW w:w="5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26,225</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36,786</w:t>
            </w:r>
          </w:p>
        </w:tc>
        <w:tc>
          <w:tcPr>
            <w:tcW w:w="0" w:type="dxa"/>
            <w:vAlign w:val="bottom"/>
          </w:tcPr>
          <w:p>
            <w:pPr>
              <w:spacing w:after="0"/>
              <w:rPr>
                <w:sz w:val="1"/>
                <w:szCs w:val="1"/>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color w:val="auto"/>
              </w:rPr>
              <w:t>OCI:</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Unrealized/Unrecognized gains (losses) on debt securities:</w:t>
            </w:r>
          </w:p>
        </w:tc>
        <w:tc>
          <w:tcPr>
            <w:tcW w:w="940" w:type="dxa"/>
            <w:vAlign w:val="bottom"/>
            <w:shd w:val="clear" w:color="auto" w:fill="E0E7ED"/>
          </w:tcPr>
          <w:p>
            <w:pPr>
              <w:spacing w:after="0"/>
              <w:rPr>
                <w:sz w:val="15"/>
                <w:szCs w:val="15"/>
                <w:color w:val="auto"/>
              </w:rPr>
            </w:pPr>
          </w:p>
        </w:tc>
        <w:tc>
          <w:tcPr>
            <w:tcW w:w="5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180" w:type="dxa"/>
            <w:vAlign w:val="bottom"/>
          </w:tcPr>
          <w:p>
            <w:pPr>
              <w:ind w:left="360"/>
              <w:spacing w:after="0" w:line="122" w:lineRule="exact"/>
              <w:rPr>
                <w:sz w:val="20"/>
                <w:szCs w:val="20"/>
                <w:color w:val="auto"/>
              </w:rPr>
            </w:pPr>
            <w:r>
              <w:rPr>
                <w:rFonts w:ascii="Verdana" w:cs="Verdana" w:eastAsia="Verdana" w:hAnsi="Verdana"/>
                <w:sz w:val="13"/>
                <w:szCs w:val="13"/>
                <w:color w:val="auto"/>
              </w:rPr>
              <w:t>Net unrealized holding gains (losses) on debt securities available for sale, net of taxes of $2,266, and $(8,749),</w:t>
            </w:r>
          </w:p>
        </w:tc>
        <w:tc>
          <w:tcPr>
            <w:tcW w:w="9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Verdana" w:cs="Verdana" w:eastAsia="Verdana" w:hAnsi="Verdana"/>
                <w:sz w:val="13"/>
                <w:szCs w:val="13"/>
                <w:color w:val="auto"/>
              </w:rPr>
              <w:t>(5,681)</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21,944</w:t>
            </w:r>
          </w:p>
        </w:tc>
        <w:tc>
          <w:tcPr>
            <w:tcW w:w="0" w:type="dxa"/>
            <w:vAlign w:val="bottom"/>
          </w:tcPr>
          <w:p>
            <w:pPr>
              <w:spacing w:after="0"/>
              <w:rPr>
                <w:sz w:val="1"/>
                <w:szCs w:val="1"/>
                <w:color w:val="auto"/>
              </w:rPr>
            </w:pPr>
          </w:p>
        </w:tc>
      </w:tr>
      <w:tr>
        <w:trPr>
          <w:trHeight w:val="170"/>
        </w:trPr>
        <w:tc>
          <w:tcPr>
            <w:tcW w:w="8180" w:type="dxa"/>
            <w:vAlign w:val="bottom"/>
          </w:tcPr>
          <w:p>
            <w:pPr>
              <w:ind w:left="360"/>
              <w:spacing w:after="0"/>
              <w:rPr>
                <w:sz w:val="20"/>
                <w:szCs w:val="20"/>
                <w:color w:val="auto"/>
              </w:rPr>
            </w:pPr>
            <w:r>
              <w:rPr>
                <w:rFonts w:ascii="Verdana" w:cs="Verdana" w:eastAsia="Verdana" w:hAnsi="Verdana"/>
                <w:sz w:val="13"/>
                <w:szCs w:val="13"/>
                <w:color w:val="auto"/>
              </w:rPr>
              <w:t>respectively</w:t>
            </w:r>
          </w:p>
        </w:tc>
        <w:tc>
          <w:tcPr>
            <w:tcW w:w="9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180" w:type="dxa"/>
            <w:vAlign w:val="bottom"/>
            <w:shd w:val="clear" w:color="auto" w:fill="E0E7ED"/>
          </w:tcPr>
          <w:p>
            <w:pPr>
              <w:ind w:left="360"/>
              <w:spacing w:after="0" w:line="127" w:lineRule="exact"/>
              <w:rPr>
                <w:sz w:val="20"/>
                <w:szCs w:val="20"/>
                <w:color w:val="auto"/>
              </w:rPr>
            </w:pPr>
            <w:r>
              <w:rPr>
                <w:rFonts w:ascii="Verdana" w:cs="Verdana" w:eastAsia="Verdana" w:hAnsi="Verdana"/>
                <w:sz w:val="13"/>
                <w:szCs w:val="13"/>
                <w:color w:val="auto"/>
                <w:w w:val="99"/>
              </w:rPr>
              <w:t>Reclassification adjustment for realized (gains) losses on debt securities available for sale included in net income, net of</w:t>
            </w:r>
          </w:p>
        </w:tc>
        <w:tc>
          <w:tcPr>
            <w:tcW w:w="940" w:type="dxa"/>
            <w:vAlign w:val="bottom"/>
            <w:shd w:val="clear" w:color="auto" w:fill="E0E7ED"/>
          </w:tcPr>
          <w:p>
            <w:pPr>
              <w:spacing w:after="0"/>
              <w:rPr>
                <w:sz w:val="11"/>
                <w:szCs w:val="11"/>
                <w:color w:val="auto"/>
              </w:rPr>
            </w:pPr>
          </w:p>
        </w:tc>
        <w:tc>
          <w:tcPr>
            <w:tcW w:w="5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4,863</w:t>
            </w:r>
          </w:p>
        </w:tc>
        <w:tc>
          <w:tcPr>
            <w:tcW w:w="100" w:type="dxa"/>
            <w:vAlign w:val="bottom"/>
            <w:shd w:val="clear" w:color="auto" w:fill="E0E7ED"/>
          </w:tcPr>
          <w:p>
            <w:pPr>
              <w:spacing w:after="0"/>
              <w:rPr>
                <w:sz w:val="11"/>
                <w:szCs w:val="11"/>
                <w:color w:val="auto"/>
              </w:rPr>
            </w:pPr>
          </w:p>
        </w:tc>
        <w:tc>
          <w:tcPr>
            <w:tcW w:w="320" w:type="dxa"/>
            <w:vAlign w:val="bottom"/>
            <w:shd w:val="clear" w:color="auto" w:fill="E0E7ED"/>
          </w:tcPr>
          <w:p>
            <w:pPr>
              <w:spacing w:after="0"/>
              <w:rPr>
                <w:sz w:val="11"/>
                <w:szCs w:val="11"/>
                <w:color w:val="auto"/>
              </w:rPr>
            </w:pPr>
          </w:p>
        </w:tc>
        <w:tc>
          <w:tcPr>
            <w:tcW w:w="116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(3)</w:t>
            </w:r>
          </w:p>
        </w:tc>
        <w:tc>
          <w:tcPr>
            <w:tcW w:w="0" w:type="dxa"/>
            <w:vAlign w:val="bottom"/>
          </w:tcPr>
          <w:p>
            <w:pPr>
              <w:spacing w:after="0"/>
              <w:rPr>
                <w:sz w:val="1"/>
                <w:szCs w:val="1"/>
                <w:color w:val="auto"/>
              </w:rPr>
            </w:pPr>
          </w:p>
        </w:tc>
      </w:tr>
      <w:tr>
        <w:trPr>
          <w:trHeight w:val="175"/>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taxes of $(1,939), and $1, respectively</w:t>
            </w:r>
          </w:p>
        </w:tc>
        <w:tc>
          <w:tcPr>
            <w:tcW w:w="940" w:type="dxa"/>
            <w:vAlign w:val="bottom"/>
            <w:shd w:val="clear" w:color="auto" w:fill="E0E7ED"/>
          </w:tcPr>
          <w:p>
            <w:pPr>
              <w:spacing w:after="0"/>
              <w:rPr>
                <w:sz w:val="15"/>
                <w:szCs w:val="15"/>
                <w:color w:val="auto"/>
              </w:rPr>
            </w:pPr>
          </w:p>
        </w:tc>
        <w:tc>
          <w:tcPr>
            <w:tcW w:w="540" w:type="dxa"/>
            <w:vAlign w:val="bottom"/>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180" w:type="dxa"/>
            <w:vAlign w:val="bottom"/>
          </w:tcPr>
          <w:p>
            <w:pPr>
              <w:ind w:left="360"/>
              <w:spacing w:after="0" w:line="122" w:lineRule="exact"/>
              <w:rPr>
                <w:sz w:val="20"/>
                <w:szCs w:val="20"/>
                <w:color w:val="auto"/>
              </w:rPr>
            </w:pPr>
            <w:r>
              <w:rPr>
                <w:rFonts w:ascii="Verdana" w:cs="Verdana" w:eastAsia="Verdana" w:hAnsi="Verdana"/>
                <w:sz w:val="13"/>
                <w:szCs w:val="13"/>
                <w:color w:val="auto"/>
              </w:rPr>
              <w:t>Amortization of unrecognized losses on securities transferred to held to maturity, net of taxes of $(402), and $(483),</w:t>
            </w:r>
          </w:p>
        </w:tc>
        <w:tc>
          <w:tcPr>
            <w:tcW w:w="940" w:type="dxa"/>
            <w:vAlign w:val="bottom"/>
          </w:tcPr>
          <w:p>
            <w:pPr>
              <w:spacing w:after="0"/>
              <w:rPr>
                <w:sz w:val="10"/>
                <w:szCs w:val="10"/>
                <w:color w:val="auto"/>
              </w:rPr>
            </w:pPr>
          </w:p>
        </w:tc>
        <w:tc>
          <w:tcPr>
            <w:tcW w:w="54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1,009</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1,210</w:t>
            </w:r>
          </w:p>
        </w:tc>
        <w:tc>
          <w:tcPr>
            <w:tcW w:w="0" w:type="dxa"/>
            <w:vAlign w:val="bottom"/>
          </w:tcPr>
          <w:p>
            <w:pPr>
              <w:spacing w:after="0"/>
              <w:rPr>
                <w:sz w:val="1"/>
                <w:szCs w:val="1"/>
                <w:color w:val="auto"/>
              </w:rPr>
            </w:pPr>
          </w:p>
        </w:tc>
      </w:tr>
      <w:tr>
        <w:trPr>
          <w:trHeight w:val="170"/>
        </w:trPr>
        <w:tc>
          <w:tcPr>
            <w:tcW w:w="8180" w:type="dxa"/>
            <w:vAlign w:val="bottom"/>
            <w:tcBorders>
              <w:bottom w:val="single" w:sz="8" w:color="E0E7ED"/>
            </w:tcBorders>
          </w:tcPr>
          <w:p>
            <w:pPr>
              <w:ind w:left="360"/>
              <w:spacing w:after="0"/>
              <w:rPr>
                <w:sz w:val="20"/>
                <w:szCs w:val="20"/>
                <w:color w:val="auto"/>
              </w:rPr>
            </w:pPr>
            <w:r>
              <w:rPr>
                <w:rFonts w:ascii="Verdana" w:cs="Verdana" w:eastAsia="Verdana" w:hAnsi="Verdana"/>
                <w:sz w:val="13"/>
                <w:szCs w:val="13"/>
                <w:color w:val="auto"/>
              </w:rPr>
              <w:t>respectively</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change in unrealized/unrecognized gains (losses) on debt securities</w:t>
            </w:r>
          </w:p>
        </w:tc>
        <w:tc>
          <w:tcPr>
            <w:tcW w:w="940" w:type="dxa"/>
            <w:vAlign w:val="bottom"/>
            <w:shd w:val="clear" w:color="auto" w:fill="E0E7ED"/>
          </w:tcPr>
          <w:p>
            <w:pPr>
              <w:spacing w:after="0"/>
              <w:rPr>
                <w:sz w:val="15"/>
                <w:szCs w:val="15"/>
                <w:color w:val="auto"/>
              </w:rPr>
            </w:pPr>
          </w:p>
        </w:tc>
        <w:tc>
          <w:tcPr>
            <w:tcW w:w="5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191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23,151</w:t>
            </w:r>
          </w:p>
        </w:tc>
        <w:tc>
          <w:tcPr>
            <w:tcW w:w="0" w:type="dxa"/>
            <w:vAlign w:val="bottom"/>
          </w:tcPr>
          <w:p>
            <w:pPr>
              <w:spacing w:after="0"/>
              <w:rPr>
                <w:sz w:val="1"/>
                <w:szCs w:val="1"/>
                <w:color w:val="auto"/>
              </w:rPr>
            </w:pP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Unrealized gains (losses) on cash flow hedges:</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Net unrealized holding gains (losses) on cash flow hedges, net of taxes of $2,086, and $(1,214), respectively</w:t>
            </w:r>
          </w:p>
        </w:tc>
        <w:tc>
          <w:tcPr>
            <w:tcW w:w="940" w:type="dxa"/>
            <w:vAlign w:val="bottom"/>
            <w:shd w:val="clear" w:color="auto" w:fill="E0E7ED"/>
          </w:tcPr>
          <w:p>
            <w:pPr>
              <w:spacing w:after="0"/>
              <w:rPr>
                <w:sz w:val="15"/>
                <w:szCs w:val="15"/>
                <w:color w:val="auto"/>
              </w:rPr>
            </w:pPr>
          </w:p>
        </w:tc>
        <w:tc>
          <w:tcPr>
            <w:tcW w:w="5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(5,232)</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3,050</w:t>
            </w:r>
          </w:p>
        </w:tc>
        <w:tc>
          <w:tcPr>
            <w:tcW w:w="0" w:type="dxa"/>
            <w:vAlign w:val="bottom"/>
          </w:tcPr>
          <w:p>
            <w:pPr>
              <w:spacing w:after="0"/>
              <w:rPr>
                <w:sz w:val="1"/>
                <w:szCs w:val="1"/>
                <w:color w:val="auto"/>
              </w:rPr>
            </w:pPr>
          </w:p>
        </w:tc>
      </w:tr>
      <w:tr>
        <w:trPr>
          <w:trHeight w:val="121"/>
        </w:trPr>
        <w:tc>
          <w:tcPr>
            <w:tcW w:w="8180" w:type="dxa"/>
            <w:vAlign w:val="bottom"/>
          </w:tcPr>
          <w:p>
            <w:pPr>
              <w:ind w:left="360"/>
              <w:spacing w:after="0" w:line="122" w:lineRule="exact"/>
              <w:rPr>
                <w:sz w:val="20"/>
                <w:szCs w:val="20"/>
                <w:color w:val="auto"/>
              </w:rPr>
            </w:pPr>
            <w:r>
              <w:rPr>
                <w:rFonts w:ascii="Verdana" w:cs="Verdana" w:eastAsia="Verdana" w:hAnsi="Verdana"/>
                <w:sz w:val="13"/>
                <w:szCs w:val="13"/>
                <w:color w:val="auto"/>
                <w:w w:val="97"/>
              </w:rPr>
              <w:t>Reclassification adjustment for realized (gains) losses on cash flow hedges included in net income, net of taxes of $(659),</w:t>
            </w:r>
          </w:p>
        </w:tc>
        <w:tc>
          <w:tcPr>
            <w:tcW w:w="940" w:type="dxa"/>
            <w:vAlign w:val="bottom"/>
          </w:tcPr>
          <w:p>
            <w:pPr>
              <w:spacing w:after="0"/>
              <w:rPr>
                <w:sz w:val="10"/>
                <w:szCs w:val="10"/>
                <w:color w:val="auto"/>
              </w:rPr>
            </w:pPr>
          </w:p>
        </w:tc>
        <w:tc>
          <w:tcPr>
            <w:tcW w:w="54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1,654</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1,293</w:t>
            </w:r>
          </w:p>
        </w:tc>
        <w:tc>
          <w:tcPr>
            <w:tcW w:w="0" w:type="dxa"/>
            <w:vAlign w:val="bottom"/>
          </w:tcPr>
          <w:p>
            <w:pPr>
              <w:spacing w:after="0"/>
              <w:rPr>
                <w:sz w:val="1"/>
                <w:szCs w:val="1"/>
                <w:color w:val="auto"/>
              </w:rPr>
            </w:pPr>
          </w:p>
        </w:tc>
      </w:tr>
      <w:tr>
        <w:trPr>
          <w:trHeight w:val="170"/>
        </w:trPr>
        <w:tc>
          <w:tcPr>
            <w:tcW w:w="8180" w:type="dxa"/>
            <w:vAlign w:val="bottom"/>
            <w:tcBorders>
              <w:bottom w:val="single" w:sz="8" w:color="E0E7ED"/>
            </w:tcBorders>
          </w:tcPr>
          <w:p>
            <w:pPr>
              <w:ind w:left="360"/>
              <w:spacing w:after="0"/>
              <w:rPr>
                <w:sz w:val="20"/>
                <w:szCs w:val="20"/>
                <w:color w:val="auto"/>
              </w:rPr>
            </w:pPr>
            <w:r>
              <w:rPr>
                <w:rFonts w:ascii="Verdana" w:cs="Verdana" w:eastAsia="Verdana" w:hAnsi="Verdana"/>
                <w:sz w:val="13"/>
                <w:szCs w:val="13"/>
                <w:color w:val="auto"/>
              </w:rPr>
              <w:t>and ($516), respectively</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change in unrealized gains (losses) on cash flow hedges</w:t>
            </w:r>
          </w:p>
        </w:tc>
        <w:tc>
          <w:tcPr>
            <w:tcW w:w="940" w:type="dxa"/>
            <w:vAlign w:val="bottom"/>
            <w:shd w:val="clear" w:color="auto" w:fill="E0E7ED"/>
          </w:tcPr>
          <w:p>
            <w:pPr>
              <w:spacing w:after="0"/>
              <w:rPr>
                <w:sz w:val="15"/>
                <w:szCs w:val="15"/>
                <w:color w:val="auto"/>
              </w:rPr>
            </w:pPr>
          </w:p>
        </w:tc>
        <w:tc>
          <w:tcPr>
            <w:tcW w:w="5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(3,578)</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4,343</w:t>
            </w:r>
          </w:p>
        </w:tc>
        <w:tc>
          <w:tcPr>
            <w:tcW w:w="0" w:type="dxa"/>
            <w:vAlign w:val="bottom"/>
          </w:tcPr>
          <w:p>
            <w:pPr>
              <w:spacing w:after="0"/>
              <w:rPr>
                <w:sz w:val="1"/>
                <w:szCs w:val="1"/>
                <w:color w:val="auto"/>
              </w:rPr>
            </w:pPr>
          </w:p>
        </w:tc>
      </w:tr>
      <w:tr>
        <w:trPr>
          <w:trHeight w:val="170"/>
        </w:trPr>
        <w:tc>
          <w:tcPr>
            <w:tcW w:w="8180" w:type="dxa"/>
            <w:vAlign w:val="bottom"/>
            <w:tcBorders>
              <w:bottom w:val="single" w:sz="8" w:color="E0E7ED"/>
            </w:tcBorders>
          </w:tcPr>
          <w:p>
            <w:pPr>
              <w:ind w:left="20"/>
              <w:spacing w:after="0"/>
              <w:rPr>
                <w:sz w:val="20"/>
                <w:szCs w:val="20"/>
                <w:color w:val="auto"/>
              </w:rPr>
            </w:pPr>
            <w:r>
              <w:rPr>
                <w:rFonts w:ascii="Verdana" w:cs="Verdana" w:eastAsia="Verdana" w:hAnsi="Verdana"/>
                <w:sz w:val="13"/>
                <w:szCs w:val="13"/>
                <w:color w:val="auto"/>
              </w:rPr>
              <w:t>Net change in AOCI</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(3,387)</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27,494</w:t>
            </w:r>
          </w:p>
        </w:tc>
        <w:tc>
          <w:tcPr>
            <w:tcW w:w="0" w:type="dxa"/>
            <w:vAlign w:val="bottom"/>
          </w:tcPr>
          <w:p>
            <w:pPr>
              <w:spacing w:after="0"/>
              <w:rPr>
                <w:sz w:val="1"/>
                <w:szCs w:val="1"/>
                <w:color w:val="auto"/>
              </w:rPr>
            </w:pPr>
          </w:p>
        </w:tc>
      </w:tr>
      <w:tr>
        <w:trPr>
          <w:trHeight w:val="199"/>
        </w:trPr>
        <w:tc>
          <w:tcPr>
            <w:tcW w:w="81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Total comprehensive income (loss)</w:t>
            </w:r>
          </w:p>
        </w:tc>
        <w:tc>
          <w:tcPr>
            <w:tcW w:w="940" w:type="dxa"/>
            <w:vAlign w:val="bottom"/>
            <w:tcBorders>
              <w:bottom w:val="single" w:sz="8" w:color="auto"/>
            </w:tcBorders>
            <w:shd w:val="clear" w:color="auto" w:fill="E0E7ED"/>
          </w:tcPr>
          <w:p>
            <w:pPr>
              <w:jc w:val="right"/>
              <w:ind w:right="777"/>
              <w:spacing w:after="0"/>
              <w:rPr>
                <w:sz w:val="20"/>
                <w:szCs w:val="20"/>
                <w:color w:val="auto"/>
              </w:rPr>
            </w:pPr>
            <w:r>
              <w:rPr>
                <w:rFonts w:ascii="Verdana" w:cs="Verdana" w:eastAsia="Verdana" w:hAnsi="Verdana"/>
                <w:sz w:val="13"/>
                <w:szCs w:val="13"/>
                <w:color w:val="auto"/>
                <w:w w:val="95"/>
              </w:rPr>
              <w:t>$</w:t>
            </w:r>
          </w:p>
        </w:tc>
        <w:tc>
          <w:tcPr>
            <w:tcW w:w="5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22,838</w:t>
            </w:r>
          </w:p>
        </w:tc>
        <w:tc>
          <w:tcPr>
            <w:tcW w:w="100" w:type="dxa"/>
            <w:vAlign w:val="bottom"/>
            <w:tcBorders>
              <w:bottom w:val="single" w:sz="8" w:color="E0E7ED"/>
            </w:tcBorders>
            <w:shd w:val="clear" w:color="auto" w:fill="E0E7ED"/>
          </w:tcPr>
          <w:p>
            <w:pPr>
              <w:spacing w:after="0"/>
              <w:rPr>
                <w:sz w:val="16"/>
                <w:szCs w:val="16"/>
                <w:color w:val="auto"/>
              </w:rPr>
            </w:pPr>
          </w:p>
        </w:tc>
        <w:tc>
          <w:tcPr>
            <w:tcW w:w="320" w:type="dxa"/>
            <w:vAlign w:val="bottom"/>
            <w:tcBorders>
              <w:bottom w:val="single" w:sz="8" w:color="auto"/>
            </w:tcBorders>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64,280</w:t>
            </w:r>
          </w:p>
        </w:tc>
        <w:tc>
          <w:tcPr>
            <w:tcW w:w="0" w:type="dxa"/>
            <w:vAlign w:val="bottom"/>
          </w:tcPr>
          <w:p>
            <w:pPr>
              <w:spacing w:after="0"/>
              <w:rPr>
                <w:sz w:val="1"/>
                <w:szCs w:val="1"/>
                <w:color w:val="auto"/>
              </w:rPr>
            </w:pPr>
          </w:p>
        </w:tc>
      </w:tr>
      <w:tr>
        <w:trPr>
          <w:trHeight w:val="20"/>
        </w:trPr>
        <w:tc>
          <w:tcPr>
            <w:tcW w:w="8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5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 xml:space="preserve">See accompanying </w:t>
      </w:r>
      <w:r>
        <w:rPr>
          <w:rFonts w:ascii="Verdana" w:cs="Verdana" w:eastAsia="Verdana" w:hAnsi="Verdana"/>
          <w:sz w:val="18"/>
          <w:szCs w:val="18"/>
          <w:u w:val="single" w:color="auto"/>
          <w:color w:val="0000FF"/>
        </w:rPr>
        <w:t>Notes to Consolidated Financial Statements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 w:name="page9"/>
    <w:bookmarkEnd w:id="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STOCKHOLDERS’ EQUITY (Unaudited)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8"/>
          </w:tcPr>
          <w:p>
            <w:pPr>
              <w:jc w:val="center"/>
              <w:ind w:right="200"/>
              <w:spacing w:after="0"/>
              <w:rPr>
                <w:sz w:val="20"/>
                <w:szCs w:val="20"/>
                <w:color w:val="auto"/>
              </w:rPr>
            </w:pPr>
            <w:r>
              <w:rPr>
                <w:rFonts w:ascii="Verdana" w:cs="Verdana" w:eastAsia="Verdana" w:hAnsi="Verdana"/>
                <w:sz w:val="13"/>
                <w:szCs w:val="13"/>
                <w:b w:val="1"/>
                <w:bCs w:val="1"/>
                <w:color w:val="auto"/>
                <w:w w:val="96"/>
              </w:rPr>
              <w:t>Three Months Ended March 31, 2024</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center"/>
              <w:ind w:left="177"/>
              <w:spacing w:after="0"/>
              <w:rPr>
                <w:sz w:val="20"/>
                <w:szCs w:val="20"/>
                <w:color w:val="auto"/>
              </w:rPr>
            </w:pPr>
            <w:r>
              <w:rPr>
                <w:rFonts w:ascii="Verdana" w:cs="Verdana" w:eastAsia="Verdana" w:hAnsi="Verdana"/>
                <w:sz w:val="13"/>
                <w:szCs w:val="13"/>
                <w:b w:val="1"/>
                <w:bCs w:val="1"/>
                <w:color w:val="auto"/>
                <w:w w:val="96"/>
              </w:rPr>
              <w:t>Common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Verdana" w:cs="Verdana" w:eastAsia="Verdana" w:hAnsi="Verdana"/>
                <w:sz w:val="13"/>
                <w:szCs w:val="13"/>
                <w:b w:val="1"/>
                <w:bCs w:val="1"/>
                <w:color w:val="auto"/>
                <w:w w:val="96"/>
              </w:rPr>
              <w:t>Additional</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Verdana" w:cs="Verdana" w:eastAsia="Verdana" w:hAnsi="Verdana"/>
                <w:sz w:val="13"/>
                <w:szCs w:val="13"/>
                <w:b w:val="1"/>
                <w:bCs w:val="1"/>
                <w:color w:val="auto"/>
                <w:w w:val="98"/>
              </w:rPr>
              <w:t>Retained</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Verdana" w:cs="Verdana" w:eastAsia="Verdana" w:hAnsi="Verdana"/>
                <w:sz w:val="13"/>
                <w:szCs w:val="13"/>
                <w:b w:val="1"/>
                <w:bCs w:val="1"/>
                <w:color w:val="auto"/>
                <w:w w:val="95"/>
              </w:rPr>
              <w:t>Treasury</w:t>
            </w:r>
          </w:p>
        </w:tc>
        <w:tc>
          <w:tcPr>
            <w:tcW w:w="220" w:type="dxa"/>
            <w:vAlign w:val="bottom"/>
          </w:tcPr>
          <w:p>
            <w:pPr>
              <w:spacing w:after="0"/>
              <w:rPr>
                <w:sz w:val="10"/>
                <w:szCs w:val="10"/>
                <w:color w:val="auto"/>
              </w:rPr>
            </w:pPr>
          </w:p>
        </w:tc>
        <w:tc>
          <w:tcPr>
            <w:tcW w:w="880" w:type="dxa"/>
            <w:vAlign w:val="bottom"/>
          </w:tcPr>
          <w:p>
            <w:pPr>
              <w:jc w:val="center"/>
              <w:ind w:right="137"/>
              <w:spacing w:after="0" w:line="122" w:lineRule="exact"/>
              <w:rPr>
                <w:sz w:val="20"/>
                <w:szCs w:val="20"/>
                <w:color w:val="auto"/>
              </w:rPr>
            </w:pPr>
            <w:r>
              <w:rPr>
                <w:rFonts w:ascii="Verdana" w:cs="Verdana" w:eastAsia="Verdana" w:hAnsi="Verdana"/>
                <w:sz w:val="13"/>
                <w:szCs w:val="13"/>
                <w:b w:val="1"/>
                <w:bCs w:val="1"/>
                <w:color w:val="auto"/>
                <w:w w:val="97"/>
              </w:rPr>
              <w:t>Total</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Verdana" w:cs="Verdana" w:eastAsia="Verdana" w:hAnsi="Verdana"/>
                <w:sz w:val="13"/>
                <w:szCs w:val="13"/>
                <w:b w:val="1"/>
                <w:bCs w:val="1"/>
                <w:color w:val="auto"/>
              </w:rPr>
              <w:t>Shares</w:t>
            </w: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Verdana" w:cs="Verdana" w:eastAsia="Verdana" w:hAnsi="Verdana"/>
                <w:sz w:val="13"/>
                <w:szCs w:val="13"/>
                <w:b w:val="1"/>
                <w:bCs w:val="1"/>
                <w:color w:val="auto"/>
                <w:w w:val="96"/>
              </w:rPr>
              <w:t>Paid-in</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AOCI</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Stockholders'</w:t>
            </w:r>
          </w:p>
        </w:tc>
        <w:tc>
          <w:tcPr>
            <w:tcW w:w="0" w:type="dxa"/>
            <w:vAlign w:val="bottom"/>
          </w:tcPr>
          <w:p>
            <w:pPr>
              <w:spacing w:after="0"/>
              <w:rPr>
                <w:sz w:val="1"/>
                <w:szCs w:val="1"/>
                <w:color w:val="auto"/>
              </w:rPr>
            </w:pPr>
          </w:p>
        </w:tc>
      </w:tr>
      <w:tr>
        <w:trPr>
          <w:trHeight w:val="170"/>
        </w:trPr>
        <w:tc>
          <w:tcPr>
            <w:tcW w:w="3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60" w:type="dxa"/>
            <w:vAlign w:val="bottom"/>
          </w:tcPr>
          <w:p>
            <w:pPr>
              <w:jc w:val="center"/>
              <w:ind w:left="157"/>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4"/>
              </w:rPr>
              <w:t>Capital</w:t>
            </w:r>
          </w:p>
        </w:tc>
        <w:tc>
          <w:tcPr>
            <w:tcW w:w="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7"/>
              </w:rPr>
              <w:t>Earnings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80" w:type="dxa"/>
            <w:vAlign w:val="bottom"/>
          </w:tcPr>
          <w:p>
            <w:pPr>
              <w:jc w:val="center"/>
              <w:ind w:right="137"/>
              <w:spacing w:after="0"/>
              <w:rPr>
                <w:sz w:val="20"/>
                <w:szCs w:val="20"/>
                <w:color w:val="auto"/>
              </w:rPr>
            </w:pPr>
            <w:r>
              <w:rPr>
                <w:rFonts w:ascii="Verdana" w:cs="Verdana" w:eastAsia="Verdana" w:hAnsi="Verdana"/>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31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December 31, 2023</w:t>
            </w:r>
          </w:p>
        </w:tc>
        <w:tc>
          <w:tcPr>
            <w:tcW w:w="10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55,244,119</w:t>
            </w:r>
          </w:p>
        </w:tc>
        <w:tc>
          <w:tcPr>
            <w:tcW w:w="80" w:type="dxa"/>
            <w:vAlign w:val="bottom"/>
            <w:tcBorders>
              <w:top w:val="single" w:sz="8" w:color="E0E7ED"/>
            </w:tcBorders>
            <w:shd w:val="clear" w:color="auto" w:fill="E0E7ED"/>
          </w:tcPr>
          <w:p>
            <w:pPr>
              <w:spacing w:after="0"/>
              <w:rPr>
                <w:sz w:val="15"/>
                <w:szCs w:val="15"/>
                <w:color w:val="auto"/>
              </w:rPr>
            </w:pPr>
          </w:p>
        </w:tc>
        <w:tc>
          <w:tcPr>
            <w:tcW w:w="860" w:type="dxa"/>
            <w:vAlign w:val="bottom"/>
            <w:tcBorders>
              <w:top w:val="single" w:sz="8" w:color="auto"/>
            </w:tcBorders>
            <w:shd w:val="clear" w:color="auto" w:fill="E0E7ED"/>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tcBorders>
            <w:shd w:val="clear" w:color="auto" w:fill="E0E7ED"/>
          </w:tcPr>
          <w:p>
            <w:pPr>
              <w:spacing w:after="0"/>
              <w:rPr>
                <w:sz w:val="20"/>
                <w:szCs w:val="20"/>
                <w:color w:val="auto"/>
              </w:rPr>
            </w:pPr>
            <w:r>
              <w:rPr>
                <w:rFonts w:ascii="Verdana" w:cs="Verdana" w:eastAsia="Verdana" w:hAnsi="Verdana"/>
                <w:sz w:val="13"/>
                <w:szCs w:val="13"/>
                <w:color w:val="auto"/>
              </w:rPr>
              <w:t>58</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1,323,595</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237,197</w:t>
            </w:r>
          </w:p>
        </w:tc>
        <w:tc>
          <w:tcPr>
            <w:tcW w:w="80" w:type="dxa"/>
            <w:vAlign w:val="bottom"/>
            <w:tcBorders>
              <w:top w:val="single" w:sz="8" w:color="E0E7ED"/>
            </w:tcBorders>
            <w:shd w:val="clear" w:color="auto" w:fill="E0E7ED"/>
          </w:tcPr>
          <w:p>
            <w:pPr>
              <w:spacing w:after="0"/>
              <w:rPr>
                <w:sz w:val="15"/>
                <w:szCs w:val="15"/>
                <w:color w:val="auto"/>
              </w:rPr>
            </w:pPr>
          </w:p>
        </w:tc>
        <w:tc>
          <w:tcPr>
            <w:tcW w:w="240" w:type="dxa"/>
            <w:vAlign w:val="bottom"/>
            <w:tcBorders>
              <w:top w:val="single" w:sz="8" w:color="auto"/>
            </w:tcBorders>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(218,803)</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(70,066)</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1,271,981</w:t>
            </w: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Cumulative effect of change in accounting</w:t>
            </w:r>
          </w:p>
        </w:tc>
        <w:tc>
          <w:tcPr>
            <w:tcW w:w="1160" w:type="dxa"/>
            <w:vAlign w:val="bottom"/>
            <w:gridSpan w:val="2"/>
            <w:vMerge w:val="restart"/>
          </w:tcPr>
          <w:p>
            <w:pPr>
              <w:jc w:val="right"/>
              <w:ind w:right="10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0"/>
                <w:szCs w:val="10"/>
                <w:color w:val="auto"/>
              </w:rPr>
            </w:pPr>
          </w:p>
        </w:tc>
        <w:tc>
          <w:tcPr>
            <w:tcW w:w="300" w:type="dxa"/>
            <w:vAlign w:val="bottom"/>
            <w:gridSpan w:val="2"/>
            <w:vMerge w:val="restart"/>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(1,391)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(1,391)</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principal (ASU 2023-02)</w:t>
            </w:r>
          </w:p>
        </w:tc>
        <w:tc>
          <w:tcPr>
            <w:tcW w:w="116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income</w:t>
            </w:r>
          </w:p>
        </w:tc>
        <w:tc>
          <w:tcPr>
            <w:tcW w:w="11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102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26,225</w:t>
            </w: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26,225</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OCI, net of tax</w:t>
            </w:r>
          </w:p>
        </w:tc>
        <w:tc>
          <w:tcPr>
            <w:tcW w:w="11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4"/>
                <w:szCs w:val="14"/>
                <w:color w:val="auto"/>
              </w:rPr>
            </w:pPr>
          </w:p>
        </w:tc>
        <w:tc>
          <w:tcPr>
            <w:tcW w:w="300" w:type="dxa"/>
            <w:vAlign w:val="bottom"/>
            <w:gridSpan w:val="2"/>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Verdana" w:cs="Verdana" w:eastAsia="Verdana" w:hAnsi="Verdana"/>
                <w:sz w:val="13"/>
                <w:szCs w:val="13"/>
                <w:color w:val="auto"/>
              </w:rPr>
              <w:t>(3,387)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(3,387)</w:t>
            </w: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Issuance of treasury stock for ESPP</w:t>
            </w:r>
          </w:p>
        </w:tc>
        <w:tc>
          <w:tcPr>
            <w:tcW w:w="10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23,305</w:t>
            </w:r>
          </w:p>
        </w:tc>
        <w:tc>
          <w:tcPr>
            <w:tcW w:w="80" w:type="dxa"/>
            <w:vAlign w:val="bottom"/>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(124)</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599</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475</w:t>
            </w: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Net issuance of treasury stock for</w:t>
            </w:r>
          </w:p>
        </w:tc>
        <w:tc>
          <w:tcPr>
            <w:tcW w:w="10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32,584</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gridSpan w:val="2"/>
            <w:vMerge w:val="restart"/>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(1,235)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839</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(396)</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RSU/PSU/DSU vesting and related tax</w:t>
            </w: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w w:val="97"/>
              </w:rPr>
              <w:t>Cash dividends on common stock at $0.24 per</w:t>
            </w:r>
          </w:p>
        </w:tc>
        <w:tc>
          <w:tcPr>
            <w:tcW w:w="1160" w:type="dxa"/>
            <w:vAlign w:val="bottom"/>
            <w:gridSpan w:val="2"/>
            <w:vMerge w:val="restart"/>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1020" w:type="dxa"/>
            <w:vAlign w:val="bottom"/>
            <w:gridSpan w:val="2"/>
            <w:vMerge w:val="restart"/>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(13,259)</w:t>
            </w:r>
          </w:p>
        </w:tc>
        <w:tc>
          <w:tcPr>
            <w:tcW w:w="80" w:type="dxa"/>
            <w:vAlign w:val="bottom"/>
            <w:shd w:val="clear" w:color="auto" w:fill="E0E7ED"/>
          </w:tcPr>
          <w:p>
            <w:pPr>
              <w:spacing w:after="0"/>
              <w:rPr>
                <w:sz w:val="11"/>
                <w:szCs w:val="11"/>
                <w:color w:val="auto"/>
              </w:rPr>
            </w:pP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(13,259)</w:t>
            </w:r>
          </w:p>
        </w:tc>
        <w:tc>
          <w:tcPr>
            <w:tcW w:w="0" w:type="dxa"/>
            <w:vAlign w:val="bottom"/>
          </w:tcPr>
          <w:p>
            <w:pPr>
              <w:spacing w:after="0"/>
              <w:rPr>
                <w:sz w:val="1"/>
                <w:szCs w:val="1"/>
                <w:color w:val="auto"/>
              </w:rPr>
            </w:pPr>
          </w:p>
        </w:tc>
      </w:tr>
      <w:tr>
        <w:trPr>
          <w:trHeight w:val="176"/>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share</w:t>
            </w:r>
          </w:p>
        </w:tc>
        <w:tc>
          <w:tcPr>
            <w:tcW w:w="1160" w:type="dxa"/>
            <w:vAlign w:val="bottom"/>
            <w:gridSpan w:val="2"/>
            <w:vMerge w:val="continue"/>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0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Stock dividend equivalents on</w:t>
            </w:r>
          </w:p>
        </w:tc>
        <w:tc>
          <w:tcPr>
            <w:tcW w:w="1160" w:type="dxa"/>
            <w:vAlign w:val="bottom"/>
            <w:gridSpan w:val="2"/>
            <w:vMerge w:val="restart"/>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0"/>
                <w:szCs w:val="10"/>
                <w:color w:val="auto"/>
              </w:rPr>
            </w:pPr>
          </w:p>
        </w:tc>
        <w:tc>
          <w:tcPr>
            <w:tcW w:w="300" w:type="dxa"/>
            <w:vAlign w:val="bottom"/>
            <w:gridSpan w:val="2"/>
            <w:vMerge w:val="restart"/>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360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(360)</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RSUs/PSUs/DSUs</w:t>
            </w:r>
          </w:p>
        </w:tc>
        <w:tc>
          <w:tcPr>
            <w:tcW w:w="116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Stock-based compensation</w:t>
            </w:r>
          </w:p>
        </w:tc>
        <w:tc>
          <w:tcPr>
            <w:tcW w:w="11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2,403</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2,403</w:t>
            </w:r>
          </w:p>
        </w:tc>
        <w:tc>
          <w:tcPr>
            <w:tcW w:w="0" w:type="dxa"/>
            <w:vAlign w:val="bottom"/>
          </w:tcPr>
          <w:p>
            <w:pPr>
              <w:spacing w:after="0"/>
              <w:rPr>
                <w:sz w:val="1"/>
                <w:szCs w:val="1"/>
                <w:color w:val="auto"/>
              </w:rPr>
            </w:pPr>
          </w:p>
        </w:tc>
      </w:tr>
      <w:tr>
        <w:trPr>
          <w:trHeight w:val="174"/>
        </w:trPr>
        <w:tc>
          <w:tcPr>
            <w:tcW w:w="3180" w:type="dxa"/>
            <w:vAlign w:val="bottom"/>
          </w:tcPr>
          <w:p>
            <w:pPr>
              <w:ind w:left="20"/>
              <w:spacing w:after="0"/>
              <w:rPr>
                <w:sz w:val="20"/>
                <w:szCs w:val="20"/>
                <w:color w:val="auto"/>
              </w:rPr>
            </w:pPr>
            <w:r>
              <w:rPr>
                <w:rFonts w:ascii="Verdana" w:cs="Verdana" w:eastAsia="Verdana" w:hAnsi="Verdana"/>
                <w:sz w:val="13"/>
                <w:szCs w:val="13"/>
                <w:b w:val="1"/>
                <w:bCs w:val="1"/>
                <w:color w:val="auto"/>
              </w:rPr>
              <w:t>Balance, March 31, 2024</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55,300,008</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bottom w:val="single" w:sz="8" w:color="auto"/>
            </w:tcBorders>
          </w:tcPr>
          <w:p>
            <w:pPr>
              <w:spacing w:after="0"/>
              <w:rPr>
                <w:sz w:val="20"/>
                <w:szCs w:val="20"/>
                <w:color w:val="auto"/>
              </w:rPr>
            </w:pPr>
            <w:r>
              <w:rPr>
                <w:rFonts w:ascii="Verdana" w:cs="Verdana" w:eastAsia="Verdana" w:hAnsi="Verdana"/>
                <w:sz w:val="13"/>
                <w:szCs w:val="13"/>
                <w:color w:val="auto"/>
              </w:rPr>
              <w:t>58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1,324,999</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248,412</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(222,190)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(68,628)</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1,282,651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31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right="200"/>
              <w:spacing w:after="0"/>
              <w:rPr>
                <w:sz w:val="20"/>
                <w:szCs w:val="20"/>
                <w:color w:val="auto"/>
              </w:rPr>
            </w:pPr>
            <w:r>
              <w:rPr>
                <w:rFonts w:ascii="Verdana" w:cs="Verdana" w:eastAsia="Verdana" w:hAnsi="Verdana"/>
                <w:sz w:val="13"/>
                <w:szCs w:val="13"/>
                <w:b w:val="1"/>
                <w:bCs w:val="1"/>
                <w:color w:val="auto"/>
                <w:w w:val="96"/>
              </w:rPr>
              <w:t>Three Months Ended March 31, 2023</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center"/>
              <w:ind w:left="177"/>
              <w:spacing w:after="0"/>
              <w:rPr>
                <w:sz w:val="20"/>
                <w:szCs w:val="20"/>
                <w:color w:val="auto"/>
              </w:rPr>
            </w:pPr>
            <w:r>
              <w:rPr>
                <w:rFonts w:ascii="Verdana" w:cs="Verdana" w:eastAsia="Verdana" w:hAnsi="Verdana"/>
                <w:sz w:val="13"/>
                <w:szCs w:val="13"/>
                <w:b w:val="1"/>
                <w:bCs w:val="1"/>
                <w:color w:val="auto"/>
                <w:w w:val="96"/>
              </w:rPr>
              <w:t>Common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Verdana" w:cs="Verdana" w:eastAsia="Verdana" w:hAnsi="Verdana"/>
                <w:sz w:val="13"/>
                <w:szCs w:val="13"/>
                <w:b w:val="1"/>
                <w:bCs w:val="1"/>
                <w:color w:val="auto"/>
                <w:w w:val="96"/>
              </w:rPr>
              <w:t>Additional</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Verdana" w:cs="Verdana" w:eastAsia="Verdana" w:hAnsi="Verdana"/>
                <w:sz w:val="13"/>
                <w:szCs w:val="13"/>
                <w:b w:val="1"/>
                <w:bCs w:val="1"/>
                <w:color w:val="auto"/>
                <w:w w:val="98"/>
              </w:rPr>
              <w:t>Retained</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Verdana" w:cs="Verdana" w:eastAsia="Verdana" w:hAnsi="Verdana"/>
                <w:sz w:val="13"/>
                <w:szCs w:val="13"/>
                <w:b w:val="1"/>
                <w:bCs w:val="1"/>
                <w:color w:val="auto"/>
                <w:w w:val="95"/>
              </w:rPr>
              <w:t>Treasury</w:t>
            </w:r>
          </w:p>
        </w:tc>
        <w:tc>
          <w:tcPr>
            <w:tcW w:w="220" w:type="dxa"/>
            <w:vAlign w:val="bottom"/>
          </w:tcPr>
          <w:p>
            <w:pPr>
              <w:spacing w:after="0"/>
              <w:rPr>
                <w:sz w:val="10"/>
                <w:szCs w:val="10"/>
                <w:color w:val="auto"/>
              </w:rPr>
            </w:pPr>
          </w:p>
        </w:tc>
        <w:tc>
          <w:tcPr>
            <w:tcW w:w="880" w:type="dxa"/>
            <w:vAlign w:val="bottom"/>
          </w:tcPr>
          <w:p>
            <w:pPr>
              <w:jc w:val="center"/>
              <w:ind w:right="137"/>
              <w:spacing w:after="0" w:line="122" w:lineRule="exact"/>
              <w:rPr>
                <w:sz w:val="20"/>
                <w:szCs w:val="20"/>
                <w:color w:val="auto"/>
              </w:rPr>
            </w:pPr>
            <w:r>
              <w:rPr>
                <w:rFonts w:ascii="Verdana" w:cs="Verdana" w:eastAsia="Verdana" w:hAnsi="Verdana"/>
                <w:sz w:val="13"/>
                <w:szCs w:val="13"/>
                <w:b w:val="1"/>
                <w:bCs w:val="1"/>
                <w:color w:val="auto"/>
                <w:w w:val="97"/>
              </w:rPr>
              <w:t>Total</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Verdana" w:cs="Verdana" w:eastAsia="Verdana" w:hAnsi="Verdana"/>
                <w:sz w:val="13"/>
                <w:szCs w:val="13"/>
                <w:b w:val="1"/>
                <w:bCs w:val="1"/>
                <w:color w:val="auto"/>
              </w:rPr>
              <w:t>Shares</w:t>
            </w: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Verdana" w:cs="Verdana" w:eastAsia="Verdana" w:hAnsi="Verdana"/>
                <w:sz w:val="13"/>
                <w:szCs w:val="13"/>
                <w:b w:val="1"/>
                <w:bCs w:val="1"/>
                <w:color w:val="auto"/>
                <w:w w:val="96"/>
              </w:rPr>
              <w:t>Paid-in</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AOCI</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Stockholders'</w:t>
            </w:r>
          </w:p>
        </w:tc>
        <w:tc>
          <w:tcPr>
            <w:tcW w:w="0" w:type="dxa"/>
            <w:vAlign w:val="bottom"/>
          </w:tcPr>
          <w:p>
            <w:pPr>
              <w:spacing w:after="0"/>
              <w:rPr>
                <w:sz w:val="1"/>
                <w:szCs w:val="1"/>
                <w:color w:val="auto"/>
              </w:rPr>
            </w:pPr>
          </w:p>
        </w:tc>
      </w:tr>
      <w:tr>
        <w:trPr>
          <w:trHeight w:val="170"/>
        </w:trPr>
        <w:tc>
          <w:tcPr>
            <w:tcW w:w="3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60" w:type="dxa"/>
            <w:vAlign w:val="bottom"/>
          </w:tcPr>
          <w:p>
            <w:pPr>
              <w:jc w:val="center"/>
              <w:ind w:left="157"/>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4"/>
              </w:rPr>
              <w:t>Capital</w:t>
            </w:r>
          </w:p>
        </w:tc>
        <w:tc>
          <w:tcPr>
            <w:tcW w:w="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7"/>
              </w:rPr>
              <w:t>Earnings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80" w:type="dxa"/>
            <w:vAlign w:val="bottom"/>
          </w:tcPr>
          <w:p>
            <w:pPr>
              <w:jc w:val="center"/>
              <w:ind w:right="137"/>
              <w:spacing w:after="0"/>
              <w:rPr>
                <w:sz w:val="20"/>
                <w:szCs w:val="20"/>
                <w:color w:val="auto"/>
              </w:rPr>
            </w:pPr>
            <w:r>
              <w:rPr>
                <w:rFonts w:ascii="Verdana" w:cs="Verdana" w:eastAsia="Verdana" w:hAnsi="Verdana"/>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31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December 31, 2022</w:t>
            </w:r>
          </w:p>
        </w:tc>
        <w:tc>
          <w:tcPr>
            <w:tcW w:w="10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55,279,124</w:t>
            </w:r>
          </w:p>
        </w:tc>
        <w:tc>
          <w:tcPr>
            <w:tcW w:w="80" w:type="dxa"/>
            <w:vAlign w:val="bottom"/>
            <w:tcBorders>
              <w:top w:val="single" w:sz="8" w:color="E0E7ED"/>
            </w:tcBorders>
            <w:shd w:val="clear" w:color="auto" w:fill="E0E7ED"/>
          </w:tcPr>
          <w:p>
            <w:pPr>
              <w:spacing w:after="0"/>
              <w:rPr>
                <w:sz w:val="15"/>
                <w:szCs w:val="15"/>
                <w:color w:val="auto"/>
              </w:rPr>
            </w:pPr>
          </w:p>
        </w:tc>
        <w:tc>
          <w:tcPr>
            <w:tcW w:w="860" w:type="dxa"/>
            <w:vAlign w:val="bottom"/>
            <w:tcBorders>
              <w:top w:val="single" w:sz="8" w:color="auto"/>
            </w:tcBorders>
            <w:shd w:val="clear" w:color="auto" w:fill="E0E7ED"/>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tcBorders>
            <w:shd w:val="clear" w:color="auto" w:fill="E0E7ED"/>
          </w:tcPr>
          <w:p>
            <w:pPr>
              <w:spacing w:after="0"/>
              <w:rPr>
                <w:sz w:val="20"/>
                <w:szCs w:val="20"/>
                <w:color w:val="auto"/>
              </w:rPr>
            </w:pPr>
            <w:r>
              <w:rPr>
                <w:rFonts w:ascii="Verdana" w:cs="Verdana" w:eastAsia="Verdana" w:hAnsi="Verdana"/>
                <w:sz w:val="13"/>
                <w:szCs w:val="13"/>
                <w:color w:val="auto"/>
              </w:rPr>
              <w:t>58</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1,320,980</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168,769</w:t>
            </w:r>
          </w:p>
        </w:tc>
        <w:tc>
          <w:tcPr>
            <w:tcW w:w="80" w:type="dxa"/>
            <w:vAlign w:val="bottom"/>
            <w:tcBorders>
              <w:top w:val="single" w:sz="8" w:color="E0E7ED"/>
            </w:tcBorders>
            <w:shd w:val="clear" w:color="auto" w:fill="E0E7ED"/>
          </w:tcPr>
          <w:p>
            <w:pPr>
              <w:spacing w:after="0"/>
              <w:rPr>
                <w:sz w:val="15"/>
                <w:szCs w:val="15"/>
                <w:color w:val="auto"/>
              </w:rPr>
            </w:pPr>
          </w:p>
        </w:tc>
        <w:tc>
          <w:tcPr>
            <w:tcW w:w="240" w:type="dxa"/>
            <w:vAlign w:val="bottom"/>
            <w:tcBorders>
              <w:top w:val="single" w:sz="8" w:color="auto"/>
            </w:tcBorders>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(273,278)</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(70,552)</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1,145,977</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Net income</w:t>
            </w:r>
          </w:p>
        </w:tc>
        <w:tc>
          <w:tcPr>
            <w:tcW w:w="1160" w:type="dxa"/>
            <w:vAlign w:val="bottom"/>
            <w:gridSpan w:val="2"/>
          </w:tcPr>
          <w:p>
            <w:pPr>
              <w:jc w:val="right"/>
              <w:ind w:right="10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4"/>
                <w:szCs w:val="14"/>
                <w:color w:val="auto"/>
              </w:rPr>
            </w:pPr>
          </w:p>
        </w:tc>
        <w:tc>
          <w:tcPr>
            <w:tcW w:w="300" w:type="dxa"/>
            <w:vAlign w:val="bottom"/>
            <w:gridSpan w:val="2"/>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Verdana" w:cs="Verdana" w:eastAsia="Verdana" w:hAnsi="Verdana"/>
                <w:sz w:val="13"/>
                <w:szCs w:val="13"/>
                <w:color w:val="auto"/>
              </w:rPr>
              <w:t>36,786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36,786</w:t>
            </w: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OCI, net of tax</w:t>
            </w:r>
          </w:p>
        </w:tc>
        <w:tc>
          <w:tcPr>
            <w:tcW w:w="116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102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27,494</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27,494</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Repurchase of stock</w:t>
            </w:r>
          </w:p>
        </w:tc>
        <w:tc>
          <w:tcPr>
            <w:tcW w:w="1080" w:type="dxa"/>
            <w:vAlign w:val="bottom"/>
          </w:tcPr>
          <w:p>
            <w:pPr>
              <w:jc w:val="right"/>
              <w:spacing w:after="0"/>
              <w:rPr>
                <w:sz w:val="20"/>
                <w:szCs w:val="20"/>
                <w:color w:val="auto"/>
              </w:rPr>
            </w:pPr>
            <w:r>
              <w:rPr>
                <w:rFonts w:ascii="Verdana" w:cs="Verdana" w:eastAsia="Verdana" w:hAnsi="Verdana"/>
                <w:sz w:val="13"/>
                <w:szCs w:val="13"/>
                <w:color w:val="auto"/>
              </w:rPr>
              <w:t>(25,000)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Verdana" w:cs="Verdana" w:eastAsia="Verdana" w:hAnsi="Verdana"/>
                <w:sz w:val="13"/>
                <w:szCs w:val="13"/>
                <w:color w:val="auto"/>
              </w:rPr>
              <w:t>(534)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(534)</w:t>
            </w: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Issuance of treasury stock for ESPP</w:t>
            </w:r>
          </w:p>
        </w:tc>
        <w:tc>
          <w:tcPr>
            <w:tcW w:w="10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30,360</w:t>
            </w:r>
          </w:p>
        </w:tc>
        <w:tc>
          <w:tcPr>
            <w:tcW w:w="80" w:type="dxa"/>
            <w:vAlign w:val="bottom"/>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(257)</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782</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525</w:t>
            </w:r>
          </w:p>
        </w:tc>
        <w:tc>
          <w:tcPr>
            <w:tcW w:w="0" w:type="dxa"/>
            <w:vAlign w:val="bottom"/>
          </w:tcPr>
          <w:p>
            <w:pPr>
              <w:spacing w:after="0"/>
              <w:rPr>
                <w:sz w:val="1"/>
                <w:szCs w:val="1"/>
                <w:color w:val="auto"/>
              </w:rPr>
            </w:pPr>
          </w:p>
        </w:tc>
      </w:tr>
      <w:tr>
        <w:trPr>
          <w:trHeight w:val="121"/>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Net issuance of treasury stock for RSU/DSU</w:t>
            </w:r>
          </w:p>
        </w:tc>
        <w:tc>
          <w:tcPr>
            <w:tcW w:w="1080" w:type="dxa"/>
            <w:vAlign w:val="bottom"/>
            <w:vMerge w:val="restart"/>
          </w:tcPr>
          <w:p>
            <w:pPr>
              <w:jc w:val="right"/>
              <w:spacing w:after="0"/>
              <w:rPr>
                <w:sz w:val="20"/>
                <w:szCs w:val="20"/>
                <w:color w:val="auto"/>
              </w:rPr>
            </w:pPr>
            <w:r>
              <w:rPr>
                <w:rFonts w:ascii="Verdana" w:cs="Verdana" w:eastAsia="Verdana" w:hAnsi="Verdana"/>
                <w:sz w:val="13"/>
                <w:szCs w:val="13"/>
                <w:color w:val="auto"/>
              </w:rPr>
              <w:t>8,977</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gridSpan w:val="2"/>
            <w:vMerge w:val="restart"/>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(331)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231</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(100)</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vesting and related tax</w:t>
            </w: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Net issuance of treasury stock for warrants</w:t>
            </w:r>
          </w:p>
        </w:tc>
        <w:tc>
          <w:tcPr>
            <w:tcW w:w="10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994</w:t>
            </w:r>
          </w:p>
        </w:tc>
        <w:tc>
          <w:tcPr>
            <w:tcW w:w="80" w:type="dxa"/>
            <w:vAlign w:val="bottom"/>
            <w:shd w:val="clear" w:color="auto" w:fill="E0E7ED"/>
          </w:tcPr>
          <w:p>
            <w:pPr>
              <w:spacing w:after="0"/>
              <w:rPr>
                <w:sz w:val="11"/>
                <w:szCs w:val="11"/>
                <w:color w:val="auto"/>
              </w:rPr>
            </w:pP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(17)</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26</w:t>
            </w:r>
          </w:p>
        </w:tc>
        <w:tc>
          <w:tcPr>
            <w:tcW w:w="80" w:type="dxa"/>
            <w:vAlign w:val="bottom"/>
            <w:shd w:val="clear" w:color="auto" w:fill="E0E7ED"/>
          </w:tcPr>
          <w:p>
            <w:pPr>
              <w:spacing w:after="0"/>
              <w:rPr>
                <w:sz w:val="11"/>
                <w:szCs w:val="11"/>
                <w:color w:val="auto"/>
              </w:rPr>
            </w:pP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9</w:t>
            </w:r>
          </w:p>
        </w:tc>
        <w:tc>
          <w:tcPr>
            <w:tcW w:w="0" w:type="dxa"/>
            <w:vAlign w:val="bottom"/>
          </w:tcPr>
          <w:p>
            <w:pPr>
              <w:spacing w:after="0"/>
              <w:rPr>
                <w:sz w:val="1"/>
                <w:szCs w:val="1"/>
                <w:color w:val="auto"/>
              </w:rPr>
            </w:pPr>
          </w:p>
        </w:tc>
      </w:tr>
      <w:tr>
        <w:trPr>
          <w:trHeight w:val="175"/>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exercised</w:t>
            </w:r>
          </w:p>
        </w:tc>
        <w:tc>
          <w:tcPr>
            <w:tcW w:w="10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w w:val="97"/>
              </w:rPr>
              <w:t>Cash dividends on common stock at $0.24 per</w:t>
            </w:r>
          </w:p>
        </w:tc>
        <w:tc>
          <w:tcPr>
            <w:tcW w:w="1160" w:type="dxa"/>
            <w:vAlign w:val="bottom"/>
            <w:gridSpan w:val="2"/>
            <w:vMerge w:val="restart"/>
          </w:tcPr>
          <w:p>
            <w:pPr>
              <w:jc w:val="right"/>
              <w:ind w:right="10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0"/>
                <w:szCs w:val="10"/>
                <w:color w:val="auto"/>
              </w:rPr>
            </w:pPr>
          </w:p>
        </w:tc>
        <w:tc>
          <w:tcPr>
            <w:tcW w:w="300" w:type="dxa"/>
            <w:vAlign w:val="bottom"/>
            <w:gridSpan w:val="2"/>
            <w:vMerge w:val="restart"/>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(13,268)</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(13,268)</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share</w:t>
            </w:r>
          </w:p>
        </w:tc>
        <w:tc>
          <w:tcPr>
            <w:tcW w:w="116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Stock dividend equivalents on</w:t>
            </w:r>
          </w:p>
        </w:tc>
        <w:tc>
          <w:tcPr>
            <w:tcW w:w="1160" w:type="dxa"/>
            <w:vAlign w:val="bottom"/>
            <w:gridSpan w:val="2"/>
            <w:vMerge w:val="restart"/>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363</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(363)</w:t>
            </w:r>
          </w:p>
        </w:tc>
        <w:tc>
          <w:tcPr>
            <w:tcW w:w="80" w:type="dxa"/>
            <w:vAlign w:val="bottom"/>
            <w:shd w:val="clear" w:color="auto" w:fill="E0E7ED"/>
          </w:tcPr>
          <w:p>
            <w:pPr>
              <w:spacing w:after="0"/>
              <w:rPr>
                <w:sz w:val="11"/>
                <w:szCs w:val="11"/>
                <w:color w:val="auto"/>
              </w:rPr>
            </w:pP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0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5"/>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RSUs/PSUs/DSUs</w:t>
            </w:r>
          </w:p>
        </w:tc>
        <w:tc>
          <w:tcPr>
            <w:tcW w:w="1160" w:type="dxa"/>
            <w:vAlign w:val="bottom"/>
            <w:gridSpan w:val="2"/>
            <w:vMerge w:val="continue"/>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Stock-based compensation</w:t>
            </w:r>
          </w:p>
        </w:tc>
        <w:tc>
          <w:tcPr>
            <w:tcW w:w="1160" w:type="dxa"/>
            <w:vAlign w:val="bottom"/>
            <w:gridSpan w:val="2"/>
          </w:tcPr>
          <w:p>
            <w:pPr>
              <w:jc w:val="right"/>
              <w:ind w:right="10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4"/>
                <w:szCs w:val="14"/>
                <w:color w:val="auto"/>
              </w:rPr>
            </w:pPr>
          </w:p>
        </w:tc>
        <w:tc>
          <w:tcPr>
            <w:tcW w:w="300" w:type="dxa"/>
            <w:vAlign w:val="bottom"/>
            <w:gridSpan w:val="2"/>
          </w:tcPr>
          <w:p>
            <w:pPr>
              <w:ind w:left="8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1,669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1,669</w:t>
            </w:r>
          </w:p>
        </w:tc>
        <w:tc>
          <w:tcPr>
            <w:tcW w:w="0" w:type="dxa"/>
            <w:vAlign w:val="bottom"/>
          </w:tcPr>
          <w:p>
            <w:pPr>
              <w:spacing w:after="0"/>
              <w:rPr>
                <w:sz w:val="1"/>
                <w:szCs w:val="1"/>
                <w:color w:val="auto"/>
              </w:rPr>
            </w:pPr>
          </w:p>
        </w:tc>
      </w:tr>
      <w:tr>
        <w:trPr>
          <w:trHeight w:val="199"/>
        </w:trPr>
        <w:tc>
          <w:tcPr>
            <w:tcW w:w="318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March 31, 2023</w:t>
            </w:r>
          </w:p>
        </w:tc>
        <w:tc>
          <w:tcPr>
            <w:tcW w:w="10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55,294,455</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860" w:type="dxa"/>
            <w:vAlign w:val="bottom"/>
            <w:tcBorders>
              <w:top w:val="single" w:sz="8" w:color="auto"/>
              <w:bottom w:val="single" w:sz="8" w:color="auto"/>
            </w:tcBorders>
            <w:shd w:val="clear" w:color="auto" w:fill="E0E7ED"/>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bottom w:val="single" w:sz="8" w:color="auto"/>
            </w:tcBorders>
            <w:shd w:val="clear" w:color="auto" w:fill="E0E7ED"/>
          </w:tcPr>
          <w:p>
            <w:pPr>
              <w:spacing w:after="0"/>
              <w:rPr>
                <w:sz w:val="20"/>
                <w:szCs w:val="20"/>
                <w:color w:val="auto"/>
              </w:rPr>
            </w:pPr>
            <w:r>
              <w:rPr>
                <w:rFonts w:ascii="Verdana" w:cs="Verdana" w:eastAsia="Verdana" w:hAnsi="Verdana"/>
                <w:sz w:val="13"/>
                <w:szCs w:val="13"/>
                <w:color w:val="auto"/>
              </w:rPr>
              <w:t>58</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1,322,407</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191,924</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240" w:type="dxa"/>
            <w:vAlign w:val="bottom"/>
            <w:tcBorders>
              <w:top w:val="single" w:sz="8" w:color="auto"/>
              <w:bottom w:val="single" w:sz="8" w:color="auto"/>
            </w:tcBorders>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(245,784)</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(70,047)</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220" w:type="dxa"/>
            <w:vAlign w:val="bottom"/>
            <w:tcBorders>
              <w:top w:val="single" w:sz="8" w:color="auto"/>
              <w:bottom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1,198,558</w:t>
            </w:r>
          </w:p>
        </w:tc>
        <w:tc>
          <w:tcPr>
            <w:tcW w:w="0" w:type="dxa"/>
            <w:vAlign w:val="bottom"/>
          </w:tcPr>
          <w:p>
            <w:pPr>
              <w:spacing w:after="0"/>
              <w:rPr>
                <w:sz w:val="1"/>
                <w:szCs w:val="1"/>
                <w:color w:val="auto"/>
              </w:rPr>
            </w:pPr>
          </w:p>
        </w:tc>
      </w:tr>
      <w:tr>
        <w:trPr>
          <w:trHeight w:val="20"/>
        </w:trPr>
        <w:tc>
          <w:tcPr>
            <w:tcW w:w="3180" w:type="dxa"/>
            <w:vAlign w:val="bottom"/>
            <w:tcBorders>
              <w:top w:val="single" w:sz="8" w:color="E0E7ED"/>
            </w:tcBorders>
          </w:tcPr>
          <w:p>
            <w:pPr>
              <w:spacing w:after="0" w:line="20" w:lineRule="exact"/>
              <w:rPr>
                <w:sz w:val="1"/>
                <w:szCs w:val="1"/>
                <w:color w:val="auto"/>
              </w:rPr>
            </w:pPr>
          </w:p>
        </w:tc>
        <w:tc>
          <w:tcPr>
            <w:tcW w:w="10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860" w:type="dxa"/>
            <w:vAlign w:val="bottom"/>
            <w:tcBorders>
              <w:top w:val="single" w:sz="8" w:color="E0E7ED"/>
              <w:bottom w:val="single" w:sz="8" w:color="auto"/>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8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 xml:space="preserve">See accompanying </w:t>
      </w:r>
      <w:r>
        <w:rPr>
          <w:rFonts w:ascii="Verdana" w:cs="Verdana" w:eastAsia="Verdana" w:hAnsi="Verdana"/>
          <w:sz w:val="18"/>
          <w:szCs w:val="18"/>
          <w:u w:val="single" w:color="auto"/>
          <w:color w:val="0000FF"/>
        </w:rPr>
        <w:t>Notes to Consolidated Financial Statements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 w:name="page10"/>
    <w:bookmarkEnd w:id="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CASH FLOWS (Unaudited)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377"/>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81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161"/>
        </w:trPr>
        <w:tc>
          <w:tcPr>
            <w:tcW w:w="8180" w:type="dxa"/>
            <w:vAlign w:val="bottom"/>
            <w:shd w:val="clear" w:color="auto" w:fill="E0E7ED"/>
          </w:tcPr>
          <w:p>
            <w:pPr>
              <w:ind w:left="20"/>
              <w:spacing w:after="0" w:line="150" w:lineRule="exact"/>
              <w:rPr>
                <w:sz w:val="20"/>
                <w:szCs w:val="20"/>
                <w:color w:val="auto"/>
              </w:rPr>
            </w:pPr>
            <w:r>
              <w:rPr>
                <w:rFonts w:ascii="Verdana" w:cs="Verdana" w:eastAsia="Verdana" w:hAnsi="Verdana"/>
                <w:sz w:val="13"/>
                <w:szCs w:val="13"/>
                <w:b w:val="1"/>
                <w:bCs w:val="1"/>
                <w:color w:val="auto"/>
              </w:rPr>
              <w:t>Cash flows provided by (used in) operating activities</w:t>
            </w:r>
          </w:p>
        </w:tc>
        <w:tc>
          <w:tcPr>
            <w:tcW w:w="260" w:type="dxa"/>
            <w:vAlign w:val="bottom"/>
            <w:shd w:val="clear" w:color="auto" w:fill="E0E7ED"/>
          </w:tcPr>
          <w:p>
            <w:pPr>
              <w:spacing w:after="0"/>
              <w:rPr>
                <w:sz w:val="13"/>
                <w:szCs w:val="13"/>
                <w:color w:val="auto"/>
              </w:rPr>
            </w:pPr>
          </w:p>
        </w:tc>
        <w:tc>
          <w:tcPr>
            <w:tcW w:w="122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Net income</w:t>
            </w:r>
          </w:p>
        </w:tc>
        <w:tc>
          <w:tcPr>
            <w:tcW w:w="260" w:type="dxa"/>
            <w:vAlign w:val="bottom"/>
          </w:tcPr>
          <w:p>
            <w:pPr>
              <w:jc w:val="right"/>
              <w:ind w:right="97"/>
              <w:spacing w:after="0"/>
              <w:rPr>
                <w:sz w:val="20"/>
                <w:szCs w:val="20"/>
                <w:color w:val="auto"/>
              </w:rPr>
            </w:pPr>
            <w:r>
              <w:rPr>
                <w:rFonts w:ascii="Verdana" w:cs="Verdana" w:eastAsia="Verdana" w:hAnsi="Verdana"/>
                <w:sz w:val="13"/>
                <w:szCs w:val="13"/>
                <w:color w:val="auto"/>
                <w:w w:val="95"/>
              </w:rPr>
              <w:t>$</w:t>
            </w: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26,225</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36,786</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Adjustments to reconcile net income to net cash provided by (used in) operating activities: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r>
      <w:tr>
        <w:trPr>
          <w:trHeight w:val="170"/>
        </w:trPr>
        <w:tc>
          <w:tcPr>
            <w:tcW w:w="8180" w:type="dxa"/>
            <w:vAlign w:val="bottom"/>
          </w:tcPr>
          <w:p>
            <w:pPr>
              <w:ind w:left="360"/>
              <w:spacing w:after="0"/>
              <w:rPr>
                <w:sz w:val="20"/>
                <w:szCs w:val="20"/>
                <w:color w:val="auto"/>
              </w:rPr>
            </w:pPr>
            <w:r>
              <w:rPr>
                <w:rFonts w:ascii="Verdana" w:cs="Verdana" w:eastAsia="Verdana" w:hAnsi="Verdana"/>
                <w:sz w:val="13"/>
                <w:szCs w:val="13"/>
                <w:color w:val="auto"/>
              </w:rPr>
              <w:t>Provision for credit losses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5,038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953</w:t>
            </w:r>
          </w:p>
        </w:tc>
      </w:tr>
      <w:tr>
        <w:trPr>
          <w:trHeight w:val="181"/>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Amortization of intangible assets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2,409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2,729</w:t>
            </w:r>
          </w:p>
        </w:tc>
      </w:tr>
      <w:tr>
        <w:trPr>
          <w:trHeight w:val="170"/>
        </w:trPr>
        <w:tc>
          <w:tcPr>
            <w:tcW w:w="8180" w:type="dxa"/>
            <w:vAlign w:val="bottom"/>
          </w:tcPr>
          <w:p>
            <w:pPr>
              <w:ind w:left="360"/>
              <w:spacing w:after="0"/>
              <w:rPr>
                <w:sz w:val="20"/>
                <w:szCs w:val="20"/>
                <w:color w:val="auto"/>
              </w:rPr>
            </w:pPr>
            <w:r>
              <w:rPr>
                <w:rFonts w:ascii="Verdana" w:cs="Verdana" w:eastAsia="Verdana" w:hAnsi="Verdana"/>
                <w:sz w:val="13"/>
                <w:szCs w:val="13"/>
                <w:color w:val="auto"/>
              </w:rPr>
              <w:t>Amortization of mortgage servicing rights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468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749</w:t>
            </w:r>
          </w:p>
        </w:tc>
      </w:tr>
      <w:tr>
        <w:trPr>
          <w:trHeight w:val="181"/>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Amortization of NMTC</w:t>
            </w:r>
          </w:p>
        </w:tc>
        <w:tc>
          <w:tcPr>
            <w:tcW w:w="260" w:type="dxa"/>
            <w:vAlign w:val="bottom"/>
            <w:shd w:val="clear" w:color="auto" w:fill="E0E7ED"/>
          </w:tcPr>
          <w:p>
            <w:pPr>
              <w:spacing w:after="0"/>
              <w:rPr>
                <w:sz w:val="15"/>
                <w:szCs w:val="15"/>
                <w:color w:val="auto"/>
              </w:rPr>
            </w:pPr>
          </w:p>
        </w:tc>
        <w:tc>
          <w:tcPr>
            <w:tcW w:w="13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2,221</w:t>
            </w:r>
          </w:p>
        </w:tc>
      </w:tr>
      <w:tr>
        <w:trPr>
          <w:trHeight w:val="170"/>
        </w:trPr>
        <w:tc>
          <w:tcPr>
            <w:tcW w:w="8180" w:type="dxa"/>
            <w:vAlign w:val="bottom"/>
          </w:tcPr>
          <w:p>
            <w:pPr>
              <w:ind w:left="360"/>
              <w:spacing w:after="0"/>
              <w:rPr>
                <w:sz w:val="20"/>
                <w:szCs w:val="20"/>
                <w:color w:val="auto"/>
              </w:rPr>
            </w:pPr>
            <w:r>
              <w:rPr>
                <w:rFonts w:ascii="Verdana" w:cs="Verdana" w:eastAsia="Verdana" w:hAnsi="Verdana"/>
                <w:sz w:val="13"/>
                <w:szCs w:val="13"/>
                <w:color w:val="auto"/>
              </w:rPr>
              <w:t>Depreciation and amortization of premises and equipment</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2,378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2,371</w:t>
            </w:r>
          </w:p>
        </w:tc>
      </w:tr>
      <w:tr>
        <w:trPr>
          <w:trHeight w:val="181"/>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Net amortization (accretion) on portfolio loans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1,629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1,803</w:t>
            </w:r>
          </w:p>
        </w:tc>
      </w:tr>
      <w:tr>
        <w:trPr>
          <w:trHeight w:val="170"/>
        </w:trPr>
        <w:tc>
          <w:tcPr>
            <w:tcW w:w="8180" w:type="dxa"/>
            <w:vAlign w:val="bottom"/>
          </w:tcPr>
          <w:p>
            <w:pPr>
              <w:ind w:left="360"/>
              <w:spacing w:after="0"/>
              <w:rPr>
                <w:sz w:val="20"/>
                <w:szCs w:val="20"/>
                <w:color w:val="auto"/>
              </w:rPr>
            </w:pPr>
            <w:r>
              <w:rPr>
                <w:rFonts w:ascii="Verdana" w:cs="Verdana" w:eastAsia="Verdana" w:hAnsi="Verdana"/>
                <w:sz w:val="13"/>
                <w:szCs w:val="13"/>
                <w:color w:val="auto"/>
              </w:rPr>
              <w:t>Net amortization (accretion) of premium (discount) on investment securities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2,535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4,231</w:t>
            </w:r>
          </w:p>
        </w:tc>
      </w:tr>
      <w:tr>
        <w:trPr>
          <w:trHeight w:val="181"/>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Net amortization (accretion) of premium (discount) on time deposits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(80)</w:t>
            </w:r>
          </w:p>
        </w:tc>
      </w:tr>
      <w:tr>
        <w:trPr>
          <w:trHeight w:val="170"/>
        </w:trPr>
        <w:tc>
          <w:tcPr>
            <w:tcW w:w="8180" w:type="dxa"/>
            <w:vAlign w:val="bottom"/>
          </w:tcPr>
          <w:p>
            <w:pPr>
              <w:ind w:left="360"/>
              <w:spacing w:after="0"/>
              <w:rPr>
                <w:sz w:val="20"/>
                <w:szCs w:val="20"/>
                <w:color w:val="auto"/>
              </w:rPr>
            </w:pPr>
            <w:r>
              <w:rPr>
                <w:rFonts w:ascii="Verdana" w:cs="Verdana" w:eastAsia="Verdana" w:hAnsi="Verdana"/>
                <w:sz w:val="13"/>
                <w:szCs w:val="13"/>
                <w:color w:val="auto"/>
              </w:rPr>
              <w:t>Net amortization (accretion) of premium (discount) on FHLB advances and other borrowings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265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252</w:t>
            </w:r>
          </w:p>
        </w:tc>
      </w:tr>
      <w:tr>
        <w:trPr>
          <w:trHeight w:val="181"/>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Impairment of OREO and other repossessed assets</w:t>
            </w:r>
          </w:p>
        </w:tc>
        <w:tc>
          <w:tcPr>
            <w:tcW w:w="260" w:type="dxa"/>
            <w:vAlign w:val="bottom"/>
            <w:shd w:val="clear" w:color="auto" w:fill="E0E7ED"/>
          </w:tcPr>
          <w:p>
            <w:pPr>
              <w:spacing w:after="0"/>
              <w:rPr>
                <w:sz w:val="15"/>
                <w:szCs w:val="15"/>
                <w:color w:val="auto"/>
              </w:rPr>
            </w:pPr>
          </w:p>
        </w:tc>
        <w:tc>
          <w:tcPr>
            <w:tcW w:w="13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113</w:t>
            </w:r>
          </w:p>
        </w:tc>
      </w:tr>
      <w:tr>
        <w:trPr>
          <w:trHeight w:val="170"/>
        </w:trPr>
        <w:tc>
          <w:tcPr>
            <w:tcW w:w="8180" w:type="dxa"/>
            <w:vAlign w:val="bottom"/>
          </w:tcPr>
          <w:p>
            <w:pPr>
              <w:ind w:left="360"/>
              <w:spacing w:after="0"/>
              <w:rPr>
                <w:sz w:val="20"/>
                <w:szCs w:val="20"/>
                <w:color w:val="auto"/>
              </w:rPr>
            </w:pPr>
            <w:r>
              <w:rPr>
                <w:rFonts w:ascii="Verdana" w:cs="Verdana" w:eastAsia="Verdana" w:hAnsi="Verdana"/>
                <w:sz w:val="13"/>
                <w:szCs w:val="13"/>
                <w:color w:val="auto"/>
              </w:rPr>
              <w:t>Impairment of fixed assets held for sale</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Impairment of mortgage servicing rights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w:t>
            </w:r>
          </w:p>
        </w:tc>
      </w:tr>
      <w:tr>
        <w:trPr>
          <w:trHeight w:val="170"/>
        </w:trPr>
        <w:tc>
          <w:tcPr>
            <w:tcW w:w="8180" w:type="dxa"/>
            <w:vAlign w:val="bottom"/>
          </w:tcPr>
          <w:p>
            <w:pPr>
              <w:ind w:left="360"/>
              <w:spacing w:after="0"/>
              <w:rPr>
                <w:sz w:val="20"/>
                <w:szCs w:val="20"/>
                <w:color w:val="auto"/>
              </w:rPr>
            </w:pPr>
            <w:r>
              <w:rPr>
                <w:rFonts w:ascii="Verdana" w:cs="Verdana" w:eastAsia="Verdana" w:hAnsi="Verdana"/>
                <w:sz w:val="13"/>
                <w:szCs w:val="13"/>
                <w:color w:val="auto"/>
              </w:rPr>
              <w:t>Unrealized (gains) losses recognized on equity securities, net</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(427)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620</w:t>
            </w:r>
          </w:p>
        </w:tc>
      </w:tr>
      <w:tr>
        <w:trPr>
          <w:trHeight w:val="181"/>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(Gain) loss on sales of debt securities, net</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6,802</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w:t>
            </w:r>
          </w:p>
        </w:tc>
      </w:tr>
      <w:tr>
        <w:trPr>
          <w:trHeight w:val="170"/>
        </w:trPr>
        <w:tc>
          <w:tcPr>
            <w:tcW w:w="8180" w:type="dxa"/>
            <w:vAlign w:val="bottom"/>
          </w:tcPr>
          <w:p>
            <w:pPr>
              <w:ind w:left="360"/>
              <w:spacing w:after="0"/>
              <w:rPr>
                <w:sz w:val="20"/>
                <w:szCs w:val="20"/>
                <w:color w:val="auto"/>
              </w:rPr>
            </w:pPr>
            <w:r>
              <w:rPr>
                <w:rFonts w:ascii="Verdana" w:cs="Verdana" w:eastAsia="Verdana" w:hAnsi="Verdana"/>
                <w:sz w:val="13"/>
                <w:szCs w:val="13"/>
                <w:color w:val="auto"/>
              </w:rPr>
              <w:t>(Gain) loss on sales of mortgage servicing rights</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(7,465)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(Gain) loss on sales of loans, net</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(269)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(159)</w:t>
            </w:r>
          </w:p>
        </w:tc>
      </w:tr>
      <w:tr>
        <w:trPr>
          <w:trHeight w:val="170"/>
        </w:trPr>
        <w:tc>
          <w:tcPr>
            <w:tcW w:w="8180" w:type="dxa"/>
            <w:vAlign w:val="bottom"/>
          </w:tcPr>
          <w:p>
            <w:pPr>
              <w:ind w:left="360"/>
              <w:spacing w:after="0"/>
              <w:rPr>
                <w:sz w:val="20"/>
                <w:szCs w:val="20"/>
                <w:color w:val="auto"/>
              </w:rPr>
            </w:pPr>
            <w:r>
              <w:rPr>
                <w:rFonts w:ascii="Verdana" w:cs="Verdana" w:eastAsia="Verdana" w:hAnsi="Verdana"/>
                <w:sz w:val="13"/>
                <w:szCs w:val="13"/>
                <w:color w:val="auto"/>
              </w:rPr>
              <w:t>(Gain) loss on sales of OREO and other repossessed assets</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(540)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(Gain) loss on sales of premises and equipment</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(266)</w:t>
            </w:r>
          </w:p>
        </w:tc>
      </w:tr>
      <w:tr>
        <w:trPr>
          <w:trHeight w:val="170"/>
        </w:trPr>
        <w:tc>
          <w:tcPr>
            <w:tcW w:w="8180" w:type="dxa"/>
            <w:vAlign w:val="bottom"/>
          </w:tcPr>
          <w:p>
            <w:pPr>
              <w:ind w:left="360"/>
              <w:spacing w:after="0"/>
              <w:rPr>
                <w:sz w:val="20"/>
                <w:szCs w:val="20"/>
                <w:color w:val="auto"/>
              </w:rPr>
            </w:pPr>
            <w:r>
              <w:rPr>
                <w:rFonts w:ascii="Verdana" w:cs="Verdana" w:eastAsia="Verdana" w:hAnsi="Verdana"/>
                <w:sz w:val="13"/>
                <w:szCs w:val="13"/>
                <w:color w:val="auto"/>
              </w:rPr>
              <w:t>(Gain) loss on life insurance proceeds</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(394)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(707)</w:t>
            </w:r>
          </w:p>
        </w:tc>
      </w:tr>
      <w:tr>
        <w:trPr>
          <w:trHeight w:val="181"/>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(Increase) decrease in cash surrender value of bank owned life insurance</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(1,025)</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(945)</w:t>
            </w:r>
          </w:p>
        </w:tc>
      </w:tr>
      <w:tr>
        <w:trPr>
          <w:trHeight w:val="170"/>
        </w:trPr>
        <w:tc>
          <w:tcPr>
            <w:tcW w:w="8180" w:type="dxa"/>
            <w:vAlign w:val="bottom"/>
          </w:tcPr>
          <w:p>
            <w:pPr>
              <w:ind w:left="360"/>
              <w:spacing w:after="0"/>
              <w:rPr>
                <w:sz w:val="20"/>
                <w:szCs w:val="20"/>
                <w:color w:val="auto"/>
              </w:rPr>
            </w:pPr>
            <w:r>
              <w:rPr>
                <w:rFonts w:ascii="Verdana" w:cs="Verdana" w:eastAsia="Verdana" w:hAnsi="Verdana"/>
                <w:sz w:val="13"/>
                <w:szCs w:val="13"/>
                <w:color w:val="auto"/>
              </w:rPr>
              <w:t>Provision for deferred income taxes</w:t>
            </w:r>
          </w:p>
        </w:tc>
        <w:tc>
          <w:tcPr>
            <w:tcW w:w="26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(1,617)</w:t>
            </w:r>
          </w:p>
        </w:tc>
      </w:tr>
      <w:tr>
        <w:trPr>
          <w:trHeight w:val="181"/>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Stock-based compensation</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2,403</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1,669</w:t>
            </w:r>
          </w:p>
        </w:tc>
      </w:tr>
      <w:tr>
        <w:trPr>
          <w:trHeight w:val="170"/>
        </w:trPr>
        <w:tc>
          <w:tcPr>
            <w:tcW w:w="8180" w:type="dxa"/>
            <w:vAlign w:val="bottom"/>
          </w:tcPr>
          <w:p>
            <w:pPr>
              <w:ind w:left="360"/>
              <w:spacing w:after="0"/>
              <w:rPr>
                <w:sz w:val="20"/>
                <w:szCs w:val="20"/>
                <w:color w:val="auto"/>
              </w:rPr>
            </w:pPr>
            <w:r>
              <w:rPr>
                <w:rFonts w:ascii="Verdana" w:cs="Verdana" w:eastAsia="Verdana" w:hAnsi="Verdana"/>
                <w:sz w:val="13"/>
                <w:szCs w:val="13"/>
                <w:color w:val="auto"/>
              </w:rPr>
              <w:t>Proceeds from the sale of mortgage servicing rights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9,796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Mortgage loans originated for sale</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(19,296)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(9,524)</w:t>
            </w:r>
          </w:p>
        </w:tc>
      </w:tr>
      <w:tr>
        <w:trPr>
          <w:trHeight w:val="170"/>
        </w:trPr>
        <w:tc>
          <w:tcPr>
            <w:tcW w:w="8180" w:type="dxa"/>
            <w:vAlign w:val="bottom"/>
          </w:tcPr>
          <w:p>
            <w:pPr>
              <w:ind w:left="360"/>
              <w:spacing w:after="0"/>
              <w:rPr>
                <w:sz w:val="20"/>
                <w:szCs w:val="20"/>
                <w:color w:val="auto"/>
              </w:rPr>
            </w:pPr>
            <w:r>
              <w:rPr>
                <w:rFonts w:ascii="Verdana" w:cs="Verdana" w:eastAsia="Verdana" w:hAnsi="Verdana"/>
                <w:sz w:val="13"/>
                <w:szCs w:val="13"/>
                <w:color w:val="auto"/>
              </w:rPr>
              <w:t>Proceeds from sales of mortgage loans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15,241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8,219</w:t>
            </w:r>
          </w:p>
        </w:tc>
      </w:tr>
      <w:tr>
        <w:trPr>
          <w:trHeight w:val="181"/>
        </w:trPr>
        <w:tc>
          <w:tcPr>
            <w:tcW w:w="818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(Increase) decrease in other assets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1,613</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(2,119)</w:t>
            </w:r>
          </w:p>
        </w:tc>
      </w:tr>
      <w:tr>
        <w:trPr>
          <w:trHeight w:val="170"/>
        </w:trPr>
        <w:tc>
          <w:tcPr>
            <w:tcW w:w="8180" w:type="dxa"/>
            <w:vAlign w:val="bottom"/>
            <w:tcBorders>
              <w:bottom w:val="single" w:sz="8" w:color="E0E7ED"/>
            </w:tcBorders>
          </w:tcPr>
          <w:p>
            <w:pPr>
              <w:ind w:left="360"/>
              <w:spacing w:after="0"/>
              <w:rPr>
                <w:sz w:val="20"/>
                <w:szCs w:val="20"/>
                <w:color w:val="auto"/>
              </w:rPr>
            </w:pPr>
            <w:r>
              <w:rPr>
                <w:rFonts w:ascii="Verdana" w:cs="Verdana" w:eastAsia="Verdana" w:hAnsi="Verdana"/>
                <w:sz w:val="13"/>
                <w:szCs w:val="13"/>
                <w:color w:val="auto"/>
              </w:rPr>
              <w:t>Increase (decrease) in other liabilities</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(10,055)</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(2,000)</w:t>
            </w:r>
          </w:p>
        </w:tc>
      </w:tr>
      <w:tr>
        <w:trPr>
          <w:trHeight w:val="169"/>
        </w:trPr>
        <w:tc>
          <w:tcPr>
            <w:tcW w:w="8180" w:type="dxa"/>
            <w:vAlign w:val="bottom"/>
            <w:shd w:val="clear" w:color="auto" w:fill="E0E7ED"/>
          </w:tcPr>
          <w:p>
            <w:pPr>
              <w:ind w:left="20"/>
              <w:spacing w:after="0"/>
              <w:rPr>
                <w:sz w:val="20"/>
                <w:szCs w:val="20"/>
                <w:color w:val="auto"/>
              </w:rPr>
            </w:pPr>
            <w:r>
              <w:rPr>
                <w:rFonts w:ascii="Verdana" w:cs="Verdana" w:eastAsia="Verdana" w:hAnsi="Verdana"/>
                <w:sz w:val="13"/>
                <w:szCs w:val="13"/>
                <w:color w:val="auto"/>
              </w:rPr>
              <w:t>Net cash provided by (used in) operating activities</w:t>
            </w:r>
          </w:p>
        </w:tc>
        <w:tc>
          <w:tcPr>
            <w:tcW w:w="260" w:type="dxa"/>
            <w:vAlign w:val="bottom"/>
            <w:tcBorders>
              <w:bottom w:val="single" w:sz="8" w:color="auto"/>
            </w:tcBorders>
            <w:shd w:val="clear" w:color="auto" w:fill="E0E7ED"/>
          </w:tcPr>
          <w:p>
            <w:pPr>
              <w:spacing w:after="0"/>
              <w:rPr>
                <w:sz w:val="14"/>
                <w:szCs w:val="14"/>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37,350</w:t>
            </w: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45,296</w:t>
            </w:r>
          </w:p>
        </w:tc>
      </w:tr>
      <w:tr>
        <w:trPr>
          <w:trHeight w:val="188"/>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5"/>
        </w:trPr>
        <w:tc>
          <w:tcPr>
            <w:tcW w:w="818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Cash flows provided by (used in) investing activities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Purchases of equity securities</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(177)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(14)</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Purchases of debt securities available for sale</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(780)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(2,449)</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Proceeds from sales of equity securities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626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14</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Proceeds from sales of debt securities available for sale</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101,360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Proceeds from paydowns and maturities of debt securities held to maturity</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11,154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11,708</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Proceeds from paydowns and maturities of debt securities available for sale</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79,104</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107,492</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Purchases of FHLB and other bank stock</w:t>
            </w:r>
          </w:p>
        </w:tc>
        <w:tc>
          <w:tcPr>
            <w:tcW w:w="26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(17,891)</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Proceeds from the redemption of FHLB and other bank stock</w:t>
            </w:r>
          </w:p>
        </w:tc>
        <w:tc>
          <w:tcPr>
            <w:tcW w:w="260" w:type="dxa"/>
            <w:vAlign w:val="bottom"/>
            <w:shd w:val="clear" w:color="auto" w:fill="E0E7ED"/>
          </w:tcPr>
          <w:p>
            <w:pPr>
              <w:spacing w:after="0"/>
              <w:rPr>
                <w:sz w:val="15"/>
                <w:szCs w:val="15"/>
                <w:color w:val="auto"/>
              </w:rPr>
            </w:pPr>
          </w:p>
        </w:tc>
        <w:tc>
          <w:tcPr>
            <w:tcW w:w="13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6,086</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Net (increase) decrease in loans</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56,113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(60,807)</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Cash paid for premiums on bank-owned life insurance</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(76)</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Proceeds from life insurance</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2,359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2,026</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Purchases of premises and equipment</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(1,365)</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(2,380)</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Proceeds from disposition of premises and equipment</w:t>
            </w:r>
          </w:p>
        </w:tc>
        <w:tc>
          <w:tcPr>
            <w:tcW w:w="26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Verdana" w:cs="Verdana" w:eastAsia="Verdana" w:hAnsi="Verdana"/>
                <w:sz w:val="13"/>
                <w:szCs w:val="13"/>
                <w:color w:val="auto"/>
              </w:rPr>
              <w:t>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284</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Proceeds from sales of OREO and other repossessed assets, including cash payments collected</w:t>
            </w:r>
          </w:p>
        </w:tc>
        <w:tc>
          <w:tcPr>
            <w:tcW w:w="260" w:type="dxa"/>
            <w:vAlign w:val="bottom"/>
            <w:tcBorders>
              <w:bottom w:val="single" w:sz="8" w:color="auto"/>
            </w:tcBorders>
            <w:shd w:val="clear" w:color="auto" w:fill="E0E7ED"/>
          </w:tcPr>
          <w:p>
            <w:pPr>
              <w:spacing w:after="0"/>
              <w:rPr>
                <w:sz w:val="15"/>
                <w:szCs w:val="15"/>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600</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42</w:t>
            </w:r>
          </w:p>
        </w:tc>
      </w:tr>
      <w:tr>
        <w:trPr>
          <w:trHeight w:val="164"/>
        </w:trPr>
        <w:tc>
          <w:tcPr>
            <w:tcW w:w="8180" w:type="dxa"/>
            <w:vAlign w:val="bottom"/>
          </w:tcPr>
          <w:p>
            <w:pPr>
              <w:ind w:left="20"/>
              <w:spacing w:after="0" w:line="153" w:lineRule="exact"/>
              <w:rPr>
                <w:sz w:val="20"/>
                <w:szCs w:val="20"/>
                <w:color w:val="auto"/>
              </w:rPr>
            </w:pPr>
            <w:r>
              <w:rPr>
                <w:rFonts w:ascii="Verdana" w:cs="Verdana" w:eastAsia="Verdana" w:hAnsi="Verdana"/>
                <w:sz w:val="13"/>
                <w:szCs w:val="13"/>
                <w:color w:val="auto"/>
              </w:rPr>
              <w:t>Net cash provided by (used in) investing activities</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248,961</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44,035</w:t>
            </w:r>
          </w:p>
        </w:tc>
      </w:tr>
    </w:tbl>
    <w:p>
      <w:pPr>
        <w:spacing w:after="0" w:line="33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(continued)</w:t>
      </w:r>
    </w:p>
    <w:p>
      <w:pPr>
        <w:spacing w:after="0" w:line="17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 w:name="page11"/>
    <w:bookmarkEnd w:id="1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CASH FLOWS (Unaudited) (Continued)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377"/>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81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161"/>
        </w:trPr>
        <w:tc>
          <w:tcPr>
            <w:tcW w:w="8180" w:type="dxa"/>
            <w:vAlign w:val="bottom"/>
            <w:shd w:val="clear" w:color="auto" w:fill="E0E7ED"/>
          </w:tcPr>
          <w:p>
            <w:pPr>
              <w:ind w:left="20"/>
              <w:spacing w:after="0" w:line="150" w:lineRule="exact"/>
              <w:rPr>
                <w:sz w:val="20"/>
                <w:szCs w:val="20"/>
                <w:color w:val="auto"/>
              </w:rPr>
            </w:pPr>
            <w:r>
              <w:rPr>
                <w:rFonts w:ascii="Verdana" w:cs="Verdana" w:eastAsia="Verdana" w:hAnsi="Verdana"/>
                <w:sz w:val="13"/>
                <w:szCs w:val="13"/>
                <w:b w:val="1"/>
                <w:bCs w:val="1"/>
                <w:color w:val="auto"/>
              </w:rPr>
              <w:t>Cash flows provided by (used in) financing activities</w:t>
            </w:r>
          </w:p>
        </w:tc>
        <w:tc>
          <w:tcPr>
            <w:tcW w:w="260" w:type="dxa"/>
            <w:vAlign w:val="bottom"/>
            <w:shd w:val="clear" w:color="auto" w:fill="E0E7ED"/>
          </w:tcPr>
          <w:p>
            <w:pPr>
              <w:spacing w:after="0"/>
              <w:rPr>
                <w:sz w:val="13"/>
                <w:szCs w:val="13"/>
                <w:color w:val="auto"/>
              </w:rPr>
            </w:pPr>
          </w:p>
        </w:tc>
        <w:tc>
          <w:tcPr>
            <w:tcW w:w="122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Net increase (decrease) in deposits</w:t>
            </w:r>
          </w:p>
        </w:tc>
        <w:tc>
          <w:tcPr>
            <w:tcW w:w="260" w:type="dxa"/>
            <w:vAlign w:val="bottom"/>
          </w:tcPr>
          <w:p>
            <w:pPr>
              <w:jc w:val="right"/>
              <w:ind w:right="97"/>
              <w:spacing w:after="0"/>
              <w:rPr>
                <w:sz w:val="20"/>
                <w:szCs w:val="20"/>
                <w:color w:val="auto"/>
              </w:rPr>
            </w:pPr>
            <w:r>
              <w:rPr>
                <w:rFonts w:ascii="Verdana" w:cs="Verdana" w:eastAsia="Verdana" w:hAnsi="Verdana"/>
                <w:sz w:val="13"/>
                <w:szCs w:val="13"/>
                <w:color w:val="auto"/>
                <w:w w:val="95"/>
              </w:rPr>
              <w:t>$</w:t>
            </w:r>
          </w:p>
        </w:tc>
        <w:tc>
          <w:tcPr>
            <w:tcW w:w="1220" w:type="dxa"/>
            <w:vAlign w:val="bottom"/>
          </w:tcPr>
          <w:p>
            <w:pPr>
              <w:jc w:val="right"/>
              <w:spacing w:after="0"/>
              <w:rPr>
                <w:sz w:val="20"/>
                <w:szCs w:val="20"/>
                <w:color w:val="auto"/>
              </w:rPr>
            </w:pPr>
            <w:r>
              <w:rPr>
                <w:rFonts w:ascii="Verdana" w:cs="Verdana" w:eastAsia="Verdana" w:hAnsi="Verdana"/>
                <w:sz w:val="13"/>
                <w:szCs w:val="13"/>
                <w:color w:val="auto"/>
              </w:rPr>
              <w:t>(330,945)</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spacing w:after="0"/>
              <w:rPr>
                <w:sz w:val="20"/>
                <w:szCs w:val="20"/>
                <w:color w:val="auto"/>
              </w:rPr>
            </w:pPr>
            <w:r>
              <w:rPr>
                <w:rFonts w:ascii="Verdana" w:cs="Verdana" w:eastAsia="Verdana" w:hAnsi="Verdana"/>
                <w:sz w:val="13"/>
                <w:szCs w:val="13"/>
                <w:color w:val="auto"/>
              </w:rPr>
              <w:t>(270,031)</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increase (decrease) in federal funds purchased and securities sold under agreements to repurchase</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(40,221)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(18,829)</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Net increase (decrease) in short-term borrowings</w:t>
            </w:r>
          </w:p>
        </w:tc>
        <w:tc>
          <w:tcPr>
            <w:tcW w:w="26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265,000</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Repayment of other borrowings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(30,000)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(3,173)</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Cash dividends paid</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(13,259)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(13,268)</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Purchase of treasury stock</w:t>
            </w:r>
          </w:p>
        </w:tc>
        <w:tc>
          <w:tcPr>
            <w:tcW w:w="260" w:type="dxa"/>
            <w:vAlign w:val="bottom"/>
            <w:shd w:val="clear" w:color="auto" w:fill="E0E7ED"/>
          </w:tcPr>
          <w:p>
            <w:pPr>
              <w:spacing w:after="0"/>
              <w:rPr>
                <w:sz w:val="15"/>
                <w:szCs w:val="15"/>
                <w:color w:val="auto"/>
              </w:rPr>
            </w:pPr>
          </w:p>
        </w:tc>
        <w:tc>
          <w:tcPr>
            <w:tcW w:w="13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(534)</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Cash paid for withholding taxes on stock-based payments</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(396)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(100)</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Proceeds from stock warrants exercised</w:t>
            </w:r>
          </w:p>
        </w:tc>
        <w:tc>
          <w:tcPr>
            <w:tcW w:w="260" w:type="dxa"/>
            <w:vAlign w:val="bottom"/>
            <w:shd w:val="clear" w:color="auto" w:fill="E0E7ED"/>
          </w:tcPr>
          <w:p>
            <w:pPr>
              <w:spacing w:after="0"/>
              <w:rPr>
                <w:sz w:val="15"/>
                <w:szCs w:val="15"/>
                <w:color w:val="auto"/>
              </w:rPr>
            </w:pPr>
          </w:p>
        </w:tc>
        <w:tc>
          <w:tcPr>
            <w:tcW w:w="13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w:t>
            </w:r>
          </w:p>
        </w:tc>
      </w:tr>
      <w:tr>
        <w:trPr>
          <w:trHeight w:val="164"/>
        </w:trPr>
        <w:tc>
          <w:tcPr>
            <w:tcW w:w="818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Net cash provided by (used in) financing activities</w:t>
            </w:r>
          </w:p>
        </w:tc>
        <w:tc>
          <w:tcPr>
            <w:tcW w:w="2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(414,821)</w:t>
            </w:r>
          </w:p>
        </w:tc>
        <w:tc>
          <w:tcPr>
            <w:tcW w:w="100" w:type="dxa"/>
            <w:vAlign w:val="bottom"/>
            <w:tcBorders>
              <w:bottom w:val="single" w:sz="8" w:color="E0E7ED"/>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(40,926)</w:t>
            </w:r>
          </w:p>
        </w:tc>
      </w:tr>
      <w:tr>
        <w:trPr>
          <w:trHeight w:val="188"/>
        </w:trPr>
        <w:tc>
          <w:tcPr>
            <w:tcW w:w="81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Net increase (decrease) in cash and cash equivalents</w:t>
            </w:r>
          </w:p>
        </w:tc>
        <w:tc>
          <w:tcPr>
            <w:tcW w:w="260" w:type="dxa"/>
            <w:vAlign w:val="bottom"/>
          </w:tcPr>
          <w:p>
            <w:pPr>
              <w:jc w:val="right"/>
              <w:ind w:right="97"/>
              <w:spacing w:after="0"/>
              <w:rPr>
                <w:sz w:val="20"/>
                <w:szCs w:val="20"/>
                <w:color w:val="auto"/>
              </w:rPr>
            </w:pPr>
            <w:r>
              <w:rPr>
                <w:rFonts w:ascii="Verdana" w:cs="Verdana" w:eastAsia="Verdana" w:hAnsi="Verdana"/>
                <w:sz w:val="13"/>
                <w:szCs w:val="13"/>
                <w:color w:val="auto"/>
                <w:w w:val="95"/>
              </w:rPr>
              <w:t>$</w:t>
            </w:r>
          </w:p>
        </w:tc>
        <w:tc>
          <w:tcPr>
            <w:tcW w:w="1220" w:type="dxa"/>
            <w:vAlign w:val="bottom"/>
          </w:tcPr>
          <w:p>
            <w:pPr>
              <w:jc w:val="right"/>
              <w:spacing w:after="0"/>
              <w:rPr>
                <w:sz w:val="20"/>
                <w:szCs w:val="20"/>
                <w:color w:val="auto"/>
              </w:rPr>
            </w:pPr>
            <w:r>
              <w:rPr>
                <w:rFonts w:ascii="Verdana" w:cs="Verdana" w:eastAsia="Verdana" w:hAnsi="Verdana"/>
                <w:sz w:val="13"/>
                <w:szCs w:val="13"/>
                <w:color w:val="auto"/>
              </w:rPr>
              <w:t>(128,510)</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48,405</w:t>
            </w:r>
          </w:p>
        </w:tc>
      </w:tr>
      <w:tr>
        <w:trPr>
          <w:trHeight w:val="181"/>
        </w:trPr>
        <w:tc>
          <w:tcPr>
            <w:tcW w:w="818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Cash and cash equivalents, beginning of period</w:t>
            </w:r>
          </w:p>
        </w:tc>
        <w:tc>
          <w:tcPr>
            <w:tcW w:w="260" w:type="dxa"/>
            <w:vAlign w:val="bottom"/>
            <w:tcBorders>
              <w:bottom w:val="single" w:sz="8" w:color="auto"/>
            </w:tcBorders>
            <w:shd w:val="clear" w:color="auto" w:fill="E0E7ED"/>
          </w:tcPr>
          <w:p>
            <w:pPr>
              <w:spacing w:after="0"/>
              <w:rPr>
                <w:sz w:val="15"/>
                <w:szCs w:val="15"/>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719,581</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227,164</w:t>
            </w:r>
          </w:p>
        </w:tc>
      </w:tr>
      <w:tr>
        <w:trPr>
          <w:trHeight w:val="164"/>
        </w:trPr>
        <w:tc>
          <w:tcPr>
            <w:tcW w:w="8180" w:type="dxa"/>
            <w:vAlign w:val="bottom"/>
          </w:tcPr>
          <w:p>
            <w:pPr>
              <w:ind w:left="20"/>
              <w:spacing w:after="0" w:line="153" w:lineRule="exact"/>
              <w:rPr>
                <w:sz w:val="20"/>
                <w:szCs w:val="20"/>
                <w:color w:val="auto"/>
              </w:rPr>
            </w:pPr>
            <w:r>
              <w:rPr>
                <w:rFonts w:ascii="Verdana" w:cs="Verdana" w:eastAsia="Verdana" w:hAnsi="Verdana"/>
                <w:sz w:val="13"/>
                <w:szCs w:val="13"/>
                <w:b w:val="1"/>
                <w:bCs w:val="1"/>
                <w:color w:val="auto"/>
              </w:rPr>
              <w:t>Cash and cash equivalents, ending of period</w:t>
            </w:r>
          </w:p>
        </w:tc>
        <w:tc>
          <w:tcPr>
            <w:tcW w:w="260" w:type="dxa"/>
            <w:vAlign w:val="bottom"/>
            <w:tcBorders>
              <w:bottom w:val="single" w:sz="8" w:color="auto"/>
            </w:tcBorders>
          </w:tcPr>
          <w:p>
            <w:pPr>
              <w:jc w:val="right"/>
              <w:ind w:right="97"/>
              <w:spacing w:after="0"/>
              <w:rPr>
                <w:sz w:val="20"/>
                <w:szCs w:val="20"/>
                <w:color w:val="auto"/>
              </w:rPr>
            </w:pPr>
            <w:r>
              <w:rPr>
                <w:rFonts w:ascii="Verdana" w:cs="Verdana" w:eastAsia="Verdana" w:hAnsi="Verdana"/>
                <w:sz w:val="13"/>
                <w:szCs w:val="13"/>
                <w:color w:val="auto"/>
                <w:w w:val="95"/>
              </w:rPr>
              <w:t>$</w:t>
            </w:r>
          </w:p>
        </w:tc>
        <w:tc>
          <w:tcPr>
            <w:tcW w:w="12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591,071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275,569</w:t>
            </w:r>
          </w:p>
        </w:tc>
      </w:tr>
      <w:tr>
        <w:trPr>
          <w:trHeight w:val="20"/>
        </w:trPr>
        <w:tc>
          <w:tcPr>
            <w:tcW w:w="818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5"/>
        </w:trPr>
        <w:tc>
          <w:tcPr>
            <w:tcW w:w="81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SUPPLEMENTAL DISCLOSURES OF CASH FLOW INFORMATION</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8"/>
        </w:trPr>
        <w:tc>
          <w:tcPr>
            <w:tcW w:w="81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Cash payments for:</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Interest</w:t>
            </w:r>
          </w:p>
        </w:tc>
        <w:tc>
          <w:tcPr>
            <w:tcW w:w="260" w:type="dxa"/>
            <w:vAlign w:val="bottom"/>
            <w:shd w:val="clear" w:color="auto" w:fill="E0E7ED"/>
          </w:tcPr>
          <w:p>
            <w:pPr>
              <w:jc w:val="right"/>
              <w:ind w:right="97"/>
              <w:spacing w:after="0"/>
              <w:rPr>
                <w:sz w:val="20"/>
                <w:szCs w:val="20"/>
                <w:color w:val="auto"/>
              </w:rPr>
            </w:pPr>
            <w:r>
              <w:rPr>
                <w:rFonts w:ascii="Verdana" w:cs="Verdana" w:eastAsia="Verdana" w:hAnsi="Verdana"/>
                <w:sz w:val="13"/>
                <w:szCs w:val="13"/>
                <w:color w:val="auto"/>
                <w:w w:val="95"/>
              </w:rPr>
              <w:t>$</w:t>
            </w: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51,676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19,961</w:t>
            </w:r>
          </w:p>
        </w:tc>
      </w:tr>
      <w:tr>
        <w:trPr>
          <w:trHeight w:val="203"/>
        </w:trPr>
        <w:tc>
          <w:tcPr>
            <w:tcW w:w="8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76"/>
        </w:trPr>
        <w:tc>
          <w:tcPr>
            <w:tcW w:w="818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Non-cash investing and financing activities:</w:t>
            </w:r>
          </w:p>
        </w:tc>
        <w:tc>
          <w:tcPr>
            <w:tcW w:w="26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r>
      <w:tr>
        <w:trPr>
          <w:trHeight w:val="165"/>
        </w:trPr>
        <w:tc>
          <w:tcPr>
            <w:tcW w:w="8180" w:type="dxa"/>
            <w:vAlign w:val="bottom"/>
          </w:tcPr>
          <w:p>
            <w:pPr>
              <w:ind w:left="180"/>
              <w:spacing w:after="0"/>
              <w:rPr>
                <w:sz w:val="20"/>
                <w:szCs w:val="20"/>
                <w:color w:val="auto"/>
              </w:rPr>
            </w:pPr>
            <w:r>
              <w:rPr>
                <w:rFonts w:ascii="Verdana" w:cs="Verdana" w:eastAsia="Verdana" w:hAnsi="Verdana"/>
                <w:sz w:val="13"/>
                <w:szCs w:val="13"/>
                <w:color w:val="auto"/>
              </w:rPr>
              <w:t>OREO acquired in settlement of loans</w:t>
            </w:r>
          </w:p>
        </w:tc>
        <w:tc>
          <w:tcPr>
            <w:tcW w:w="26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64</w:t>
            </w:r>
          </w:p>
        </w:tc>
      </w:tr>
    </w:tbl>
    <w:p>
      <w:pPr>
        <w:spacing w:after="0" w:line="2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 xml:space="preserve">See accompanying </w:t>
      </w:r>
      <w:r>
        <w:rPr>
          <w:rFonts w:ascii="Verdana" w:cs="Verdana" w:eastAsia="Verdana" w:hAnsi="Verdana"/>
          <w:sz w:val="18"/>
          <w:szCs w:val="18"/>
          <w:u w:val="single" w:color="auto"/>
          <w:color w:val="0000FF"/>
        </w:rPr>
        <w:t>Notes to Consolidated Financial Statements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 w:name="page12"/>
    <w:bookmarkEnd w:id="1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 SIGNIFICANT ACCOUNTING POLICIES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Nature of Operations</w:t>
      </w:r>
    </w:p>
    <w:p>
      <w:pPr>
        <w:spacing w:after="0" w:line="21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First Busey Corporation, a Nevada corporation organized in 1980, is a $11.9 billion financial holding company headquartered in Champaign, Illinois. Busey’s common stock is traded on The Nasdaq Global Select Market under the symbol “BUSE.”</w:t>
      </w:r>
    </w:p>
    <w:p>
      <w:pPr>
        <w:spacing w:after="0" w:line="194" w:lineRule="exact"/>
        <w:rPr>
          <w:sz w:val="20"/>
          <w:szCs w:val="20"/>
          <w:color w:val="auto"/>
        </w:rPr>
      </w:pPr>
    </w:p>
    <w:p>
      <w:pPr>
        <w:spacing w:after="0"/>
        <w:rPr>
          <w:sz w:val="20"/>
          <w:szCs w:val="20"/>
          <w:color w:val="auto"/>
        </w:rPr>
      </w:pPr>
      <w:r>
        <w:rPr>
          <w:rFonts w:ascii="Verdana" w:cs="Verdana" w:eastAsia="Verdana" w:hAnsi="Verdana"/>
          <w:sz w:val="18"/>
          <w:szCs w:val="18"/>
          <w:color w:val="auto"/>
        </w:rPr>
        <w:t>First Busey operates and reports its business in three segments: Banking, Wealth Management, and FirsTech.</w:t>
      </w:r>
    </w:p>
    <w:p>
      <w:pPr>
        <w:spacing w:after="0" w:line="213" w:lineRule="exact"/>
        <w:rPr>
          <w:sz w:val="20"/>
          <w:szCs w:val="20"/>
          <w:color w:val="auto"/>
        </w:rPr>
      </w:pPr>
    </w:p>
    <w:p>
      <w:pPr>
        <w:jc w:val="both"/>
        <w:ind w:left="660" w:hanging="328"/>
        <w:spacing w:after="0" w:line="245" w:lineRule="auto"/>
        <w:tabs>
          <w:tab w:leader="none" w:pos="65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 xml:space="preserve">The </w:t>
      </w:r>
      <w:r>
        <w:rPr>
          <w:rFonts w:ascii="Verdana" w:cs="Verdana" w:eastAsia="Verdana" w:hAnsi="Verdana"/>
          <w:sz w:val="18"/>
          <w:szCs w:val="18"/>
          <w:i w:val="1"/>
          <w:iCs w:val="1"/>
          <w:color w:val="auto"/>
        </w:rPr>
        <w:t>Banking</w:t>
      </w:r>
      <w:r>
        <w:rPr>
          <w:rFonts w:ascii="Verdana" w:cs="Verdana" w:eastAsia="Verdana" w:hAnsi="Verdana"/>
          <w:sz w:val="18"/>
          <w:szCs w:val="18"/>
          <w:color w:val="auto"/>
        </w:rPr>
        <w:t xml:space="preserve"> operating segment provides a full range of banking services to individual and corporate customers through its banking center network in Illinois; the St. Louis, Missouri metropolitan area; southwest Florida; and Indianapolis, Indiana.</w:t>
      </w:r>
    </w:p>
    <w:p>
      <w:pPr>
        <w:spacing w:after="0" w:line="194"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 xml:space="preserve">The </w:t>
      </w:r>
      <w:r>
        <w:rPr>
          <w:rFonts w:ascii="Verdana" w:cs="Verdana" w:eastAsia="Verdana" w:hAnsi="Verdana"/>
          <w:sz w:val="18"/>
          <w:szCs w:val="18"/>
          <w:i w:val="1"/>
          <w:iCs w:val="1"/>
          <w:color w:val="auto"/>
        </w:rPr>
        <w:t>Wealth Management</w:t>
      </w:r>
      <w:r>
        <w:rPr>
          <w:rFonts w:ascii="Verdana" w:cs="Verdana" w:eastAsia="Verdana" w:hAnsi="Verdana"/>
          <w:sz w:val="18"/>
          <w:szCs w:val="18"/>
          <w:color w:val="auto"/>
        </w:rPr>
        <w:t xml:space="preserve"> operating segment provides a full range of asset management, investment, brokerage, fiduciary, philanthropic advisory, tax preparation, and farm management services to individuals, businesses, and foundations.</w:t>
      </w:r>
    </w:p>
    <w:p>
      <w:pPr>
        <w:spacing w:after="0" w:line="153" w:lineRule="exact"/>
        <w:rPr>
          <w:rFonts w:ascii="Verdana" w:cs="Verdana" w:eastAsia="Verdana" w:hAnsi="Verdana"/>
          <w:sz w:val="18"/>
          <w:szCs w:val="18"/>
          <w:color w:val="auto"/>
        </w:rPr>
      </w:pPr>
    </w:p>
    <w:p>
      <w:pPr>
        <w:jc w:val="both"/>
        <w:ind w:left="660" w:hanging="328"/>
        <w:spacing w:after="0" w:line="242" w:lineRule="auto"/>
        <w:tabs>
          <w:tab w:leader="none" w:pos="65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 xml:space="preserve">The </w:t>
      </w:r>
      <w:r>
        <w:rPr>
          <w:rFonts w:ascii="Verdana" w:cs="Verdana" w:eastAsia="Verdana" w:hAnsi="Verdana"/>
          <w:sz w:val="18"/>
          <w:szCs w:val="18"/>
          <w:i w:val="1"/>
          <w:iCs w:val="1"/>
          <w:color w:val="auto"/>
        </w:rPr>
        <w:t>FirsTech</w:t>
      </w:r>
      <w:r>
        <w:rPr>
          <w:rFonts w:ascii="Verdana" w:cs="Verdana" w:eastAsia="Verdana" w:hAnsi="Verdana"/>
          <w:sz w:val="18"/>
          <w:szCs w:val="18"/>
          <w:color w:val="auto"/>
        </w:rPr>
        <w:t xml:space="preserve"> operating segment provides comprehensive and innovative payment technology solutions including online, mobile, and voice-recognition bill payments; money management and credit card networks; direct debit services; lockbox remittance processing for payments made by mail; and walk-in payments. FirsTech also provides additional tools to help clients with billing, reconciliation, bill reminders, and treasury services.</w:t>
      </w:r>
    </w:p>
    <w:p>
      <w:pPr>
        <w:spacing w:after="0" w:line="157"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For additional information about First Busey's operating segments,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15. Operating Segments and Related</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Information</w:t>
      </w:r>
      <w:r>
        <w:rPr>
          <w:rFonts w:ascii="Verdana" w:cs="Verdana" w:eastAsia="Verdana" w:hAnsi="Verdana"/>
          <w:sz w:val="18"/>
          <w:szCs w:val="18"/>
          <w:i w:val="1"/>
          <w:iCs w:val="1"/>
          <w:color w:val="000000"/>
        </w:rPr>
        <w:t>.”</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Basis of Financial Statement Presentation</w:t>
      </w:r>
    </w:p>
    <w:p>
      <w:pPr>
        <w:spacing w:after="0" w:line="173" w:lineRule="exact"/>
        <w:rPr>
          <w:sz w:val="20"/>
          <w:szCs w:val="20"/>
          <w:color w:val="auto"/>
        </w:rPr>
      </w:pPr>
    </w:p>
    <w:p>
      <w:pPr>
        <w:jc w:val="both"/>
        <w:spacing w:after="0" w:line="242" w:lineRule="auto"/>
        <w:rPr>
          <w:rFonts w:ascii="Verdana" w:cs="Verdana" w:eastAsia="Verdana" w:hAnsi="Verdana"/>
          <w:sz w:val="18"/>
          <w:szCs w:val="18"/>
          <w:color w:val="0000FF"/>
        </w:rPr>
      </w:pPr>
      <w:hyperlink r:id="rId23">
        <w:r>
          <w:rPr>
            <w:rFonts w:ascii="Verdana" w:cs="Verdana" w:eastAsia="Verdana" w:hAnsi="Verdana"/>
            <w:sz w:val="18"/>
            <w:szCs w:val="18"/>
            <w:color w:val="auto"/>
          </w:rPr>
          <w:t xml:space="preserve">These unaudited consolidated financial statements and related notes should be read in conjunction with the </w:t>
        </w:r>
        <w:r>
          <w:rPr>
            <w:rFonts w:ascii="Verdana" w:cs="Verdana" w:eastAsia="Verdana" w:hAnsi="Verdana"/>
            <w:sz w:val="18"/>
            <w:szCs w:val="18"/>
            <w:u w:val="single" w:color="auto"/>
            <w:color w:val="0000FF"/>
          </w:rPr>
          <w:t>audited</w:t>
        </w:r>
      </w:hyperlink>
      <w:r>
        <w:rPr>
          <w:rFonts w:ascii="Verdana" w:cs="Verdana" w:eastAsia="Verdana" w:hAnsi="Verdana"/>
          <w:sz w:val="18"/>
          <w:szCs w:val="18"/>
          <w:color w:val="auto"/>
        </w:rPr>
        <w:t xml:space="preserve"> </w:t>
      </w:r>
      <w:hyperlink r:id="rId23">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0000FF"/>
          </w:rPr>
          <w:t xml:space="preserve"> </w:t>
        </w:r>
        <w:r>
          <w:rPr>
            <w:rFonts w:ascii="Verdana" w:cs="Verdana" w:eastAsia="Verdana" w:hAnsi="Verdana"/>
            <w:sz w:val="18"/>
            <w:szCs w:val="18"/>
            <w:color w:val="000000"/>
          </w:rPr>
          <w:t>included in</w:t>
        </w:r>
        <w:r>
          <w:rPr>
            <w:rFonts w:ascii="Verdana" w:cs="Verdana" w:eastAsia="Verdana" w:hAnsi="Verdana"/>
            <w:sz w:val="18"/>
            <w:szCs w:val="18"/>
            <w:color w:val="0000FF"/>
          </w:rPr>
          <w:t xml:space="preserve"> </w:t>
        </w:r>
      </w:hyperlink>
      <w:hyperlink r:id="rId24">
        <w:r>
          <w:rPr>
            <w:rFonts w:ascii="Verdana" w:cs="Verdana" w:eastAsia="Verdana" w:hAnsi="Verdana"/>
            <w:sz w:val="18"/>
            <w:szCs w:val="18"/>
            <w:u w:val="single" w:color="auto"/>
            <w:color w:val="0000FF"/>
          </w:rPr>
          <w:t>Busey's 2023 Annual Report</w:t>
        </w:r>
      </w:hyperlink>
      <w:hyperlink r:id="rId23">
        <w:r>
          <w:rPr>
            <w:rFonts w:ascii="Verdana" w:cs="Verdana" w:eastAsia="Verdana" w:hAnsi="Verdana"/>
            <w:sz w:val="18"/>
            <w:szCs w:val="18"/>
            <w:color w:val="000000"/>
          </w:rPr>
          <w:t>. These interim unaudited consolidated financial</w:t>
        </w:r>
      </w:hyperlink>
      <w:r>
        <w:rPr>
          <w:rFonts w:ascii="Verdana" w:cs="Verdana" w:eastAsia="Verdana" w:hAnsi="Verdana"/>
          <w:sz w:val="18"/>
          <w:szCs w:val="18"/>
          <w:color w:val="0000FF"/>
        </w:rPr>
        <w:t xml:space="preserve"> </w:t>
      </w:r>
      <w:r>
        <w:rPr>
          <w:rFonts w:ascii="Verdana" w:cs="Verdana" w:eastAsia="Verdana" w:hAnsi="Verdana"/>
          <w:sz w:val="18"/>
          <w:szCs w:val="18"/>
          <w:color w:val="000000"/>
        </w:rPr>
        <w:t>statements serve to update our 2023 Annual Report and may not include all information and notes necessary to constitute a complete set of financial statements.</w:t>
      </w:r>
    </w:p>
    <w:p>
      <w:pPr>
        <w:spacing w:after="0" w:line="157" w:lineRule="exact"/>
        <w:rPr>
          <w:rFonts w:ascii="Verdana" w:cs="Verdana" w:eastAsia="Verdana" w:hAnsi="Verdana"/>
          <w:sz w:val="18"/>
          <w:szCs w:val="18"/>
          <w:color w:val="0000FF"/>
        </w:rPr>
      </w:pPr>
    </w:p>
    <w:p>
      <w:pPr>
        <w:jc w:val="both"/>
        <w:spacing w:after="0" w:line="242" w:lineRule="auto"/>
        <w:rPr>
          <w:sz w:val="20"/>
          <w:szCs w:val="20"/>
          <w:color w:val="auto"/>
        </w:rPr>
      </w:pPr>
      <w:r>
        <w:rPr>
          <w:rFonts w:ascii="Verdana" w:cs="Verdana" w:eastAsia="Verdana" w:hAnsi="Verdana"/>
          <w:sz w:val="18"/>
          <w:szCs w:val="18"/>
          <w:color w:val="auto"/>
        </w:rPr>
        <w:t>We prepared these unaudited consolidated financial statements in conformity with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71" w:lineRule="exact"/>
        <w:rPr>
          <w:rFonts w:ascii="Verdana" w:cs="Verdana" w:eastAsia="Verdana" w:hAnsi="Verdana"/>
          <w:sz w:val="18"/>
          <w:szCs w:val="18"/>
          <w:color w:val="0000FF"/>
        </w:rPr>
      </w:pPr>
    </w:p>
    <w:p>
      <w:pPr>
        <w:jc w:val="both"/>
        <w:spacing w:after="0" w:line="245" w:lineRule="auto"/>
        <w:rPr>
          <w:sz w:val="20"/>
          <w:szCs w:val="20"/>
          <w:color w:val="auto"/>
        </w:rPr>
      </w:pPr>
      <w:r>
        <w:rPr>
          <w:rFonts w:ascii="Verdana" w:cs="Verdana" w:eastAsia="Verdana" w:hAnsi="Verdana"/>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54" w:lineRule="exact"/>
        <w:rPr>
          <w:rFonts w:ascii="Verdana" w:cs="Verdana" w:eastAsia="Verdana" w:hAnsi="Verdana"/>
          <w:sz w:val="18"/>
          <w:szCs w:val="18"/>
          <w:color w:val="0000FF"/>
        </w:rPr>
      </w:pPr>
    </w:p>
    <w:p>
      <w:pPr>
        <w:spacing w:after="0"/>
        <w:rPr>
          <w:sz w:val="20"/>
          <w:szCs w:val="20"/>
          <w:color w:val="auto"/>
        </w:rPr>
      </w:pPr>
      <w:r>
        <w:rPr>
          <w:rFonts w:ascii="Verdana" w:cs="Verdana" w:eastAsia="Verdana" w:hAnsi="Verdana"/>
          <w:sz w:val="18"/>
          <w:szCs w:val="18"/>
          <w:b w:val="1"/>
          <w:bCs w:val="1"/>
          <w:i w:val="1"/>
          <w:iCs w:val="1"/>
          <w:color w:val="auto"/>
        </w:rPr>
        <w:t>Use of Estimates</w:t>
      </w:r>
    </w:p>
    <w:p>
      <w:pPr>
        <w:spacing w:after="0" w:line="173" w:lineRule="exact"/>
        <w:rPr>
          <w:rFonts w:ascii="Verdana" w:cs="Verdana" w:eastAsia="Verdana" w:hAnsi="Verdana"/>
          <w:sz w:val="18"/>
          <w:szCs w:val="18"/>
          <w:color w:val="0000FF"/>
        </w:rPr>
      </w:pPr>
    </w:p>
    <w:p>
      <w:pPr>
        <w:jc w:val="both"/>
        <w:spacing w:after="0" w:line="241" w:lineRule="auto"/>
        <w:rPr>
          <w:sz w:val="20"/>
          <w:szCs w:val="20"/>
          <w:color w:val="auto"/>
        </w:rPr>
      </w:pPr>
      <w:r>
        <w:rPr>
          <w:rFonts w:ascii="Verdana" w:cs="Verdana" w:eastAsia="Verdana" w:hAnsi="Verdana"/>
          <w:sz w:val="18"/>
          <w:szCs w:val="18"/>
          <w:color w:val="auto"/>
        </w:rPr>
        <w:t>In preparing the accompanying unaudited consolidated financial statements in conformity with GAAP, Busey’s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debt securities available for sale, fair value of assets acquired and liabilities assumed in business combinations, goodwill, income taxes, and the determination of the ACL.</w:t>
      </w:r>
    </w:p>
    <w:p>
      <w:pPr>
        <w:spacing w:after="0" w:line="200" w:lineRule="exact"/>
        <w:rPr>
          <w:rFonts w:ascii="Verdana" w:cs="Verdana" w:eastAsia="Verdana" w:hAnsi="Verdana"/>
          <w:sz w:val="18"/>
          <w:szCs w:val="18"/>
          <w:color w:val="0000FF"/>
        </w:rPr>
      </w:pPr>
    </w:p>
    <w:p>
      <w:pPr>
        <w:spacing w:after="0" w:line="376" w:lineRule="exact"/>
        <w:rPr>
          <w:rFonts w:ascii="Verdana" w:cs="Verdana" w:eastAsia="Verdana" w:hAnsi="Verdana"/>
          <w:sz w:val="18"/>
          <w:szCs w:val="18"/>
          <w:color w:val="0000FF"/>
        </w:rPr>
      </w:pPr>
    </w:p>
    <w:p>
      <w:pPr>
        <w:jc w:val="center"/>
        <w:spacing w:after="0"/>
        <w:rPr>
          <w:sz w:val="20"/>
          <w:szCs w:val="20"/>
          <w:color w:val="auto"/>
        </w:rPr>
      </w:pPr>
      <w:r>
        <w:rPr>
          <w:rFonts w:ascii="Verdana" w:cs="Verdana" w:eastAsia="Verdana" w:hAnsi="Verdana"/>
          <w:sz w:val="18"/>
          <w:szCs w:val="18"/>
          <w:color w:val="auto"/>
        </w:rPr>
        <w:t>12</w:t>
      </w:r>
    </w:p>
    <w:p>
      <w:pPr>
        <w:spacing w:after="0" w:line="20" w:lineRule="exact"/>
        <w:rPr>
          <w:rFonts w:ascii="Verdana" w:cs="Verdana" w:eastAsia="Verdana" w:hAnsi="Verdana"/>
          <w:sz w:val="18"/>
          <w:szCs w:val="18"/>
          <w:color w:val="0000FF"/>
        </w:rPr>
      </w:pPr>
      <w:r>
        <w:rPr>
          <w:rFonts w:ascii="Verdana" w:cs="Verdana" w:eastAsia="Verdana" w:hAnsi="Verdana"/>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2" w:name="page13"/>
    <w:bookmarkEnd w:id="1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Impact of Recently Adopted Accounting Standards</w:t>
      </w:r>
    </w:p>
    <w:p>
      <w:pPr>
        <w:spacing w:after="0" w:line="133" w:lineRule="exact"/>
        <w:rPr>
          <w:sz w:val="20"/>
          <w:szCs w:val="20"/>
          <w:color w:val="auto"/>
        </w:rPr>
      </w:pPr>
    </w:p>
    <w:p>
      <w:pPr>
        <w:jc w:val="both"/>
        <w:spacing w:after="0" w:line="222" w:lineRule="exact"/>
        <w:rPr>
          <w:sz w:val="20"/>
          <w:szCs w:val="20"/>
          <w:color w:val="auto"/>
        </w:rPr>
      </w:pPr>
      <w:r>
        <w:rPr>
          <w:rFonts w:ascii="Verdana" w:cs="Verdana" w:eastAsia="Verdana" w:hAnsi="Verdana"/>
          <w:sz w:val="18"/>
          <w:szCs w:val="18"/>
          <w:color w:val="auto"/>
        </w:rPr>
        <w:t>In March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 xml:space="preserve">02 </w:t>
      </w:r>
      <w:r>
        <w:rPr>
          <w:rFonts w:ascii="Verdana" w:cs="Verdana" w:eastAsia="Verdana" w:hAnsi="Verdana"/>
          <w:sz w:val="18"/>
          <w:szCs w:val="18"/>
          <w:i w:val="1"/>
          <w:iCs w:val="1"/>
          <w:color w:val="auto"/>
        </w:rPr>
        <w:t>“Investments—Equity Method and Joint Ventures (Topic 323),”</w:t>
      </w:r>
      <w:r>
        <w:rPr>
          <w:rFonts w:ascii="Verdana" w:cs="Verdana" w:eastAsia="Verdana" w:hAnsi="Verdana"/>
          <w:sz w:val="18"/>
          <w:szCs w:val="18"/>
          <w:color w:val="auto"/>
        </w:rPr>
        <w:t xml:space="preserve"> permitting an election to use the proportional amortization method to account for equity investments made primarily for the purpose of receiving income tax credits and other income tax benefits, regardless of the tax credit program from which the income tax credits are received, provided that certain conditions are met. The proportional amortization method results in the cost of the investment being amortized in proportion to the income tax credits and other income tax benefits received, with the amortization of the investment and the income tax credits being presented net in the income statement as a component of income tax expense. Busey adopted this standard on a modified retrospective basis on January 1, 2024. Upon adoption, Busey recorded an after-tax decrease to retained earnings of $1.4 million for the cumulative effect of adopting ASU 2023</w:t>
      </w:r>
      <w:r>
        <w:rPr>
          <w:rFonts w:ascii="MS PGothic" w:cs="MS PGothic" w:eastAsia="MS PGothic" w:hAnsi="MS PGothic"/>
          <w:sz w:val="18"/>
          <w:szCs w:val="18"/>
          <w:color w:val="auto"/>
        </w:rPr>
        <w:t>‑</w:t>
      </w:r>
      <w:r>
        <w:rPr>
          <w:rFonts w:ascii="Verdana" w:cs="Verdana" w:eastAsia="Verdana" w:hAnsi="Verdana"/>
          <w:sz w:val="18"/>
          <w:szCs w:val="18"/>
          <w:color w:val="auto"/>
        </w:rPr>
        <w:t>02. This transition adjustment included a $2.4 million decrease in other assets, a $0.5 million decrease in other liabilities, and a $0.5 million increase in deferred tax assets.</w:t>
      </w:r>
    </w:p>
    <w:p>
      <w:pPr>
        <w:spacing w:after="0" w:line="134" w:lineRule="exact"/>
        <w:rPr>
          <w:sz w:val="20"/>
          <w:szCs w:val="20"/>
          <w:color w:val="auto"/>
        </w:rPr>
      </w:pPr>
    </w:p>
    <w:p>
      <w:pPr>
        <w:jc w:val="both"/>
        <w:spacing w:after="0" w:line="227" w:lineRule="exact"/>
        <w:rPr>
          <w:sz w:val="20"/>
          <w:szCs w:val="20"/>
          <w:color w:val="auto"/>
        </w:rPr>
      </w:pPr>
      <w:r>
        <w:rPr>
          <w:rFonts w:ascii="Verdana" w:cs="Verdana" w:eastAsia="Verdana" w:hAnsi="Verdana"/>
          <w:sz w:val="18"/>
          <w:szCs w:val="18"/>
          <w:color w:val="auto"/>
        </w:rPr>
        <w:t>In March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01 “Leases (Topic 842): Common Control Arrangements,” which requires amortization over the useful life of leasehold improvements (not the lease term) when the lease is between entities under common control, and any value of such leasehold improvements remaining at the end of the lease term is to be accounted for as a transfer between entities under common control. Busey adopted this standard on a prospective basis on January 1, 2024. Adoption of this standard did not have a material impact on Busey’s financial position or results of operations.</w:t>
      </w:r>
    </w:p>
    <w:p>
      <w:pPr>
        <w:spacing w:after="0" w:line="161"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 xml:space="preserve">In June 2022, the FASB issued ASU 2022-03 </w:t>
      </w:r>
      <w:r>
        <w:rPr>
          <w:rFonts w:ascii="Verdana" w:cs="Verdana" w:eastAsia="Verdana" w:hAnsi="Verdana"/>
          <w:sz w:val="18"/>
          <w:szCs w:val="18"/>
          <w:i w:val="1"/>
          <w:iCs w:val="1"/>
          <w:color w:val="auto"/>
        </w:rPr>
        <w:t>“Fair Value Measurements (Topic 820): Fair Value Measurement of Equity</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Securities Subject to Contractual Sale Restrictions,” </w:t>
      </w:r>
      <w:r>
        <w:rPr>
          <w:rFonts w:ascii="Verdana" w:cs="Verdana" w:eastAsia="Verdana" w:hAnsi="Verdana"/>
          <w:sz w:val="18"/>
          <w:szCs w:val="18"/>
          <w:color w:val="auto"/>
        </w:rPr>
        <w:t>which clarifies that contractual restrictions on the sale of equity</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securities are not considered in measuring the fair value of those equity securities, and further that contractual sale restrictions cannot be recognized and measured as a separate unit of account. Busey adopted this standard on a prospective basis on January 1, 2024. Adoption of this standard did not have a material impact on Busey’s financial position or results of operations.</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Recently Issued Accounting Standards Not Yet Adopted</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March 2024, the FASB issued ASU 2024-01 “Compensation-Stock Compensation (Topic 718): Scope Application of Profits Interest and Similar Awards” to clarify that certain “profits interests” are within the scope of Topic 718 by amending the language and providing illustrative examples on how the scope guidance in paragraph 718-10-15-3 should be applied. This update is intended to improve clarity of the accounting standards codification, not to change the guidance. This update may be applied on a retrospective or prospective basis and will be effective for Busey for annual and interim periods beginning January 1, 2025. Early adoption is permitted. Busey is currently evaluating the potential effects of adoption of this ASU on its financial position and results of operations.</w:t>
      </w:r>
    </w:p>
    <w:p>
      <w:pPr>
        <w:spacing w:after="0" w:line="122" w:lineRule="exact"/>
        <w:rPr>
          <w:sz w:val="20"/>
          <w:szCs w:val="20"/>
          <w:color w:val="auto"/>
        </w:rPr>
      </w:pPr>
    </w:p>
    <w:p>
      <w:pPr>
        <w:jc w:val="both"/>
        <w:spacing w:after="0" w:line="226" w:lineRule="exact"/>
        <w:rPr>
          <w:sz w:val="20"/>
          <w:szCs w:val="20"/>
          <w:color w:val="auto"/>
        </w:rPr>
      </w:pPr>
      <w:r>
        <w:rPr>
          <w:rFonts w:ascii="Verdana" w:cs="Verdana" w:eastAsia="Verdana" w:hAnsi="Verdana"/>
          <w:sz w:val="18"/>
          <w:szCs w:val="18"/>
          <w:color w:val="auto"/>
        </w:rPr>
        <w:t>In December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09 “Income Taxes (Topic 740): Improvements to Income Tax Disclosures,” which requires more detailed disclosures of income taxes paid net of refunds received, income from continuing operations before income tax expense or benefit, and income tax expense from continuing operations. This standard is to be applied on a prospective basis, with retrospective application permitted, and will be effective for Busey for annual reporting periods beginning with the fiscal year ending December 31, 2025. Busey does not expect adoption of this standard to have a material impact on its financial position or results of operations.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3" w:name="page14"/>
    <w:bookmarkEnd w:id="1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27" w:lineRule="exact"/>
        <w:rPr>
          <w:sz w:val="20"/>
          <w:szCs w:val="20"/>
          <w:color w:val="auto"/>
        </w:rPr>
      </w:pPr>
      <w:r>
        <w:rPr>
          <w:rFonts w:ascii="Verdana" w:cs="Verdana" w:eastAsia="Verdana" w:hAnsi="Verdana"/>
          <w:sz w:val="18"/>
          <w:szCs w:val="18"/>
          <w:color w:val="auto"/>
        </w:rPr>
        <w:t>In November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07 “Segment Reporting Topic 820): Improvements to Reportable Segment Disclosures” requiring enhanced disclosures related to significant segment expenses. This standard is to be applied on a retrospective basis and is effective for Busey for annual reporting periods beginning with the fiscal year ending December 31, 2024, and for interim reporting periods within fiscal years starting January 1, 2025. Busey does not expect adoption of this standard to have a material impact on the Company’s financial position or results of operations.</w:t>
      </w:r>
    </w:p>
    <w:p>
      <w:pPr>
        <w:spacing w:after="0" w:line="121" w:lineRule="exact"/>
        <w:rPr>
          <w:sz w:val="20"/>
          <w:szCs w:val="20"/>
          <w:color w:val="auto"/>
        </w:rPr>
      </w:pPr>
    </w:p>
    <w:p>
      <w:pPr>
        <w:jc w:val="both"/>
        <w:spacing w:after="0" w:line="225" w:lineRule="exact"/>
        <w:rPr>
          <w:sz w:val="20"/>
          <w:szCs w:val="20"/>
          <w:color w:val="auto"/>
        </w:rPr>
      </w:pPr>
      <w:r>
        <w:rPr>
          <w:rFonts w:ascii="Verdana" w:cs="Verdana" w:eastAsia="Verdana" w:hAnsi="Verdana"/>
          <w:sz w:val="18"/>
          <w:szCs w:val="18"/>
          <w:color w:val="auto"/>
        </w:rPr>
        <w:t>In October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06 “Disclosure Improvements: Codification Amendments in Response to the SEC’s Disclosure Update and Simplification Initiative” which aligns certain GAAP disclosure requirements with the SEC’s disclosure requirements, in order to better facilitate comparisons between entities that are subject to the SEC’s existing disclosures with entities that were not previously subject to the SEC’s requirements. Amendments in this update should be applied prospectively, and the effective date for Busey for each amendment in this ASU will be the date on which the SEC removes the related disclosure from Regulation S</w:t>
      </w:r>
      <w:r>
        <w:rPr>
          <w:rFonts w:ascii="MS PGothic" w:cs="MS PGothic" w:eastAsia="MS PGothic" w:hAnsi="MS PGothic"/>
          <w:sz w:val="18"/>
          <w:szCs w:val="18"/>
          <w:color w:val="auto"/>
        </w:rPr>
        <w:t>‑</w:t>
      </w:r>
      <w:r>
        <w:rPr>
          <w:rFonts w:ascii="Verdana" w:cs="Verdana" w:eastAsia="Verdana" w:hAnsi="Verdana"/>
          <w:sz w:val="18"/>
          <w:szCs w:val="18"/>
          <w:color w:val="auto"/>
        </w:rPr>
        <w:t>X or Regulation S</w:t>
      </w:r>
      <w:r>
        <w:rPr>
          <w:rFonts w:ascii="MS PGothic" w:cs="MS PGothic" w:eastAsia="MS PGothic" w:hAnsi="MS PGothic"/>
          <w:sz w:val="18"/>
          <w:szCs w:val="18"/>
          <w:color w:val="auto"/>
        </w:rPr>
        <w:t>‑</w:t>
      </w:r>
      <w:r>
        <w:rPr>
          <w:rFonts w:ascii="Verdana" w:cs="Verdana" w:eastAsia="Verdana" w:hAnsi="Verdana"/>
          <w:sz w:val="18"/>
          <w:szCs w:val="18"/>
          <w:color w:val="auto"/>
        </w:rPr>
        <w:t>K. Early adoption is prohibited. Busey does not expect adoption of this standard to have a material impact on its financial position or results of operations.</w:t>
      </w:r>
    </w:p>
    <w:p>
      <w:pPr>
        <w:spacing w:after="0" w:line="172"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Subsequent Events</w:t>
      </w:r>
    </w:p>
    <w:p>
      <w:pPr>
        <w:spacing w:after="0" w:line="173" w:lineRule="exact"/>
        <w:rPr>
          <w:sz w:val="20"/>
          <w:szCs w:val="20"/>
          <w:color w:val="auto"/>
        </w:rPr>
      </w:pPr>
    </w:p>
    <w:p>
      <w:pPr>
        <w:jc w:val="both"/>
        <w:spacing w:after="0" w:line="218" w:lineRule="exact"/>
        <w:rPr>
          <w:rFonts w:ascii="Verdana" w:cs="Verdana" w:eastAsia="Verdana" w:hAnsi="Verdana"/>
          <w:sz w:val="18"/>
          <w:szCs w:val="18"/>
          <w:color w:val="auto"/>
        </w:rPr>
      </w:pPr>
      <w:r>
        <w:rPr>
          <w:rFonts w:ascii="Verdana" w:cs="Verdana" w:eastAsia="Verdana" w:hAnsi="Verdana"/>
          <w:sz w:val="18"/>
          <w:szCs w:val="18"/>
          <w:color w:val="auto"/>
        </w:rPr>
        <w:t xml:space="preserve">Busey has evaluated subsequent events for potential recognition and/or disclosure through the date the unaudited consolidated financial statements included in this Quarterly Report were issued. Busey issued a </w:t>
      </w:r>
      <w:hyperlink r:id="rId27">
        <w:r>
          <w:rPr>
            <w:rFonts w:ascii="Verdana" w:cs="Verdana" w:eastAsia="Verdana" w:hAnsi="Verdana"/>
            <w:sz w:val="18"/>
            <w:szCs w:val="18"/>
            <w:u w:val="single" w:color="auto"/>
            <w:color w:val="0000FF"/>
          </w:rPr>
          <w:t>Form 8</w:t>
        </w:r>
        <w:r>
          <w:rPr>
            <w:rFonts w:ascii="MS PGothic" w:cs="MS PGothic" w:eastAsia="MS PGothic" w:hAnsi="MS PGothic"/>
            <w:sz w:val="18"/>
            <w:szCs w:val="18"/>
            <w:u w:val="single" w:color="auto"/>
            <w:color w:val="0000FF"/>
          </w:rPr>
          <w:t>‑</w:t>
        </w:r>
        <w:r>
          <w:rPr>
            <w:rFonts w:ascii="Verdana" w:cs="Verdana" w:eastAsia="Verdana" w:hAnsi="Verdana"/>
            <w:sz w:val="18"/>
            <w:szCs w:val="18"/>
            <w:u w:val="single" w:color="auto"/>
            <w:color w:val="0000FF"/>
          </w:rPr>
          <w:t xml:space="preserve">K on April </w:t>
        </w:r>
      </w:hyperlink>
      <w:r>
        <w:rPr>
          <w:rFonts w:ascii="Verdana" w:cs="Verdana" w:eastAsia="Verdana" w:hAnsi="Verdana"/>
          <w:sz w:val="18"/>
          <w:szCs w:val="18"/>
          <w:color w:val="auto"/>
        </w:rPr>
        <w:t xml:space="preserve">1, </w:t>
      </w:r>
      <w:hyperlink r:id="rId27">
        <w:r>
          <w:rPr>
            <w:rFonts w:ascii="Verdana" w:cs="Verdana" w:eastAsia="Verdana" w:hAnsi="Verdana"/>
            <w:sz w:val="18"/>
            <w:szCs w:val="18"/>
            <w:u w:val="single" w:color="auto"/>
            <w:color w:val="0000FF"/>
          </w:rPr>
          <w:t>2024</w:t>
        </w:r>
      </w:hyperlink>
      <w:r>
        <w:rPr>
          <w:rFonts w:ascii="Verdana" w:cs="Verdana" w:eastAsia="Verdana" w:hAnsi="Verdana"/>
          <w:sz w:val="18"/>
          <w:szCs w:val="18"/>
          <w:color w:val="auto"/>
        </w:rPr>
        <w:t xml:space="preserve">, announcing completion of its acquisition of M&amp;M on that date. Merger consideration paid to M&amp;M common stockholders was comprised of an aggregate of 1,429,304 shares of Busey common stock and an aggregate of $12.2 million in cash. For additional information about Busey’s acquisition of M&amp;M,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16 Acquisition</w:t>
      </w:r>
      <w:r>
        <w:rPr>
          <w:rFonts w:ascii="Verdana" w:cs="Verdana" w:eastAsia="Verdana" w:hAnsi="Verdana"/>
          <w:sz w:val="18"/>
          <w:szCs w:val="18"/>
          <w:i w:val="1"/>
          <w:iCs w:val="1"/>
          <w:color w:val="auto"/>
        </w:rPr>
        <w:t>.”</w:t>
      </w:r>
      <w:r>
        <w:rPr>
          <w:rFonts w:ascii="Verdana" w:cs="Verdana" w:eastAsia="Verdana" w:hAnsi="Verdana"/>
          <w:sz w:val="18"/>
          <w:szCs w:val="18"/>
          <w:color w:val="auto"/>
        </w:rPr>
        <w:t xml:space="preserve"> There were no other significant events subsequent to the quarter ended March 31, 2024, through the filing date of these unaudited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4" w:name="page15"/>
    <w:bookmarkEnd w:id="1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2. DEBT SECURITIES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Busey's portfolio of debt securities includes both available for sale and held to maturity securities. The tables below provide the amortized cost, unrealized gains and losses, and fair values of debt securities summarized by major category </w:t>
      </w:r>
      <w:r>
        <w:rPr>
          <w:rFonts w:ascii="Verdana" w:cs="Verdana" w:eastAsia="Verdana" w:hAnsi="Verdana"/>
          <w:sz w:val="18"/>
          <w:szCs w:val="18"/>
          <w:i w:val="1"/>
          <w:iCs w:val="1"/>
          <w:color w:val="auto"/>
        </w:rPr>
        <w:t>(dollars</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in thousands)</w:t>
      </w:r>
      <w:r>
        <w:rPr>
          <w:rFonts w:ascii="Verdana" w:cs="Verdana" w:eastAsia="Verdana" w:hAnsi="Verdana"/>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jc w:val="center"/>
              <w:ind w:right="320"/>
              <w:spacing w:after="0"/>
              <w:rPr>
                <w:sz w:val="20"/>
                <w:szCs w:val="20"/>
                <w:color w:val="auto"/>
              </w:rPr>
            </w:pPr>
            <w:r>
              <w:rPr>
                <w:rFonts w:ascii="Verdana" w:cs="Verdana" w:eastAsia="Verdana" w:hAnsi="Verdana"/>
                <w:sz w:val="13"/>
                <w:szCs w:val="13"/>
                <w:b w:val="1"/>
                <w:bCs w:val="1"/>
                <w:color w:val="auto"/>
                <w:w w:val="95"/>
              </w:rPr>
              <w:t>As of March 31, 2024</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vMerge w:val="restart"/>
          </w:tcPr>
          <w:p>
            <w:pPr>
              <w:jc w:val="center"/>
              <w:ind w:right="360"/>
              <w:spacing w:after="0"/>
              <w:rPr>
                <w:sz w:val="20"/>
                <w:szCs w:val="20"/>
                <w:color w:val="auto"/>
              </w:rPr>
            </w:pPr>
            <w:r>
              <w:rPr>
                <w:rFonts w:ascii="Verdana" w:cs="Verdana" w:eastAsia="Verdana" w:hAnsi="Verdana"/>
                <w:sz w:val="13"/>
                <w:szCs w:val="13"/>
                <w:b w:val="1"/>
                <w:bCs w:val="1"/>
                <w:color w:val="auto"/>
                <w:w w:val="98"/>
              </w:rPr>
              <w:t>Amortized</w:t>
            </w: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right="154"/>
              <w:spacing w:after="0"/>
              <w:rPr>
                <w:sz w:val="20"/>
                <w:szCs w:val="20"/>
                <w:color w:val="auto"/>
              </w:rPr>
            </w:pPr>
            <w:r>
              <w:rPr>
                <w:rFonts w:ascii="Verdana" w:cs="Verdana" w:eastAsia="Verdana" w:hAnsi="Verdana"/>
                <w:sz w:val="13"/>
                <w:szCs w:val="13"/>
                <w:b w:val="1"/>
                <w:bCs w:val="1"/>
                <w:color w:val="auto"/>
                <w:w w:val="97"/>
              </w:rPr>
              <w:t>Unrealized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vMerge w:val="restart"/>
          </w:tcPr>
          <w:p>
            <w:pPr>
              <w:jc w:val="center"/>
              <w:ind w:right="237"/>
              <w:spacing w:after="0"/>
              <w:rPr>
                <w:sz w:val="20"/>
                <w:szCs w:val="20"/>
                <w:color w:val="auto"/>
              </w:rPr>
            </w:pPr>
            <w:r>
              <w:rPr>
                <w:rFonts w:ascii="Verdana" w:cs="Verdana" w:eastAsia="Verdana" w:hAnsi="Verdana"/>
                <w:sz w:val="13"/>
                <w:szCs w:val="13"/>
                <w:b w:val="1"/>
                <w:bCs w:val="1"/>
                <w:color w:val="auto"/>
                <w:w w:val="99"/>
              </w:rPr>
              <w:t>Fair</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80"/>
              <w:spacing w:after="0"/>
              <w:rPr>
                <w:sz w:val="20"/>
                <w:szCs w:val="20"/>
                <w:color w:val="auto"/>
              </w:rPr>
            </w:pPr>
            <w:r>
              <w:rPr>
                <w:rFonts w:ascii="Verdana" w:cs="Verdana" w:eastAsia="Verdana" w:hAnsi="Verdana"/>
                <w:sz w:val="13"/>
                <w:szCs w:val="13"/>
                <w:b w:val="1"/>
                <w:bCs w:val="1"/>
                <w:color w:val="auto"/>
              </w:rPr>
              <w:t>Gross Gains</w:t>
            </w:r>
          </w:p>
        </w:tc>
        <w:tc>
          <w:tcPr>
            <w:tcW w:w="220" w:type="dxa"/>
            <w:vAlign w:val="bottom"/>
          </w:tcPr>
          <w:p>
            <w:pPr>
              <w:spacing w:after="0"/>
              <w:rPr>
                <w:sz w:val="2"/>
                <w:szCs w:val="2"/>
                <w:color w:val="auto"/>
              </w:rPr>
            </w:pPr>
          </w:p>
        </w:tc>
        <w:tc>
          <w:tcPr>
            <w:tcW w:w="1360" w:type="dxa"/>
            <w:vAlign w:val="bottom"/>
            <w:gridSpan w:val="2"/>
            <w:vMerge w:val="restart"/>
          </w:tcPr>
          <w:p>
            <w:pPr>
              <w:ind w:left="60"/>
              <w:spacing w:after="0"/>
              <w:rPr>
                <w:sz w:val="20"/>
                <w:szCs w:val="20"/>
                <w:color w:val="auto"/>
              </w:rPr>
            </w:pPr>
            <w:r>
              <w:rPr>
                <w:rFonts w:ascii="Verdana" w:cs="Verdana" w:eastAsia="Verdana" w:hAnsi="Verdana"/>
                <w:sz w:val="13"/>
                <w:szCs w:val="13"/>
                <w:b w:val="1"/>
                <w:bCs w:val="1"/>
                <w:color w:val="auto"/>
              </w:rPr>
              <w:t>Gross Losses</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60"/>
              <w:spacing w:after="0"/>
              <w:rPr>
                <w:sz w:val="20"/>
                <w:szCs w:val="20"/>
                <w:color w:val="auto"/>
              </w:rPr>
            </w:pPr>
            <w:r>
              <w:rPr>
                <w:rFonts w:ascii="Verdana" w:cs="Verdana" w:eastAsia="Verdana" w:hAnsi="Verdana"/>
                <w:sz w:val="13"/>
                <w:szCs w:val="13"/>
                <w:b w:val="1"/>
                <w:bCs w:val="1"/>
                <w:color w:val="auto"/>
                <w:w w:val="93"/>
              </w:rPr>
              <w:t>Cost</w:t>
            </w: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237"/>
              <w:spacing w:after="0"/>
              <w:rPr>
                <w:sz w:val="20"/>
                <w:szCs w:val="20"/>
                <w:color w:val="auto"/>
              </w:rPr>
            </w:pPr>
            <w:r>
              <w:rPr>
                <w:rFonts w:ascii="Verdana" w:cs="Verdana" w:eastAsia="Verdana" w:hAnsi="Verdana"/>
                <w:sz w:val="13"/>
                <w:szCs w:val="13"/>
                <w:b w:val="1"/>
                <w:bCs w:val="1"/>
                <w:color w:val="auto"/>
                <w:w w:val="97"/>
              </w:rPr>
              <w:t>Value</w:t>
            </w:r>
          </w:p>
        </w:tc>
        <w:tc>
          <w:tcPr>
            <w:tcW w:w="0" w:type="dxa"/>
            <w:vAlign w:val="bottom"/>
          </w:tcPr>
          <w:p>
            <w:pPr>
              <w:spacing w:after="0"/>
              <w:rPr>
                <w:sz w:val="1"/>
                <w:szCs w:val="1"/>
                <w:color w:val="auto"/>
              </w:rPr>
            </w:pPr>
          </w:p>
        </w:tc>
      </w:tr>
      <w:tr>
        <w:trPr>
          <w:trHeight w:val="255"/>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0" w:type="dxa"/>
            <w:vAlign w:val="bottom"/>
            <w:tcBorders>
              <w:top w:val="single" w:sz="8" w:color="auto"/>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749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34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(7)</w:t>
            </w:r>
          </w:p>
        </w:tc>
        <w:tc>
          <w:tcPr>
            <w:tcW w:w="80" w:type="dxa"/>
            <w:vAlign w:val="bottom"/>
          </w:tcPr>
          <w:p>
            <w:pPr>
              <w:spacing w:after="0"/>
              <w:rPr>
                <w:sz w:val="22"/>
                <w:szCs w:val="22"/>
                <w:color w:val="auto"/>
              </w:rPr>
            </w:pPr>
          </w:p>
        </w:tc>
        <w:tc>
          <w:tcPr>
            <w:tcW w:w="3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742</w:t>
            </w:r>
          </w:p>
        </w:tc>
        <w:tc>
          <w:tcPr>
            <w:tcW w:w="0" w:type="dxa"/>
            <w:vAlign w:val="bottom"/>
          </w:tcPr>
          <w:p>
            <w:pPr>
              <w:spacing w:after="0"/>
              <w:rPr>
                <w:sz w:val="1"/>
                <w:szCs w:val="1"/>
                <w:color w:val="auto"/>
              </w:rPr>
            </w:pPr>
          </w:p>
        </w:tc>
      </w:tr>
      <w:tr>
        <w:trPr>
          <w:trHeight w:val="244"/>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 and</w:t>
            </w:r>
          </w:p>
        </w:tc>
        <w:tc>
          <w:tcPr>
            <w:tcW w:w="2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agencies</w:t>
            </w:r>
          </w:p>
        </w:tc>
        <w:tc>
          <w:tcPr>
            <w:tcW w:w="2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5,777</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w:t>
            </w: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5,743</w:t>
            </w:r>
          </w:p>
        </w:tc>
        <w:tc>
          <w:tcPr>
            <w:tcW w:w="0" w:type="dxa"/>
            <w:vAlign w:val="bottom"/>
          </w:tcPr>
          <w:p>
            <w:pPr>
              <w:spacing w:after="0"/>
              <w:rPr>
                <w:sz w:val="1"/>
                <w:szCs w:val="1"/>
                <w:color w:val="auto"/>
              </w:rPr>
            </w:pPr>
          </w:p>
        </w:tc>
      </w:tr>
      <w:tr>
        <w:trPr>
          <w:trHeight w:val="270"/>
        </w:trPr>
        <w:tc>
          <w:tcPr>
            <w:tcW w:w="4960" w:type="dxa"/>
            <w:vAlign w:val="bottom"/>
          </w:tcPr>
          <w:p>
            <w:pPr>
              <w:ind w:left="180"/>
              <w:spacing w:after="0" w:line="270" w:lineRule="exact"/>
              <w:rPr>
                <w:sz w:val="20"/>
                <w:szCs w:val="20"/>
                <w:color w:val="auto"/>
              </w:rPr>
            </w:pPr>
            <w:r>
              <w:rPr>
                <w:rFonts w:ascii="Verdana" w:cs="Verdana" w:eastAsia="Verdana" w:hAnsi="Verdana"/>
                <w:sz w:val="18"/>
                <w:szCs w:val="18"/>
                <w:color w:val="auto"/>
              </w:rPr>
              <w:t>Obligations of states and political subdivisions</w:t>
            </w:r>
            <w:r>
              <w:rPr>
                <w:rFonts w:ascii="Verdana" w:cs="Verdana" w:eastAsia="Verdana" w:hAnsi="Verdana"/>
                <w:sz w:val="23"/>
                <w:szCs w:val="23"/>
                <w:color w:val="auto"/>
                <w:vertAlign w:val="superscript"/>
              </w:rPr>
              <w:t>1</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168,997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(18,091)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150,926</w:t>
            </w:r>
          </w:p>
        </w:tc>
        <w:tc>
          <w:tcPr>
            <w:tcW w:w="0" w:type="dxa"/>
            <w:vAlign w:val="bottom"/>
          </w:tcPr>
          <w:p>
            <w:pPr>
              <w:spacing w:after="0"/>
              <w:rPr>
                <w:sz w:val="1"/>
                <w:szCs w:val="1"/>
                <w:color w:val="auto"/>
              </w:rPr>
            </w:pPr>
          </w:p>
        </w:tc>
      </w:tr>
      <w:tr>
        <w:trPr>
          <w:trHeight w:val="270"/>
        </w:trPr>
        <w:tc>
          <w:tcPr>
            <w:tcW w:w="4960" w:type="dxa"/>
            <w:vAlign w:val="bottom"/>
            <w:shd w:val="clear" w:color="auto" w:fill="E0E7ED"/>
          </w:tcPr>
          <w:p>
            <w:pPr>
              <w:ind w:left="180"/>
              <w:spacing w:after="0" w:line="270" w:lineRule="exact"/>
              <w:rPr>
                <w:sz w:val="20"/>
                <w:szCs w:val="20"/>
                <w:color w:val="auto"/>
              </w:rPr>
            </w:pPr>
            <w:r>
              <w:rPr>
                <w:rFonts w:ascii="Verdana" w:cs="Verdana" w:eastAsia="Verdana" w:hAnsi="Verdana"/>
                <w:sz w:val="18"/>
                <w:szCs w:val="18"/>
                <w:color w:val="auto"/>
              </w:rPr>
              <w:t>Asset-backed securities</w:t>
            </w:r>
            <w:r>
              <w:rPr>
                <w:rFonts w:ascii="Verdana" w:cs="Verdana" w:eastAsia="Verdana" w:hAnsi="Verdana"/>
                <w:sz w:val="23"/>
                <w:szCs w:val="23"/>
                <w:color w:val="auto"/>
                <w:vertAlign w:val="superscript"/>
              </w:rPr>
              <w:t>1,2</w:t>
            </w:r>
          </w:p>
        </w:tc>
        <w:tc>
          <w:tcPr>
            <w:tcW w:w="2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462,082</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340" w:type="dxa"/>
            <w:vAlign w:val="bottom"/>
            <w:gridSpan w:val="3"/>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(384)</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461,698</w:t>
            </w: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108,006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(15,443)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92,563</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1,223,453</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(201,722)</w:t>
            </w: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1,021,733</w:t>
            </w:r>
          </w:p>
        </w:tc>
        <w:tc>
          <w:tcPr>
            <w:tcW w:w="0" w:type="dxa"/>
            <w:vAlign w:val="bottom"/>
          </w:tcPr>
          <w:p>
            <w:pPr>
              <w:spacing w:after="0"/>
              <w:rPr>
                <w:sz w:val="1"/>
                <w:szCs w:val="1"/>
                <w:color w:val="auto"/>
              </w:rPr>
            </w:pPr>
          </w:p>
        </w:tc>
      </w:tr>
      <w:tr>
        <w:trPr>
          <w:trHeight w:val="264"/>
        </w:trPr>
        <w:tc>
          <w:tcPr>
            <w:tcW w:w="4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177,212</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85</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(12,630)</w:t>
            </w:r>
          </w:p>
        </w:tc>
        <w:tc>
          <w:tcPr>
            <w:tcW w:w="80" w:type="dxa"/>
            <w:vAlign w:val="bottom"/>
            <w:tcBorders>
              <w:bottom w:val="single" w:sz="8" w:color="E0E7E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164,667</w:t>
            </w:r>
          </w:p>
        </w:tc>
        <w:tc>
          <w:tcPr>
            <w:tcW w:w="0" w:type="dxa"/>
            <w:vAlign w:val="bottom"/>
          </w:tcPr>
          <w:p>
            <w:pPr>
              <w:spacing w:after="0"/>
              <w:rPr>
                <w:sz w:val="1"/>
                <w:szCs w:val="1"/>
                <w:color w:val="auto"/>
              </w:rPr>
            </w:pPr>
          </w:p>
        </w:tc>
      </w:tr>
      <w:tr>
        <w:trPr>
          <w:trHeight w:val="295"/>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debt securities available for sale</w:t>
            </w:r>
          </w:p>
        </w:tc>
        <w:tc>
          <w:tcPr>
            <w:tcW w:w="260" w:type="dxa"/>
            <w:vAlign w:val="bottom"/>
            <w:tcBorders>
              <w:bottom w:val="single" w:sz="8" w:color="auto"/>
            </w:tcBorders>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2,146,276</w:t>
            </w:r>
          </w:p>
        </w:tc>
        <w:tc>
          <w:tcPr>
            <w:tcW w:w="20" w:type="dxa"/>
            <w:vAlign w:val="bottom"/>
            <w:tcBorders>
              <w:bottom w:val="single" w:sz="8" w:color="E0E7ED"/>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108</w:t>
            </w:r>
          </w:p>
        </w:tc>
        <w:tc>
          <w:tcPr>
            <w:tcW w:w="20" w:type="dxa"/>
            <w:vAlign w:val="bottom"/>
            <w:tcBorders>
              <w:bottom w:val="single" w:sz="8" w:color="E0E7ED"/>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(248,312)</w:t>
            </w:r>
          </w:p>
        </w:tc>
        <w:tc>
          <w:tcPr>
            <w:tcW w:w="8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1,898,072</w:t>
            </w:r>
          </w:p>
        </w:tc>
        <w:tc>
          <w:tcPr>
            <w:tcW w:w="0" w:type="dxa"/>
            <w:vAlign w:val="bottom"/>
          </w:tcPr>
          <w:p>
            <w:pPr>
              <w:spacing w:after="0"/>
              <w:rPr>
                <w:sz w:val="1"/>
                <w:szCs w:val="1"/>
                <w:color w:val="auto"/>
              </w:rPr>
            </w:pP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00" w:type="dxa"/>
            <w:vAlign w:val="bottom"/>
            <w:tcBorders>
              <w:top w:val="single" w:sz="8" w:color="E0E7ED"/>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vMerge w:val="restart"/>
          </w:tcPr>
          <w:p>
            <w:pPr>
              <w:jc w:val="center"/>
              <w:ind w:right="340"/>
              <w:spacing w:after="0"/>
              <w:rPr>
                <w:sz w:val="20"/>
                <w:szCs w:val="20"/>
                <w:color w:val="auto"/>
              </w:rPr>
            </w:pPr>
            <w:r>
              <w:rPr>
                <w:rFonts w:ascii="Verdana" w:cs="Verdana" w:eastAsia="Verdana" w:hAnsi="Verdana"/>
                <w:sz w:val="13"/>
                <w:szCs w:val="13"/>
                <w:b w:val="1"/>
                <w:bCs w:val="1"/>
                <w:color w:val="auto"/>
                <w:w w:val="95"/>
              </w:rPr>
              <w:t>Amortized</w:t>
            </w: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right="134"/>
              <w:spacing w:after="0"/>
              <w:rPr>
                <w:sz w:val="20"/>
                <w:szCs w:val="20"/>
                <w:color w:val="auto"/>
              </w:rPr>
            </w:pPr>
            <w:r>
              <w:rPr>
                <w:rFonts w:ascii="Verdana" w:cs="Verdana" w:eastAsia="Verdana" w:hAnsi="Verdana"/>
                <w:sz w:val="13"/>
                <w:szCs w:val="13"/>
                <w:b w:val="1"/>
                <w:bCs w:val="1"/>
                <w:color w:val="auto"/>
                <w:w w:val="98"/>
              </w:rPr>
              <w:t>Unrecognized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vMerge w:val="restart"/>
          </w:tcPr>
          <w:p>
            <w:pPr>
              <w:jc w:val="center"/>
              <w:ind w:right="217"/>
              <w:spacing w:after="0"/>
              <w:rPr>
                <w:sz w:val="20"/>
                <w:szCs w:val="20"/>
                <w:color w:val="auto"/>
              </w:rPr>
            </w:pPr>
            <w:r>
              <w:rPr>
                <w:rFonts w:ascii="Verdana" w:cs="Verdana" w:eastAsia="Verdana" w:hAnsi="Verdana"/>
                <w:sz w:val="13"/>
                <w:szCs w:val="13"/>
                <w:b w:val="1"/>
                <w:bCs w:val="1"/>
                <w:color w:val="auto"/>
                <w:w w:val="92"/>
              </w:rPr>
              <w:t>Fair</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100"/>
              <w:spacing w:after="0"/>
              <w:rPr>
                <w:sz w:val="20"/>
                <w:szCs w:val="20"/>
                <w:color w:val="auto"/>
              </w:rPr>
            </w:pPr>
            <w:r>
              <w:rPr>
                <w:rFonts w:ascii="Verdana" w:cs="Verdana" w:eastAsia="Verdana" w:hAnsi="Verdana"/>
                <w:sz w:val="13"/>
                <w:szCs w:val="13"/>
                <w:b w:val="1"/>
                <w:bCs w:val="1"/>
                <w:color w:val="auto"/>
              </w:rPr>
              <w:t>Gross Gains</w:t>
            </w:r>
          </w:p>
        </w:tc>
        <w:tc>
          <w:tcPr>
            <w:tcW w:w="220" w:type="dxa"/>
            <w:vAlign w:val="bottom"/>
          </w:tcPr>
          <w:p>
            <w:pPr>
              <w:spacing w:after="0"/>
              <w:rPr>
                <w:sz w:val="2"/>
                <w:szCs w:val="2"/>
                <w:color w:val="auto"/>
              </w:rPr>
            </w:pPr>
          </w:p>
        </w:tc>
        <w:tc>
          <w:tcPr>
            <w:tcW w:w="136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Gross Losses</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Verdana" w:cs="Verdana" w:eastAsia="Verdana" w:hAnsi="Verdana"/>
                <w:sz w:val="13"/>
                <w:szCs w:val="13"/>
                <w:b w:val="1"/>
                <w:bCs w:val="1"/>
                <w:color w:val="auto"/>
                <w:w w:val="93"/>
              </w:rPr>
              <w:t>Cost</w:t>
            </w: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217"/>
              <w:spacing w:after="0"/>
              <w:rPr>
                <w:sz w:val="20"/>
                <w:szCs w:val="20"/>
                <w:color w:val="auto"/>
              </w:rPr>
            </w:pPr>
            <w:r>
              <w:rPr>
                <w:rFonts w:ascii="Verdana" w:cs="Verdana" w:eastAsia="Verdana" w:hAnsi="Verdana"/>
                <w:sz w:val="13"/>
                <w:szCs w:val="13"/>
                <w:b w:val="1"/>
                <w:bCs w:val="1"/>
                <w:color w:val="auto"/>
                <w:w w:val="92"/>
              </w:rPr>
              <w:t>Value</w:t>
            </w:r>
          </w:p>
        </w:tc>
        <w:tc>
          <w:tcPr>
            <w:tcW w:w="0" w:type="dxa"/>
            <w:vAlign w:val="bottom"/>
          </w:tcPr>
          <w:p>
            <w:pPr>
              <w:spacing w:after="0"/>
              <w:rPr>
                <w:sz w:val="1"/>
                <w:szCs w:val="1"/>
                <w:color w:val="auto"/>
              </w:rPr>
            </w:pPr>
          </w:p>
        </w:tc>
      </w:tr>
      <w:tr>
        <w:trPr>
          <w:trHeight w:val="255"/>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424,946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3"/>
          </w:tcPr>
          <w:p>
            <w:pPr>
              <w:ind w:left="9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(74,590)</w:t>
            </w:r>
          </w:p>
        </w:tc>
        <w:tc>
          <w:tcPr>
            <w:tcW w:w="80" w:type="dxa"/>
            <w:vAlign w:val="bottom"/>
          </w:tcPr>
          <w:p>
            <w:pPr>
              <w:spacing w:after="0"/>
              <w:rPr>
                <w:sz w:val="22"/>
                <w:szCs w:val="22"/>
                <w:color w:val="auto"/>
              </w:rPr>
            </w:pPr>
          </w:p>
        </w:tc>
        <w:tc>
          <w:tcPr>
            <w:tcW w:w="3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350,356</w:t>
            </w:r>
          </w:p>
        </w:tc>
        <w:tc>
          <w:tcPr>
            <w:tcW w:w="0" w:type="dxa"/>
            <w:vAlign w:val="bottom"/>
          </w:tcPr>
          <w:p>
            <w:pPr>
              <w:spacing w:after="0"/>
              <w:rPr>
                <w:sz w:val="1"/>
                <w:szCs w:val="1"/>
                <w:color w:val="auto"/>
              </w:rPr>
            </w:pPr>
          </w:p>
        </w:tc>
      </w:tr>
      <w:tr>
        <w:trPr>
          <w:trHeight w:val="270"/>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437,272</w:t>
            </w:r>
          </w:p>
        </w:tc>
        <w:tc>
          <w:tcPr>
            <w:tcW w:w="20" w:type="dxa"/>
            <w:vAlign w:val="bottom"/>
            <w:tcBorders>
              <w:bottom w:val="single" w:sz="8" w:color="auto"/>
            </w:tcBorders>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gridSpan w:val="2"/>
            <w:shd w:val="clear" w:color="auto" w:fill="E0E7ED"/>
          </w:tcPr>
          <w:p>
            <w:pPr>
              <w:ind w:left="98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(74,597)</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362,675</w:t>
            </w:r>
          </w:p>
        </w:tc>
        <w:tc>
          <w:tcPr>
            <w:tcW w:w="0" w:type="dxa"/>
            <w:vAlign w:val="bottom"/>
          </w:tcPr>
          <w:p>
            <w:pPr>
              <w:spacing w:after="0"/>
              <w:rPr>
                <w:sz w:val="1"/>
                <w:szCs w:val="1"/>
                <w:color w:val="auto"/>
              </w:rPr>
            </w:pPr>
          </w:p>
        </w:tc>
      </w:tr>
      <w:tr>
        <w:trPr>
          <w:trHeight w:val="270"/>
        </w:trPr>
        <w:tc>
          <w:tcPr>
            <w:tcW w:w="4960" w:type="dxa"/>
            <w:vAlign w:val="bottom"/>
          </w:tcPr>
          <w:p>
            <w:pPr>
              <w:ind w:left="20"/>
              <w:spacing w:after="0"/>
              <w:rPr>
                <w:sz w:val="20"/>
                <w:szCs w:val="20"/>
                <w:color w:val="auto"/>
              </w:rPr>
            </w:pPr>
            <w:r>
              <w:rPr>
                <w:rFonts w:ascii="Verdana" w:cs="Verdana" w:eastAsia="Verdana" w:hAnsi="Verdana"/>
                <w:sz w:val="18"/>
                <w:szCs w:val="18"/>
                <w:color w:val="auto"/>
              </w:rPr>
              <w:t>Total debt securities held to maturity</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862,218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3"/>
          </w:tcPr>
          <w:p>
            <w:pPr>
              <w:ind w:left="9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(149,187)</w:t>
            </w:r>
          </w:p>
        </w:tc>
        <w:tc>
          <w:tcPr>
            <w:tcW w:w="80" w:type="dxa"/>
            <w:vAlign w:val="bottom"/>
          </w:tcPr>
          <w:p>
            <w:pPr>
              <w:spacing w:after="0"/>
              <w:rPr>
                <w:sz w:val="23"/>
                <w:szCs w:val="23"/>
                <w:color w:val="auto"/>
              </w:rPr>
            </w:pPr>
          </w:p>
        </w:tc>
        <w:tc>
          <w:tcPr>
            <w:tcW w:w="3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713,031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31" w:lineRule="auto"/>
        <w:tabs>
          <w:tab w:leader="none" w:pos="480" w:val="left"/>
        </w:tabs>
        <w:numPr>
          <w:ilvl w:val="0"/>
          <w:numId w:val="4"/>
        </w:numPr>
        <w:rPr>
          <w:rFonts w:ascii="Verdana" w:cs="Verdana" w:eastAsia="Verdana" w:hAnsi="Verdana"/>
          <w:sz w:val="13"/>
          <w:szCs w:val="13"/>
          <w:color w:val="auto"/>
        </w:rPr>
      </w:pPr>
      <w:r>
        <w:rPr>
          <w:rFonts w:ascii="Verdana" w:cs="Verdana" w:eastAsia="Verdana" w:hAnsi="Verdana"/>
          <w:sz w:val="13"/>
          <w:szCs w:val="13"/>
          <w:color w:val="auto"/>
        </w:rPr>
        <w:t>Includes securities marked at par, with no gain or loss to report.</w:t>
      </w:r>
    </w:p>
    <w:p>
      <w:pPr>
        <w:ind w:left="480" w:hanging="310"/>
        <w:spacing w:after="0"/>
        <w:tabs>
          <w:tab w:leader="none" w:pos="480" w:val="left"/>
        </w:tabs>
        <w:numPr>
          <w:ilvl w:val="0"/>
          <w:numId w:val="4"/>
        </w:numPr>
        <w:rPr>
          <w:rFonts w:ascii="Verdana" w:cs="Verdana" w:eastAsia="Verdana" w:hAnsi="Verdana"/>
          <w:sz w:val="13"/>
          <w:szCs w:val="13"/>
          <w:color w:val="auto"/>
        </w:rPr>
      </w:pPr>
      <w:r>
        <w:rPr>
          <w:rFonts w:ascii="Verdana" w:cs="Verdana" w:eastAsia="Verdana" w:hAnsi="Verdana"/>
          <w:sz w:val="13"/>
          <w:szCs w:val="13"/>
          <w:color w:val="auto"/>
        </w:rPr>
        <w:t>Gross gains were insignificant, rounding to zero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5" w:name="page16"/>
    <w:bookmarkEnd w:id="1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jc w:val="center"/>
              <w:ind w:right="300"/>
              <w:spacing w:after="0"/>
              <w:rPr>
                <w:sz w:val="20"/>
                <w:szCs w:val="20"/>
                <w:color w:val="auto"/>
              </w:rPr>
            </w:pPr>
            <w:r>
              <w:rPr>
                <w:rFonts w:ascii="Verdana" w:cs="Verdana" w:eastAsia="Verdana" w:hAnsi="Verdana"/>
                <w:sz w:val="13"/>
                <w:szCs w:val="13"/>
                <w:b w:val="1"/>
                <w:bCs w:val="1"/>
                <w:color w:val="auto"/>
                <w:w w:val="96"/>
              </w:rPr>
              <w:t>As of December 31, 2023</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vMerge w:val="restart"/>
          </w:tcPr>
          <w:p>
            <w:pPr>
              <w:jc w:val="center"/>
              <w:ind w:right="360"/>
              <w:spacing w:after="0"/>
              <w:rPr>
                <w:sz w:val="20"/>
                <w:szCs w:val="20"/>
                <w:color w:val="auto"/>
              </w:rPr>
            </w:pPr>
            <w:r>
              <w:rPr>
                <w:rFonts w:ascii="Verdana" w:cs="Verdana" w:eastAsia="Verdana" w:hAnsi="Verdana"/>
                <w:sz w:val="13"/>
                <w:szCs w:val="13"/>
                <w:b w:val="1"/>
                <w:bCs w:val="1"/>
                <w:color w:val="auto"/>
                <w:w w:val="98"/>
              </w:rPr>
              <w:t>Amortized</w:t>
            </w: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right="154"/>
              <w:spacing w:after="0"/>
              <w:rPr>
                <w:sz w:val="20"/>
                <w:szCs w:val="20"/>
                <w:color w:val="auto"/>
              </w:rPr>
            </w:pPr>
            <w:r>
              <w:rPr>
                <w:rFonts w:ascii="Verdana" w:cs="Verdana" w:eastAsia="Verdana" w:hAnsi="Verdana"/>
                <w:sz w:val="13"/>
                <w:szCs w:val="13"/>
                <w:b w:val="1"/>
                <w:bCs w:val="1"/>
                <w:color w:val="auto"/>
                <w:w w:val="97"/>
              </w:rPr>
              <w:t>Unrealized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vMerge w:val="restart"/>
          </w:tcPr>
          <w:p>
            <w:pPr>
              <w:jc w:val="center"/>
              <w:ind w:right="237"/>
              <w:spacing w:after="0"/>
              <w:rPr>
                <w:sz w:val="20"/>
                <w:szCs w:val="20"/>
                <w:color w:val="auto"/>
              </w:rPr>
            </w:pPr>
            <w:r>
              <w:rPr>
                <w:rFonts w:ascii="Verdana" w:cs="Verdana" w:eastAsia="Verdana" w:hAnsi="Verdana"/>
                <w:sz w:val="13"/>
                <w:szCs w:val="13"/>
                <w:b w:val="1"/>
                <w:bCs w:val="1"/>
                <w:color w:val="auto"/>
                <w:w w:val="99"/>
              </w:rPr>
              <w:t>Fair</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80"/>
              <w:spacing w:after="0"/>
              <w:rPr>
                <w:sz w:val="20"/>
                <w:szCs w:val="20"/>
                <w:color w:val="auto"/>
              </w:rPr>
            </w:pPr>
            <w:r>
              <w:rPr>
                <w:rFonts w:ascii="Verdana" w:cs="Verdana" w:eastAsia="Verdana" w:hAnsi="Verdana"/>
                <w:sz w:val="13"/>
                <w:szCs w:val="13"/>
                <w:b w:val="1"/>
                <w:bCs w:val="1"/>
                <w:color w:val="auto"/>
              </w:rPr>
              <w:t>Gross Gains</w:t>
            </w:r>
          </w:p>
        </w:tc>
        <w:tc>
          <w:tcPr>
            <w:tcW w:w="220" w:type="dxa"/>
            <w:vAlign w:val="bottom"/>
          </w:tcPr>
          <w:p>
            <w:pPr>
              <w:spacing w:after="0"/>
              <w:rPr>
                <w:sz w:val="2"/>
                <w:szCs w:val="2"/>
                <w:color w:val="auto"/>
              </w:rPr>
            </w:pPr>
          </w:p>
        </w:tc>
        <w:tc>
          <w:tcPr>
            <w:tcW w:w="1360" w:type="dxa"/>
            <w:vAlign w:val="bottom"/>
            <w:gridSpan w:val="2"/>
            <w:vMerge w:val="restart"/>
          </w:tcPr>
          <w:p>
            <w:pPr>
              <w:ind w:left="60"/>
              <w:spacing w:after="0"/>
              <w:rPr>
                <w:sz w:val="20"/>
                <w:szCs w:val="20"/>
                <w:color w:val="auto"/>
              </w:rPr>
            </w:pPr>
            <w:r>
              <w:rPr>
                <w:rFonts w:ascii="Verdana" w:cs="Verdana" w:eastAsia="Verdana" w:hAnsi="Verdana"/>
                <w:sz w:val="13"/>
                <w:szCs w:val="13"/>
                <w:b w:val="1"/>
                <w:bCs w:val="1"/>
                <w:color w:val="auto"/>
              </w:rPr>
              <w:t>Gross Losses</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60"/>
              <w:spacing w:after="0"/>
              <w:rPr>
                <w:sz w:val="20"/>
                <w:szCs w:val="20"/>
                <w:color w:val="auto"/>
              </w:rPr>
            </w:pPr>
            <w:r>
              <w:rPr>
                <w:rFonts w:ascii="Verdana" w:cs="Verdana" w:eastAsia="Verdana" w:hAnsi="Verdana"/>
                <w:sz w:val="13"/>
                <w:szCs w:val="13"/>
                <w:b w:val="1"/>
                <w:bCs w:val="1"/>
                <w:color w:val="auto"/>
                <w:w w:val="93"/>
              </w:rPr>
              <w:t>Cost</w:t>
            </w: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237"/>
              <w:spacing w:after="0"/>
              <w:rPr>
                <w:sz w:val="20"/>
                <w:szCs w:val="20"/>
                <w:color w:val="auto"/>
              </w:rPr>
            </w:pPr>
            <w:r>
              <w:rPr>
                <w:rFonts w:ascii="Verdana" w:cs="Verdana" w:eastAsia="Verdana" w:hAnsi="Verdana"/>
                <w:sz w:val="13"/>
                <w:szCs w:val="13"/>
                <w:b w:val="1"/>
                <w:bCs w:val="1"/>
                <w:color w:val="auto"/>
                <w:w w:val="97"/>
              </w:rPr>
              <w:t>Value</w:t>
            </w:r>
          </w:p>
        </w:tc>
        <w:tc>
          <w:tcPr>
            <w:tcW w:w="0" w:type="dxa"/>
            <w:vAlign w:val="bottom"/>
          </w:tcPr>
          <w:p>
            <w:pPr>
              <w:spacing w:after="0"/>
              <w:rPr>
                <w:sz w:val="1"/>
                <w:szCs w:val="1"/>
                <w:color w:val="auto"/>
              </w:rPr>
            </w:pPr>
          </w:p>
        </w:tc>
      </w:tr>
      <w:tr>
        <w:trPr>
          <w:trHeight w:val="255"/>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0" w:type="dxa"/>
            <w:vAlign w:val="bottom"/>
            <w:tcBorders>
              <w:top w:val="single" w:sz="8" w:color="auto"/>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16,031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34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80" w:type="dxa"/>
            <w:vAlign w:val="bottom"/>
          </w:tcPr>
          <w:p>
            <w:pPr>
              <w:spacing w:after="0"/>
              <w:rPr>
                <w:sz w:val="22"/>
                <w:szCs w:val="22"/>
                <w:color w:val="auto"/>
              </w:rPr>
            </w:pPr>
          </w:p>
        </w:tc>
        <w:tc>
          <w:tcPr>
            <w:tcW w:w="3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15,946</w:t>
            </w:r>
          </w:p>
        </w:tc>
        <w:tc>
          <w:tcPr>
            <w:tcW w:w="0" w:type="dxa"/>
            <w:vAlign w:val="bottom"/>
          </w:tcPr>
          <w:p>
            <w:pPr>
              <w:spacing w:after="0"/>
              <w:rPr>
                <w:sz w:val="1"/>
                <w:szCs w:val="1"/>
                <w:color w:val="auto"/>
              </w:rPr>
            </w:pPr>
          </w:p>
        </w:tc>
      </w:tr>
      <w:tr>
        <w:trPr>
          <w:trHeight w:val="244"/>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 and</w:t>
            </w:r>
          </w:p>
        </w:tc>
        <w:tc>
          <w:tcPr>
            <w:tcW w:w="2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agencies</w:t>
            </w:r>
          </w:p>
        </w:tc>
        <w:tc>
          <w:tcPr>
            <w:tcW w:w="2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5,889</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w:t>
            </w: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5,832</w:t>
            </w:r>
          </w:p>
        </w:tc>
        <w:tc>
          <w:tcPr>
            <w:tcW w:w="0" w:type="dxa"/>
            <w:vAlign w:val="bottom"/>
          </w:tcPr>
          <w:p>
            <w:pPr>
              <w:spacing w:after="0"/>
              <w:rPr>
                <w:sz w:val="1"/>
                <w:szCs w:val="1"/>
                <w:color w:val="auto"/>
              </w:rPr>
            </w:pPr>
          </w:p>
        </w:tc>
      </w:tr>
      <w:tr>
        <w:trPr>
          <w:trHeight w:val="270"/>
        </w:trPr>
        <w:tc>
          <w:tcPr>
            <w:tcW w:w="4960" w:type="dxa"/>
            <w:vAlign w:val="bottom"/>
          </w:tcPr>
          <w:p>
            <w:pPr>
              <w:ind w:left="180"/>
              <w:spacing w:after="0" w:line="270" w:lineRule="exact"/>
              <w:rPr>
                <w:sz w:val="20"/>
                <w:szCs w:val="20"/>
                <w:color w:val="auto"/>
              </w:rPr>
            </w:pPr>
            <w:r>
              <w:rPr>
                <w:rFonts w:ascii="Verdana" w:cs="Verdana" w:eastAsia="Verdana" w:hAnsi="Verdana"/>
                <w:sz w:val="18"/>
                <w:szCs w:val="18"/>
                <w:color w:val="auto"/>
              </w:rPr>
              <w:t>Obligations of states and political subdivisions</w:t>
            </w:r>
            <w:r>
              <w:rPr>
                <w:rFonts w:ascii="Verdana" w:cs="Verdana" w:eastAsia="Verdana" w:hAnsi="Verdana"/>
                <w:sz w:val="23"/>
                <w:szCs w:val="23"/>
                <w:color w:val="auto"/>
                <w:vertAlign w:val="superscript"/>
              </w:rPr>
              <w:t>1</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190,819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52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(18,026)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172,845</w:t>
            </w:r>
          </w:p>
        </w:tc>
        <w:tc>
          <w:tcPr>
            <w:tcW w:w="0" w:type="dxa"/>
            <w:vAlign w:val="bottom"/>
          </w:tcPr>
          <w:p>
            <w:pPr>
              <w:spacing w:after="0"/>
              <w:rPr>
                <w:sz w:val="1"/>
                <w:szCs w:val="1"/>
                <w:color w:val="auto"/>
              </w:rPr>
            </w:pPr>
          </w:p>
        </w:tc>
      </w:tr>
      <w:tr>
        <w:trPr>
          <w:trHeight w:val="270"/>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2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470,046</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340" w:type="dxa"/>
            <w:vAlign w:val="bottom"/>
            <w:gridSpan w:val="3"/>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(1,823)</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468,223</w:t>
            </w: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119,044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(15,535)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103,509</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line="277" w:lineRule="exact"/>
              <w:rPr>
                <w:sz w:val="20"/>
                <w:szCs w:val="20"/>
                <w:color w:val="auto"/>
              </w:rPr>
            </w:pPr>
            <w:r>
              <w:rPr>
                <w:rFonts w:ascii="Verdana" w:cs="Verdana" w:eastAsia="Verdana" w:hAnsi="Verdana"/>
                <w:sz w:val="18"/>
                <w:szCs w:val="18"/>
                <w:color w:val="auto"/>
              </w:rPr>
              <w:t>Residential mortgage-backed securities</w:t>
            </w:r>
            <w:r>
              <w:rPr>
                <w:rFonts w:ascii="Verdana" w:cs="Verdana" w:eastAsia="Verdana" w:hAnsi="Verdana"/>
                <w:sz w:val="23"/>
                <w:szCs w:val="23"/>
                <w:color w:val="auto"/>
                <w:vertAlign w:val="superscript"/>
              </w:rPr>
              <w:t>1</w:t>
            </w:r>
          </w:p>
        </w:tc>
        <w:tc>
          <w:tcPr>
            <w:tcW w:w="2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1,306,854</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(195,547)</w:t>
            </w: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1,111,312</w:t>
            </w:r>
          </w:p>
        </w:tc>
        <w:tc>
          <w:tcPr>
            <w:tcW w:w="0" w:type="dxa"/>
            <w:vAlign w:val="bottom"/>
          </w:tcPr>
          <w:p>
            <w:pPr>
              <w:spacing w:after="0"/>
              <w:rPr>
                <w:sz w:val="1"/>
                <w:szCs w:val="1"/>
                <w:color w:val="auto"/>
              </w:rPr>
            </w:pPr>
          </w:p>
        </w:tc>
      </w:tr>
      <w:tr>
        <w:trPr>
          <w:trHeight w:val="264"/>
        </w:trPr>
        <w:tc>
          <w:tcPr>
            <w:tcW w:w="4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225,947</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128</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(16,171)</w:t>
            </w:r>
          </w:p>
        </w:tc>
        <w:tc>
          <w:tcPr>
            <w:tcW w:w="80" w:type="dxa"/>
            <w:vAlign w:val="bottom"/>
            <w:tcBorders>
              <w:bottom w:val="single" w:sz="8" w:color="E0E7E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209,904</w:t>
            </w:r>
          </w:p>
        </w:tc>
        <w:tc>
          <w:tcPr>
            <w:tcW w:w="0" w:type="dxa"/>
            <w:vAlign w:val="bottom"/>
          </w:tcPr>
          <w:p>
            <w:pPr>
              <w:spacing w:after="0"/>
              <w:rPr>
                <w:sz w:val="1"/>
                <w:szCs w:val="1"/>
                <w:color w:val="auto"/>
              </w:rPr>
            </w:pPr>
          </w:p>
        </w:tc>
      </w:tr>
      <w:tr>
        <w:trPr>
          <w:trHeight w:val="295"/>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debt securities available for sale</w:t>
            </w:r>
          </w:p>
        </w:tc>
        <w:tc>
          <w:tcPr>
            <w:tcW w:w="260" w:type="dxa"/>
            <w:vAlign w:val="bottom"/>
            <w:tcBorders>
              <w:bottom w:val="single" w:sz="8" w:color="auto"/>
            </w:tcBorders>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2,334,630</w:t>
            </w:r>
          </w:p>
        </w:tc>
        <w:tc>
          <w:tcPr>
            <w:tcW w:w="20" w:type="dxa"/>
            <w:vAlign w:val="bottom"/>
            <w:tcBorders>
              <w:bottom w:val="single" w:sz="8" w:color="E0E7ED"/>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186</w:t>
            </w:r>
          </w:p>
        </w:tc>
        <w:tc>
          <w:tcPr>
            <w:tcW w:w="20" w:type="dxa"/>
            <w:vAlign w:val="bottom"/>
            <w:tcBorders>
              <w:bottom w:val="single" w:sz="8" w:color="E0E7ED"/>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(247,245)</w:t>
            </w:r>
          </w:p>
        </w:tc>
        <w:tc>
          <w:tcPr>
            <w:tcW w:w="8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2,087,571</w:t>
            </w:r>
          </w:p>
        </w:tc>
        <w:tc>
          <w:tcPr>
            <w:tcW w:w="0" w:type="dxa"/>
            <w:vAlign w:val="bottom"/>
          </w:tcPr>
          <w:p>
            <w:pPr>
              <w:spacing w:after="0"/>
              <w:rPr>
                <w:sz w:val="1"/>
                <w:szCs w:val="1"/>
                <w:color w:val="auto"/>
              </w:rPr>
            </w:pP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00" w:type="dxa"/>
            <w:vAlign w:val="bottom"/>
            <w:tcBorders>
              <w:top w:val="single" w:sz="8" w:color="E0E7ED"/>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vMerge w:val="restart"/>
          </w:tcPr>
          <w:p>
            <w:pPr>
              <w:jc w:val="center"/>
              <w:ind w:right="340"/>
              <w:spacing w:after="0"/>
              <w:rPr>
                <w:sz w:val="20"/>
                <w:szCs w:val="20"/>
                <w:color w:val="auto"/>
              </w:rPr>
            </w:pPr>
            <w:r>
              <w:rPr>
                <w:rFonts w:ascii="Verdana" w:cs="Verdana" w:eastAsia="Verdana" w:hAnsi="Verdana"/>
                <w:sz w:val="13"/>
                <w:szCs w:val="13"/>
                <w:b w:val="1"/>
                <w:bCs w:val="1"/>
                <w:color w:val="auto"/>
                <w:w w:val="95"/>
              </w:rPr>
              <w:t>Amortized</w:t>
            </w: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right="134"/>
              <w:spacing w:after="0"/>
              <w:rPr>
                <w:sz w:val="20"/>
                <w:szCs w:val="20"/>
                <w:color w:val="auto"/>
              </w:rPr>
            </w:pPr>
            <w:r>
              <w:rPr>
                <w:rFonts w:ascii="Verdana" w:cs="Verdana" w:eastAsia="Verdana" w:hAnsi="Verdana"/>
                <w:sz w:val="13"/>
                <w:szCs w:val="13"/>
                <w:b w:val="1"/>
                <w:bCs w:val="1"/>
                <w:color w:val="auto"/>
                <w:w w:val="98"/>
              </w:rPr>
              <w:t>Unrecognized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vMerge w:val="restart"/>
          </w:tcPr>
          <w:p>
            <w:pPr>
              <w:jc w:val="center"/>
              <w:ind w:right="217"/>
              <w:spacing w:after="0"/>
              <w:rPr>
                <w:sz w:val="20"/>
                <w:szCs w:val="20"/>
                <w:color w:val="auto"/>
              </w:rPr>
            </w:pPr>
            <w:r>
              <w:rPr>
                <w:rFonts w:ascii="Verdana" w:cs="Verdana" w:eastAsia="Verdana" w:hAnsi="Verdana"/>
                <w:sz w:val="13"/>
                <w:szCs w:val="13"/>
                <w:b w:val="1"/>
                <w:bCs w:val="1"/>
                <w:color w:val="auto"/>
                <w:w w:val="92"/>
              </w:rPr>
              <w:t>Fair</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100"/>
              <w:spacing w:after="0"/>
              <w:rPr>
                <w:sz w:val="20"/>
                <w:szCs w:val="20"/>
                <w:color w:val="auto"/>
              </w:rPr>
            </w:pPr>
            <w:r>
              <w:rPr>
                <w:rFonts w:ascii="Verdana" w:cs="Verdana" w:eastAsia="Verdana" w:hAnsi="Verdana"/>
                <w:sz w:val="13"/>
                <w:szCs w:val="13"/>
                <w:b w:val="1"/>
                <w:bCs w:val="1"/>
                <w:color w:val="auto"/>
              </w:rPr>
              <w:t>Gross Gains</w:t>
            </w:r>
          </w:p>
        </w:tc>
        <w:tc>
          <w:tcPr>
            <w:tcW w:w="220" w:type="dxa"/>
            <w:vAlign w:val="bottom"/>
          </w:tcPr>
          <w:p>
            <w:pPr>
              <w:spacing w:after="0"/>
              <w:rPr>
                <w:sz w:val="2"/>
                <w:szCs w:val="2"/>
                <w:color w:val="auto"/>
              </w:rPr>
            </w:pPr>
          </w:p>
        </w:tc>
        <w:tc>
          <w:tcPr>
            <w:tcW w:w="136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Gross Losses</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Verdana" w:cs="Verdana" w:eastAsia="Verdana" w:hAnsi="Verdana"/>
                <w:sz w:val="13"/>
                <w:szCs w:val="13"/>
                <w:b w:val="1"/>
                <w:bCs w:val="1"/>
                <w:color w:val="auto"/>
                <w:w w:val="93"/>
              </w:rPr>
              <w:t>Cost</w:t>
            </w: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217"/>
              <w:spacing w:after="0"/>
              <w:rPr>
                <w:sz w:val="20"/>
                <w:szCs w:val="20"/>
                <w:color w:val="auto"/>
              </w:rPr>
            </w:pPr>
            <w:r>
              <w:rPr>
                <w:rFonts w:ascii="Verdana" w:cs="Verdana" w:eastAsia="Verdana" w:hAnsi="Verdana"/>
                <w:sz w:val="13"/>
                <w:szCs w:val="13"/>
                <w:b w:val="1"/>
                <w:bCs w:val="1"/>
                <w:color w:val="auto"/>
                <w:w w:val="92"/>
              </w:rPr>
              <w:t>Value</w:t>
            </w:r>
          </w:p>
        </w:tc>
        <w:tc>
          <w:tcPr>
            <w:tcW w:w="0" w:type="dxa"/>
            <w:vAlign w:val="bottom"/>
          </w:tcPr>
          <w:p>
            <w:pPr>
              <w:spacing w:after="0"/>
              <w:rPr>
                <w:sz w:val="1"/>
                <w:szCs w:val="1"/>
                <w:color w:val="auto"/>
              </w:rPr>
            </w:pPr>
          </w:p>
        </w:tc>
      </w:tr>
      <w:tr>
        <w:trPr>
          <w:trHeight w:val="255"/>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428,526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3"/>
          </w:tcPr>
          <w:p>
            <w:pPr>
              <w:ind w:left="9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(71,000)</w:t>
            </w:r>
          </w:p>
        </w:tc>
        <w:tc>
          <w:tcPr>
            <w:tcW w:w="80" w:type="dxa"/>
            <w:vAlign w:val="bottom"/>
          </w:tcPr>
          <w:p>
            <w:pPr>
              <w:spacing w:after="0"/>
              <w:rPr>
                <w:sz w:val="22"/>
                <w:szCs w:val="22"/>
                <w:color w:val="auto"/>
              </w:rPr>
            </w:pPr>
          </w:p>
        </w:tc>
        <w:tc>
          <w:tcPr>
            <w:tcW w:w="3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357,526</w:t>
            </w:r>
          </w:p>
        </w:tc>
        <w:tc>
          <w:tcPr>
            <w:tcW w:w="0" w:type="dxa"/>
            <w:vAlign w:val="bottom"/>
          </w:tcPr>
          <w:p>
            <w:pPr>
              <w:spacing w:after="0"/>
              <w:rPr>
                <w:sz w:val="1"/>
                <w:szCs w:val="1"/>
                <w:color w:val="auto"/>
              </w:rPr>
            </w:pPr>
          </w:p>
        </w:tc>
      </w:tr>
      <w:tr>
        <w:trPr>
          <w:trHeight w:val="270"/>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444,102</w:t>
            </w:r>
          </w:p>
        </w:tc>
        <w:tc>
          <w:tcPr>
            <w:tcW w:w="20" w:type="dxa"/>
            <w:vAlign w:val="bottom"/>
            <w:tcBorders>
              <w:bottom w:val="single" w:sz="8" w:color="auto"/>
            </w:tcBorders>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gridSpan w:val="2"/>
            <w:shd w:val="clear" w:color="auto" w:fill="E0E7ED"/>
          </w:tcPr>
          <w:p>
            <w:pPr>
              <w:ind w:left="98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(71,231)</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372,871</w:t>
            </w:r>
          </w:p>
        </w:tc>
        <w:tc>
          <w:tcPr>
            <w:tcW w:w="0" w:type="dxa"/>
            <w:vAlign w:val="bottom"/>
          </w:tcPr>
          <w:p>
            <w:pPr>
              <w:spacing w:after="0"/>
              <w:rPr>
                <w:sz w:val="1"/>
                <w:szCs w:val="1"/>
                <w:color w:val="auto"/>
              </w:rPr>
            </w:pPr>
          </w:p>
        </w:tc>
      </w:tr>
      <w:tr>
        <w:trPr>
          <w:trHeight w:val="270"/>
        </w:trPr>
        <w:tc>
          <w:tcPr>
            <w:tcW w:w="4960" w:type="dxa"/>
            <w:vAlign w:val="bottom"/>
          </w:tcPr>
          <w:p>
            <w:pPr>
              <w:ind w:left="20"/>
              <w:spacing w:after="0"/>
              <w:rPr>
                <w:sz w:val="20"/>
                <w:szCs w:val="20"/>
                <w:color w:val="auto"/>
              </w:rPr>
            </w:pPr>
            <w:r>
              <w:rPr>
                <w:rFonts w:ascii="Verdana" w:cs="Verdana" w:eastAsia="Verdana" w:hAnsi="Verdana"/>
                <w:sz w:val="18"/>
                <w:szCs w:val="18"/>
                <w:color w:val="auto"/>
              </w:rPr>
              <w:t>Total debt securities held to maturity</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872,628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3"/>
          </w:tcPr>
          <w:p>
            <w:pPr>
              <w:ind w:left="9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(142,231)</w:t>
            </w:r>
          </w:p>
        </w:tc>
        <w:tc>
          <w:tcPr>
            <w:tcW w:w="80" w:type="dxa"/>
            <w:vAlign w:val="bottom"/>
          </w:tcPr>
          <w:p>
            <w:pPr>
              <w:spacing w:after="0"/>
              <w:rPr>
                <w:sz w:val="23"/>
                <w:szCs w:val="23"/>
                <w:color w:val="auto"/>
              </w:rPr>
            </w:pPr>
          </w:p>
        </w:tc>
        <w:tc>
          <w:tcPr>
            <w:tcW w:w="3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730,397</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spacing w:after="0" w:line="4" w:lineRule="exact"/>
        <w:rPr>
          <w:sz w:val="20"/>
          <w:szCs w:val="20"/>
          <w:color w:val="auto"/>
        </w:rPr>
      </w:pPr>
    </w:p>
    <w:p>
      <w:pPr>
        <w:ind w:left="480" w:hanging="310"/>
        <w:spacing w:after="0"/>
        <w:tabs>
          <w:tab w:leader="none" w:pos="480" w:val="left"/>
        </w:tabs>
        <w:numPr>
          <w:ilvl w:val="0"/>
          <w:numId w:val="5"/>
        </w:numPr>
        <w:rPr>
          <w:rFonts w:ascii="Verdana" w:cs="Verdana" w:eastAsia="Verdana" w:hAnsi="Verdana"/>
          <w:sz w:val="13"/>
          <w:szCs w:val="13"/>
          <w:color w:val="auto"/>
        </w:rPr>
      </w:pPr>
      <w:r>
        <w:rPr>
          <w:rFonts w:ascii="Verdana" w:cs="Verdana" w:eastAsia="Verdana" w:hAnsi="Verdana"/>
          <w:sz w:val="13"/>
          <w:szCs w:val="13"/>
          <w:color w:val="auto"/>
        </w:rPr>
        <w:t>Includes securities marked at par, with no gain or loss to report.</w:t>
      </w:r>
    </w:p>
    <w:p>
      <w:pPr>
        <w:spacing w:after="0" w:line="16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Maturities of Debt Securities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35"/>
              <w:spacing w:after="0"/>
              <w:rPr>
                <w:sz w:val="20"/>
                <w:szCs w:val="20"/>
                <w:color w:val="auto"/>
              </w:rPr>
            </w:pPr>
            <w:r>
              <w:rPr>
                <w:rFonts w:ascii="Verdana" w:cs="Verdana" w:eastAsia="Verdana" w:hAnsi="Verdana"/>
                <w:sz w:val="13"/>
                <w:szCs w:val="13"/>
                <w:b w:val="1"/>
                <w:bCs w:val="1"/>
                <w:color w:val="auto"/>
              </w:rPr>
              <w:t>As of March 31, 2024</w:t>
            </w:r>
          </w:p>
        </w:tc>
      </w:tr>
      <w:tr>
        <w:trPr>
          <w:trHeight w:val="122"/>
        </w:trPr>
        <w:tc>
          <w:tcPr>
            <w:tcW w:w="8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tcPr>
          <w:p>
            <w:pPr>
              <w:jc w:val="center"/>
              <w:ind w:right="340"/>
              <w:spacing w:after="0" w:line="122" w:lineRule="exact"/>
              <w:rPr>
                <w:sz w:val="20"/>
                <w:szCs w:val="20"/>
                <w:color w:val="auto"/>
              </w:rPr>
            </w:pPr>
            <w:r>
              <w:rPr>
                <w:rFonts w:ascii="Verdana" w:cs="Verdana" w:eastAsia="Verdana" w:hAnsi="Verdana"/>
                <w:sz w:val="13"/>
                <w:szCs w:val="13"/>
                <w:b w:val="1"/>
                <w:bCs w:val="1"/>
                <w:color w:val="auto"/>
                <w:w w:val="95"/>
              </w:rPr>
              <w:t>Amortized</w:t>
            </w:r>
          </w:p>
        </w:tc>
        <w:tc>
          <w:tcPr>
            <w:tcW w:w="320" w:type="dxa"/>
            <w:vAlign w:val="bottom"/>
          </w:tcPr>
          <w:p>
            <w:pPr>
              <w:spacing w:after="0"/>
              <w:rPr>
                <w:sz w:val="10"/>
                <w:szCs w:val="10"/>
                <w:color w:val="auto"/>
              </w:rPr>
            </w:pPr>
          </w:p>
        </w:tc>
        <w:tc>
          <w:tcPr>
            <w:tcW w:w="1200" w:type="dxa"/>
            <w:vAlign w:val="bottom"/>
          </w:tcPr>
          <w:p>
            <w:pPr>
              <w:jc w:val="right"/>
              <w:ind w:right="535"/>
              <w:spacing w:after="0" w:line="122" w:lineRule="exact"/>
              <w:rPr>
                <w:sz w:val="20"/>
                <w:szCs w:val="20"/>
                <w:color w:val="auto"/>
              </w:rPr>
            </w:pPr>
            <w:r>
              <w:rPr>
                <w:rFonts w:ascii="Verdana" w:cs="Verdana" w:eastAsia="Verdana" w:hAnsi="Verdana"/>
                <w:sz w:val="13"/>
                <w:szCs w:val="13"/>
                <w:b w:val="1"/>
                <w:bCs w:val="1"/>
                <w:color w:val="auto"/>
              </w:rPr>
              <w:t>Fair</w:t>
            </w:r>
          </w:p>
        </w:tc>
      </w:tr>
      <w:tr>
        <w:trPr>
          <w:trHeight w:val="170"/>
        </w:trPr>
        <w:tc>
          <w:tcPr>
            <w:tcW w:w="8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9"/>
              </w:rPr>
              <w:t>Cost</w:t>
            </w:r>
          </w:p>
        </w:tc>
        <w:tc>
          <w:tcPr>
            <w:tcW w:w="320" w:type="dxa"/>
            <w:vAlign w:val="bottom"/>
          </w:tcPr>
          <w:p>
            <w:pPr>
              <w:spacing w:after="0"/>
              <w:rPr>
                <w:sz w:val="14"/>
                <w:szCs w:val="14"/>
                <w:color w:val="auto"/>
              </w:rPr>
            </w:pPr>
          </w:p>
        </w:tc>
        <w:tc>
          <w:tcPr>
            <w:tcW w:w="1200" w:type="dxa"/>
            <w:vAlign w:val="bottom"/>
          </w:tcPr>
          <w:p>
            <w:pPr>
              <w:jc w:val="right"/>
              <w:ind w:right="475"/>
              <w:spacing w:after="0"/>
              <w:rPr>
                <w:sz w:val="20"/>
                <w:szCs w:val="20"/>
                <w:color w:val="auto"/>
              </w:rPr>
            </w:pPr>
            <w:r>
              <w:rPr>
                <w:rFonts w:ascii="Verdana" w:cs="Verdana" w:eastAsia="Verdana" w:hAnsi="Verdana"/>
                <w:sz w:val="13"/>
                <w:szCs w:val="13"/>
                <w:b w:val="1"/>
                <w:bCs w:val="1"/>
                <w:color w:val="auto"/>
              </w:rPr>
              <w:t>Value</w:t>
            </w:r>
          </w:p>
        </w:tc>
      </w:tr>
      <w:tr>
        <w:trPr>
          <w:trHeight w:val="255"/>
        </w:trPr>
        <w:tc>
          <w:tcPr>
            <w:tcW w:w="81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6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Due in one year or less</w:t>
            </w: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262,012</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222,566</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Due after one year through five years</w:t>
            </w: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752,610</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666,718</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Due after five years through ten years</w:t>
            </w:r>
          </w:p>
        </w:tc>
        <w:tc>
          <w:tcPr>
            <w:tcW w:w="26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529,926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469,029</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Due after ten years</w:t>
            </w:r>
          </w:p>
        </w:tc>
        <w:tc>
          <w:tcPr>
            <w:tcW w:w="2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601,728</w:t>
            </w:r>
          </w:p>
        </w:tc>
        <w:tc>
          <w:tcPr>
            <w:tcW w:w="8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539,759</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Debt securities available for sale</w:t>
            </w:r>
          </w:p>
        </w:tc>
        <w:tc>
          <w:tcPr>
            <w:tcW w:w="26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2,146,276</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1,898,072</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31"/>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Due in one year or less</w:t>
            </w: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104,797</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88,589</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Due after one year through five years</w:t>
            </w: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263,376</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216,744</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Due after five years through ten years</w:t>
            </w:r>
          </w:p>
        </w:tc>
        <w:tc>
          <w:tcPr>
            <w:tcW w:w="26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241,243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198,562</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Due after ten years</w:t>
            </w:r>
          </w:p>
        </w:tc>
        <w:tc>
          <w:tcPr>
            <w:tcW w:w="2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252,802</w:t>
            </w:r>
          </w:p>
        </w:tc>
        <w:tc>
          <w:tcPr>
            <w:tcW w:w="8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209,136</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Debt securities held to maturity</w:t>
            </w:r>
          </w:p>
        </w:tc>
        <w:tc>
          <w:tcPr>
            <w:tcW w:w="26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862,218</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713,031</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07"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type w:val="continuous"/>
        </w:sectPr>
      </w:pPr>
    </w:p>
    <w:bookmarkStart w:id="16" w:name="page17"/>
    <w:bookmarkEnd w:id="1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Gains and Losses on Debt Securities Available for Sale</w:t>
      </w:r>
    </w:p>
    <w:p>
      <w:pPr>
        <w:spacing w:after="0" w:line="173" w:lineRule="exact"/>
        <w:rPr>
          <w:sz w:val="20"/>
          <w:szCs w:val="20"/>
          <w:color w:val="auto"/>
        </w:rPr>
      </w:pPr>
    </w:p>
    <w:p>
      <w:pPr>
        <w:ind w:right="20"/>
        <w:spacing w:after="0" w:line="254" w:lineRule="auto"/>
        <w:rPr>
          <w:sz w:val="20"/>
          <w:szCs w:val="20"/>
          <w:color w:val="auto"/>
        </w:rPr>
      </w:pPr>
      <w:r>
        <w:rPr>
          <w:rFonts w:ascii="Verdana" w:cs="Verdana" w:eastAsia="Verdana" w:hAnsi="Verdana"/>
          <w:sz w:val="18"/>
          <w:szCs w:val="18"/>
          <w:color w:val="auto"/>
        </w:rPr>
        <w:t xml:space="preserve">Realized gains and losses related to sales and calls of debt securities available for sale are summarized as follows </w:t>
      </w:r>
      <w:r>
        <w:rPr>
          <w:rFonts w:ascii="Verdana" w:cs="Verdana" w:eastAsia="Verdana" w:hAnsi="Verdana"/>
          <w:sz w:val="18"/>
          <w:szCs w:val="18"/>
          <w:i w:val="1"/>
          <w:iCs w:val="1"/>
          <w:color w:val="auto"/>
        </w:rPr>
        <w:t>(dollars</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in 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377"/>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1"/>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Realized gains and losses on debt securities</w:t>
            </w:r>
          </w:p>
        </w:tc>
        <w:tc>
          <w:tcPr>
            <w:tcW w:w="30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Gross gains on debt securities</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21"/>
              <w:spacing w:after="0"/>
              <w:rPr>
                <w:sz w:val="20"/>
                <w:szCs w:val="20"/>
                <w:color w:val="auto"/>
              </w:rPr>
            </w:pPr>
            <w:r>
              <w:rPr>
                <w:rFonts w:ascii="Verdana" w:cs="Verdana" w:eastAsia="Verdana" w:hAnsi="Verdana"/>
                <w:sz w:val="18"/>
                <w:szCs w:val="18"/>
                <w:color w:val="auto"/>
              </w:rPr>
              <w:t>1</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10</w:t>
            </w:r>
          </w:p>
        </w:tc>
      </w:tr>
      <w:tr>
        <w:trPr>
          <w:trHeight w:val="277"/>
        </w:trPr>
        <w:tc>
          <w:tcPr>
            <w:tcW w:w="8120" w:type="dxa"/>
            <w:vAlign w:val="bottom"/>
            <w:shd w:val="clear" w:color="auto" w:fill="E0E7ED"/>
          </w:tcPr>
          <w:p>
            <w:pPr>
              <w:ind w:left="180"/>
              <w:spacing w:after="0" w:line="277" w:lineRule="exact"/>
              <w:rPr>
                <w:sz w:val="20"/>
                <w:szCs w:val="20"/>
                <w:color w:val="auto"/>
              </w:rPr>
            </w:pPr>
            <w:r>
              <w:rPr>
                <w:rFonts w:ascii="Verdana" w:cs="Verdana" w:eastAsia="Verdana" w:hAnsi="Verdana"/>
                <w:sz w:val="18"/>
                <w:szCs w:val="18"/>
                <w:color w:val="auto"/>
              </w:rPr>
              <w:t>Gross (losses) on debt securities</w:t>
            </w:r>
            <w:r>
              <w:rPr>
                <w:rFonts w:ascii="Verdana" w:cs="Verdana" w:eastAsia="Verdana" w:hAnsi="Verdana"/>
                <w:sz w:val="23"/>
                <w:szCs w:val="23"/>
                <w:color w:val="auto"/>
                <w:vertAlign w:val="superscript"/>
              </w:rPr>
              <w:t>1</w:t>
            </w:r>
          </w:p>
        </w:tc>
        <w:tc>
          <w:tcPr>
            <w:tcW w:w="30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(6,803)</w:t>
            </w:r>
          </w:p>
        </w:tc>
        <w:tc>
          <w:tcPr>
            <w:tcW w:w="80" w:type="dxa"/>
            <w:vAlign w:val="bottom"/>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spacing w:after="0"/>
              <w:rPr>
                <w:sz w:val="24"/>
                <w:szCs w:val="24"/>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w:t>
            </w:r>
          </w:p>
        </w:tc>
      </w:tr>
      <w:tr>
        <w:trPr>
          <w:trHeight w:val="263"/>
        </w:trPr>
        <w:tc>
          <w:tcPr>
            <w:tcW w:w="8120" w:type="dxa"/>
            <w:vAlign w:val="bottom"/>
          </w:tcPr>
          <w:p>
            <w:pPr>
              <w:ind w:left="20"/>
              <w:spacing w:after="0"/>
              <w:rPr>
                <w:sz w:val="20"/>
                <w:szCs w:val="20"/>
                <w:color w:val="auto"/>
              </w:rPr>
            </w:pPr>
            <w:r>
              <w:rPr>
                <w:rFonts w:ascii="Verdana" w:cs="Verdana" w:eastAsia="Verdana" w:hAnsi="Verdana"/>
                <w:sz w:val="18"/>
                <w:szCs w:val="18"/>
                <w:color w:val="auto"/>
              </w:rPr>
              <w:t>Realized net gains (losses) on debt securities</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(6,802)</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4</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jc w:val="both"/>
        <w:ind w:left="500" w:right="20" w:hanging="330"/>
        <w:spacing w:after="0"/>
        <w:tabs>
          <w:tab w:leader="none" w:pos="491" w:val="left"/>
        </w:tabs>
        <w:numPr>
          <w:ilvl w:val="0"/>
          <w:numId w:val="6"/>
        </w:numPr>
        <w:rPr>
          <w:rFonts w:ascii="Verdana" w:cs="Verdana" w:eastAsia="Verdana" w:hAnsi="Verdana"/>
          <w:sz w:val="13"/>
          <w:szCs w:val="13"/>
          <w:color w:val="auto"/>
        </w:rPr>
      </w:pPr>
      <w:r>
        <w:rPr>
          <w:rFonts w:ascii="Verdana" w:cs="Verdana" w:eastAsia="Verdana" w:hAnsi="Verdana"/>
          <w:sz w:val="13"/>
          <w:szCs w:val="13"/>
          <w:color w:val="auto"/>
        </w:rPr>
        <w:t>During the first quarter of 2024, Busey sold available-for-sale debt securities with a book value of approximately $108.2 million for a pre-tax loss of $6.8 million, as part of a balance sheet repositioning strategy. The loss on the sale of securities was offset by a pre-tax gain of $7.5 million realized on the sale of mortgage servicing rights on approximately $923.5 million of one- to four-family mortgage loans.</w:t>
      </w:r>
    </w:p>
    <w:p>
      <w:pPr>
        <w:spacing w:after="0" w:line="160"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Debt securities with carrying amounts of $787.5 million on March 31, 2024, and $837.4 million on December 31, 2023, were pledged as collateral for public deposits, securities sold under agreements to repurchase, and for other purposes as required.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7" w:name="page18"/>
    <w:bookmarkEnd w:id="1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Debt Securities in an Unrealized or Unrecognized Loss Position</w:t>
      </w:r>
    </w:p>
    <w:p>
      <w:pPr>
        <w:spacing w:after="0" w:line="173"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 xml:space="preserve">The following information pertains to debt securities with gross unrealized or unrecognized losses, aggregated by investment category and the length of time that individual securities have been in a continuous loss position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8"/>
          </w:tcPr>
          <w:p>
            <w:pPr>
              <w:ind w:left="100"/>
              <w:spacing w:after="0"/>
              <w:rPr>
                <w:sz w:val="20"/>
                <w:szCs w:val="20"/>
                <w:color w:val="auto"/>
              </w:rPr>
            </w:pPr>
            <w:r>
              <w:rPr>
                <w:rFonts w:ascii="Verdana" w:cs="Verdana" w:eastAsia="Verdana" w:hAnsi="Verdana"/>
                <w:sz w:val="14"/>
                <w:szCs w:val="14"/>
                <w:b w:val="1"/>
                <w:bCs w:val="1"/>
                <w:color w:val="auto"/>
              </w:rPr>
              <w:t>As of March 31, 2024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ind w:left="160"/>
              <w:spacing w:after="0"/>
              <w:rPr>
                <w:sz w:val="20"/>
                <w:szCs w:val="20"/>
                <w:color w:val="auto"/>
              </w:rPr>
            </w:pPr>
            <w:r>
              <w:rPr>
                <w:rFonts w:ascii="Verdana" w:cs="Verdana" w:eastAsia="Verdana" w:hAnsi="Verdana"/>
                <w:sz w:val="13"/>
                <w:szCs w:val="13"/>
                <w:b w:val="1"/>
                <w:bCs w:val="1"/>
                <w:color w:val="auto"/>
              </w:rPr>
              <w:t>Less than 12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8"/>
          </w:tcPr>
          <w:p>
            <w:pPr>
              <w:ind w:left="240"/>
              <w:spacing w:after="0"/>
              <w:rPr>
                <w:sz w:val="20"/>
                <w:szCs w:val="20"/>
                <w:color w:val="auto"/>
              </w:rPr>
            </w:pPr>
            <w:r>
              <w:rPr>
                <w:rFonts w:ascii="Verdana" w:cs="Verdana" w:eastAsia="Verdana" w:hAnsi="Verdana"/>
                <w:sz w:val="13"/>
                <w:szCs w:val="13"/>
                <w:b w:val="1"/>
                <w:bCs w:val="1"/>
                <w:color w:val="auto"/>
              </w:rPr>
              <w:t>12 months or more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0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180"/>
              <w:spacing w:after="0" w:line="120" w:lineRule="exact"/>
              <w:rPr>
                <w:sz w:val="20"/>
                <w:szCs w:val="20"/>
                <w:color w:val="auto"/>
              </w:rPr>
            </w:pPr>
            <w:r>
              <w:rPr>
                <w:rFonts w:ascii="Verdana" w:cs="Verdana" w:eastAsia="Verdana" w:hAnsi="Verdana"/>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line="120" w:lineRule="exact"/>
              <w:rPr>
                <w:sz w:val="20"/>
                <w:szCs w:val="20"/>
                <w:color w:val="auto"/>
              </w:rPr>
            </w:pPr>
            <w:r>
              <w:rPr>
                <w:rFonts w:ascii="Verdana" w:cs="Verdana" w:eastAsia="Verdana" w:hAnsi="Verdana"/>
                <w:sz w:val="13"/>
                <w:szCs w:val="13"/>
                <w:b w:val="1"/>
                <w:bCs w:val="1"/>
                <w:color w:val="auto"/>
              </w:rPr>
              <w:t>Unrealized</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ind w:left="180"/>
              <w:spacing w:after="0" w:line="120" w:lineRule="exact"/>
              <w:rPr>
                <w:sz w:val="20"/>
                <w:szCs w:val="20"/>
                <w:color w:val="auto"/>
              </w:rPr>
            </w:pPr>
            <w:r>
              <w:rPr>
                <w:rFonts w:ascii="Verdana" w:cs="Verdana" w:eastAsia="Verdana" w:hAnsi="Verdana"/>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7"/>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20"/>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7"/>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Value</w:t>
            </w:r>
          </w:p>
        </w:tc>
        <w:tc>
          <w:tcPr>
            <w:tcW w:w="1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Verdana" w:cs="Verdana" w:eastAsia="Verdana" w:hAnsi="Verdana"/>
                <w:sz w:val="13"/>
                <w:szCs w:val="13"/>
                <w:b w:val="1"/>
                <w:bCs w:val="1"/>
                <w:color w:val="auto"/>
              </w:rPr>
              <w:t>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ind w:left="120"/>
              <w:spacing w:after="0"/>
              <w:rPr>
                <w:sz w:val="20"/>
                <w:szCs w:val="20"/>
                <w:color w:val="auto"/>
              </w:rPr>
            </w:pPr>
            <w:r>
              <w:rPr>
                <w:rFonts w:ascii="Verdana" w:cs="Verdana" w:eastAsia="Verdana" w:hAnsi="Verdana"/>
                <w:sz w:val="13"/>
                <w:szCs w:val="13"/>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Verdana" w:cs="Verdana" w:eastAsia="Verdana" w:hAnsi="Verdana"/>
                <w:sz w:val="13"/>
                <w:szCs w:val="13"/>
                <w:b w:val="1"/>
                <w:bCs w:val="1"/>
                <w:color w:val="auto"/>
                <w:w w:val="97"/>
              </w:rPr>
              <w:t>Losses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40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40" w:type="dxa"/>
            <w:vAlign w:val="bottom"/>
            <w:tcBorders>
              <w:top w:val="single" w:sz="8" w:color="auto"/>
            </w:tcBorders>
            <w:shd w:val="clear" w:color="auto" w:fill="E0E7ED"/>
          </w:tcPr>
          <w:p>
            <w:pPr>
              <w:spacing w:after="0"/>
              <w:rPr>
                <w:sz w:val="22"/>
                <w:szCs w:val="22"/>
                <w:color w:val="auto"/>
              </w:rPr>
            </w:pPr>
          </w:p>
        </w:tc>
        <w:tc>
          <w:tcPr>
            <w:tcW w:w="8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auto"/>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9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gridSpan w:val="2"/>
          </w:tcPr>
          <w:p>
            <w:pPr>
              <w:ind w:left="660"/>
              <w:spacing w:after="0"/>
              <w:rPr>
                <w:sz w:val="20"/>
                <w:szCs w:val="20"/>
                <w:color w:val="auto"/>
              </w:rPr>
            </w:pPr>
            <w:r>
              <w:rPr>
                <w:rFonts w:ascii="Verdana" w:cs="Verdana" w:eastAsia="Verdana" w:hAnsi="Verdana"/>
                <w:sz w:val="18"/>
                <w:szCs w:val="18"/>
                <w:color w:val="auto"/>
              </w:rPr>
              <w:t>—</w:t>
            </w:r>
          </w:p>
        </w:tc>
        <w:tc>
          <w:tcPr>
            <w:tcW w:w="260" w:type="dxa"/>
            <w:vAlign w:val="bottom"/>
            <w:gridSpan w:val="2"/>
          </w:tcPr>
          <w:p>
            <w:pPr>
              <w:jc w:val="right"/>
              <w:ind w:right="140"/>
              <w:spacing w:after="0"/>
              <w:rPr>
                <w:sz w:val="20"/>
                <w:szCs w:val="20"/>
                <w:color w:val="auto"/>
              </w:rPr>
            </w:pPr>
            <w:r>
              <w:rPr>
                <w:rFonts w:ascii="Verdana" w:cs="Verdana" w:eastAsia="Verdana" w:hAnsi="Verdana"/>
                <w:sz w:val="18"/>
                <w:szCs w:val="18"/>
                <w:color w:val="auto"/>
                <w:w w:val="86"/>
              </w:rPr>
              <w:t>$</w:t>
            </w:r>
          </w:p>
        </w:tc>
        <w:tc>
          <w:tcPr>
            <w:tcW w:w="900" w:type="dxa"/>
            <w:vAlign w:val="bottom"/>
          </w:tcPr>
          <w:p>
            <w:pPr>
              <w:jc w:val="right"/>
              <w:ind w:right="21"/>
              <w:spacing w:after="0"/>
              <w:rPr>
                <w:sz w:val="20"/>
                <w:szCs w:val="20"/>
                <w:color w:val="auto"/>
              </w:rPr>
            </w:pPr>
            <w:r>
              <w:rPr>
                <w:rFonts w:ascii="Verdana" w:cs="Verdana" w:eastAsia="Verdana" w:hAnsi="Verdana"/>
                <w:sz w:val="18"/>
                <w:szCs w:val="18"/>
                <w:color w:val="auto"/>
              </w:rPr>
              <w:t>742</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spacing w:after="0"/>
              <w:rPr>
                <w:sz w:val="20"/>
                <w:szCs w:val="20"/>
                <w:color w:val="auto"/>
              </w:rPr>
            </w:pPr>
            <w:r>
              <w:rPr>
                <w:rFonts w:ascii="Verdana" w:cs="Verdana" w:eastAsia="Verdana" w:hAnsi="Verdana"/>
                <w:sz w:val="18"/>
                <w:szCs w:val="18"/>
                <w:color w:val="auto"/>
              </w:rPr>
              <w:t>(7)</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Verdana" w:cs="Verdana" w:eastAsia="Verdana" w:hAnsi="Verdana"/>
                <w:sz w:val="18"/>
                <w:szCs w:val="18"/>
                <w:color w:val="auto"/>
                <w:w w:val="86"/>
              </w:rPr>
              <w:t>$</w:t>
            </w: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742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(7)</w:t>
            </w:r>
          </w:p>
        </w:tc>
        <w:tc>
          <w:tcPr>
            <w:tcW w:w="0" w:type="dxa"/>
            <w:vAlign w:val="bottom"/>
          </w:tcPr>
          <w:p>
            <w:pPr>
              <w:spacing w:after="0"/>
              <w:rPr>
                <w:sz w:val="1"/>
                <w:szCs w:val="1"/>
                <w:color w:val="auto"/>
              </w:rPr>
            </w:pPr>
          </w:p>
        </w:tc>
      </w:tr>
      <w:tr>
        <w:trPr>
          <w:trHeight w:val="244"/>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w:t>
            </w:r>
          </w:p>
        </w:tc>
        <w:tc>
          <w:tcPr>
            <w:tcW w:w="240" w:type="dxa"/>
            <w:vAlign w:val="bottom"/>
            <w:shd w:val="clear" w:color="auto" w:fill="E0E7ED"/>
          </w:tcPr>
          <w:p>
            <w:pPr>
              <w:spacing w:after="0"/>
              <w:rPr>
                <w:sz w:val="21"/>
                <w:szCs w:val="21"/>
                <w:color w:val="auto"/>
              </w:rPr>
            </w:pPr>
          </w:p>
        </w:tc>
        <w:tc>
          <w:tcPr>
            <w:tcW w:w="8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90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corporations and agencies</w:t>
            </w:r>
          </w:p>
        </w:tc>
        <w:tc>
          <w:tcPr>
            <w:tcW w:w="240" w:type="dxa"/>
            <w:vAlign w:val="bottom"/>
            <w:shd w:val="clear" w:color="auto" w:fill="E0E7ED"/>
          </w:tcPr>
          <w:p>
            <w:pPr>
              <w:spacing w:after="0"/>
              <w:rPr>
                <w:sz w:val="21"/>
                <w:szCs w:val="21"/>
                <w:color w:val="auto"/>
              </w:rPr>
            </w:pPr>
          </w:p>
        </w:tc>
        <w:tc>
          <w:tcPr>
            <w:tcW w:w="9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1"/>
                <w:szCs w:val="21"/>
                <w:color w:val="auto"/>
              </w:rPr>
            </w:pPr>
          </w:p>
        </w:tc>
        <w:tc>
          <w:tcPr>
            <w:tcW w:w="1020" w:type="dxa"/>
            <w:vAlign w:val="bottom"/>
            <w:gridSpan w:val="2"/>
            <w:shd w:val="clear" w:color="auto" w:fill="E0E7ED"/>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90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5,629</w:t>
            </w: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w:t>
            </w: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2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5,629</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w:t>
            </w:r>
          </w:p>
        </w:tc>
        <w:tc>
          <w:tcPr>
            <w:tcW w:w="0" w:type="dxa"/>
            <w:vAlign w:val="bottom"/>
          </w:tcPr>
          <w:p>
            <w:pPr>
              <w:spacing w:after="0"/>
              <w:rPr>
                <w:sz w:val="1"/>
                <w:szCs w:val="1"/>
                <w:color w:val="auto"/>
              </w:rPr>
            </w:pPr>
          </w:p>
        </w:tc>
      </w:tr>
      <w:tr>
        <w:trPr>
          <w:trHeight w:val="238"/>
        </w:trPr>
        <w:tc>
          <w:tcPr>
            <w:tcW w:w="408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tcPr>
          <w:p>
            <w:pPr>
              <w:ind w:left="180"/>
              <w:spacing w:after="0"/>
              <w:rPr>
                <w:sz w:val="20"/>
                <w:szCs w:val="20"/>
                <w:color w:val="auto"/>
              </w:rPr>
            </w:pPr>
            <w:r>
              <w:rPr>
                <w:rFonts w:ascii="Verdana" w:cs="Verdana" w:eastAsia="Verdana" w:hAnsi="Verdana"/>
                <w:sz w:val="18"/>
                <w:szCs w:val="18"/>
                <w:color w:val="auto"/>
              </w:rPr>
              <w:t>subdivisions</w:t>
            </w:r>
          </w:p>
        </w:tc>
        <w:tc>
          <w:tcPr>
            <w:tcW w:w="2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Verdana" w:cs="Verdana" w:eastAsia="Verdana" w:hAnsi="Verdana"/>
                <w:sz w:val="18"/>
                <w:szCs w:val="18"/>
                <w:color w:val="auto"/>
              </w:rPr>
              <w:t>8,524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(68)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Verdana" w:cs="Verdana" w:eastAsia="Verdana" w:hAnsi="Verdana"/>
                <w:sz w:val="18"/>
                <w:szCs w:val="18"/>
                <w:color w:val="auto"/>
              </w:rPr>
              <w:t>134,945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(18,023)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143,469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(18,091)</w:t>
            </w:r>
          </w:p>
        </w:tc>
        <w:tc>
          <w:tcPr>
            <w:tcW w:w="0" w:type="dxa"/>
            <w:vAlign w:val="bottom"/>
          </w:tcPr>
          <w:p>
            <w:pPr>
              <w:spacing w:after="0"/>
              <w:rPr>
                <w:sz w:val="1"/>
                <w:szCs w:val="1"/>
                <w:color w:val="auto"/>
              </w:rPr>
            </w:pPr>
          </w:p>
        </w:tc>
      </w:tr>
      <w:tr>
        <w:trPr>
          <w:trHeight w:val="277"/>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240" w:type="dxa"/>
            <w:vAlign w:val="bottom"/>
            <w:shd w:val="clear" w:color="auto" w:fill="E0E7ED"/>
          </w:tcPr>
          <w:p>
            <w:pPr>
              <w:spacing w:after="0"/>
              <w:rPr>
                <w:sz w:val="24"/>
                <w:szCs w:val="24"/>
                <w:color w:val="auto"/>
              </w:rPr>
            </w:pPr>
          </w:p>
        </w:tc>
        <w:tc>
          <w:tcPr>
            <w:tcW w:w="9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4"/>
                <w:szCs w:val="24"/>
                <w:color w:val="auto"/>
              </w:rPr>
            </w:pPr>
          </w:p>
        </w:tc>
        <w:tc>
          <w:tcPr>
            <w:tcW w:w="1020" w:type="dxa"/>
            <w:vAlign w:val="bottom"/>
            <w:gridSpan w:val="2"/>
            <w:shd w:val="clear" w:color="auto" w:fill="E0E7ED"/>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90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253,231</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(384)</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92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253,231</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(384)</w:t>
            </w: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4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Verdana" w:cs="Verdana" w:eastAsia="Verdana" w:hAnsi="Verdana"/>
                <w:sz w:val="18"/>
                <w:szCs w:val="18"/>
                <w:color w:val="auto"/>
              </w:rPr>
              <w:t>92,563</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(15,443)</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92,563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(15,443)</w:t>
            </w:r>
          </w:p>
        </w:tc>
        <w:tc>
          <w:tcPr>
            <w:tcW w:w="0" w:type="dxa"/>
            <w:vAlign w:val="bottom"/>
          </w:tcPr>
          <w:p>
            <w:pPr>
              <w:spacing w:after="0"/>
              <w:rPr>
                <w:sz w:val="1"/>
                <w:szCs w:val="1"/>
                <w:color w:val="auto"/>
              </w:rPr>
            </w:pPr>
          </w:p>
        </w:tc>
      </w:tr>
      <w:tr>
        <w:trPr>
          <w:trHeight w:val="277"/>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40" w:type="dxa"/>
            <w:vAlign w:val="bottom"/>
            <w:shd w:val="clear" w:color="auto" w:fill="E0E7ED"/>
          </w:tcPr>
          <w:p>
            <w:pPr>
              <w:spacing w:after="0"/>
              <w:rPr>
                <w:sz w:val="24"/>
                <w:szCs w:val="24"/>
                <w:color w:val="auto"/>
              </w:rPr>
            </w:pPr>
          </w:p>
        </w:tc>
        <w:tc>
          <w:tcPr>
            <w:tcW w:w="86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165</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w:t>
            </w:r>
          </w:p>
        </w:tc>
        <w:tc>
          <w:tcPr>
            <w:tcW w:w="80" w:type="dxa"/>
            <w:vAlign w:val="bottom"/>
            <w:shd w:val="clear" w:color="auto" w:fill="E0E7ED"/>
          </w:tcPr>
          <w:p>
            <w:pPr>
              <w:spacing w:after="0"/>
              <w:rPr>
                <w:sz w:val="24"/>
                <w:szCs w:val="24"/>
                <w:color w:val="auto"/>
              </w:rPr>
            </w:pPr>
          </w:p>
        </w:tc>
        <w:tc>
          <w:tcPr>
            <w:tcW w:w="1160" w:type="dxa"/>
            <w:vAlign w:val="bottom"/>
            <w:gridSpan w:val="3"/>
            <w:shd w:val="clear" w:color="auto" w:fill="E0E7ED"/>
          </w:tcPr>
          <w:p>
            <w:pPr>
              <w:jc w:val="right"/>
              <w:ind w:right="21"/>
              <w:spacing w:after="0"/>
              <w:rPr>
                <w:sz w:val="20"/>
                <w:szCs w:val="20"/>
                <w:color w:val="auto"/>
              </w:rPr>
            </w:pPr>
            <w:r>
              <w:rPr>
                <w:rFonts w:ascii="Verdana" w:cs="Verdana" w:eastAsia="Verdana" w:hAnsi="Verdana"/>
                <w:sz w:val="18"/>
                <w:szCs w:val="18"/>
                <w:color w:val="auto"/>
              </w:rPr>
              <w:t>1,021,383</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95"/>
              </w:rPr>
              <w:t>(201,721)</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160" w:type="dxa"/>
            <w:vAlign w:val="bottom"/>
            <w:gridSpan w:val="3"/>
            <w:shd w:val="clear" w:color="auto" w:fill="E0E7ED"/>
          </w:tcPr>
          <w:p>
            <w:pPr>
              <w:jc w:val="right"/>
              <w:ind w:right="21"/>
              <w:spacing w:after="0"/>
              <w:rPr>
                <w:sz w:val="20"/>
                <w:szCs w:val="20"/>
                <w:color w:val="auto"/>
              </w:rPr>
            </w:pPr>
            <w:r>
              <w:rPr>
                <w:rFonts w:ascii="Verdana" w:cs="Verdana" w:eastAsia="Verdana" w:hAnsi="Verdana"/>
                <w:sz w:val="18"/>
                <w:szCs w:val="18"/>
                <w:color w:val="auto"/>
              </w:rPr>
              <w:t>1,021,548</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(201,722)</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4,313</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(102)</w:t>
            </w:r>
          </w:p>
        </w:tc>
        <w:tc>
          <w:tcPr>
            <w:tcW w:w="80" w:type="dxa"/>
            <w:vAlign w:val="bottom"/>
            <w:tcBorders>
              <w:bottom w:val="single" w:sz="8" w:color="E0E7ED"/>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152,739</w:t>
            </w: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(12,528)</w:t>
            </w: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157,052</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(12,630)</w:t>
            </w:r>
          </w:p>
        </w:tc>
        <w:tc>
          <w:tcPr>
            <w:tcW w:w="0" w:type="dxa"/>
            <w:vAlign w:val="bottom"/>
          </w:tcPr>
          <w:p>
            <w:pPr>
              <w:spacing w:after="0"/>
              <w:rPr>
                <w:sz w:val="1"/>
                <w:szCs w:val="1"/>
                <w:color w:val="auto"/>
              </w:rPr>
            </w:pPr>
          </w:p>
        </w:tc>
      </w:tr>
      <w:tr>
        <w:trPr>
          <w:trHeight w:val="224"/>
        </w:trPr>
        <w:tc>
          <w:tcPr>
            <w:tcW w:w="40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Debt securities available for sale with gross</w:t>
            </w:r>
          </w:p>
        </w:tc>
        <w:tc>
          <w:tcPr>
            <w:tcW w:w="24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86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8"/>
                <w:szCs w:val="18"/>
                <w:color w:val="auto"/>
              </w:rPr>
              <w:t>13,002</w:t>
            </w:r>
          </w:p>
        </w:tc>
        <w:tc>
          <w:tcPr>
            <w:tcW w:w="80" w:type="dxa"/>
            <w:vAlign w:val="bottom"/>
            <w:shd w:val="clear" w:color="auto" w:fill="E0E7ED"/>
          </w:tcPr>
          <w:p>
            <w:pPr>
              <w:spacing w:after="0"/>
              <w:rPr>
                <w:sz w:val="19"/>
                <w:szCs w:val="19"/>
                <w:color w:val="auto"/>
              </w:rPr>
            </w:pP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(171)</w:t>
            </w:r>
          </w:p>
        </w:tc>
        <w:tc>
          <w:tcPr>
            <w:tcW w:w="80" w:type="dxa"/>
            <w:vAlign w:val="bottom"/>
            <w:shd w:val="clear" w:color="auto" w:fill="E0E7ED"/>
          </w:tcPr>
          <w:p>
            <w:pPr>
              <w:spacing w:after="0"/>
              <w:rPr>
                <w:sz w:val="19"/>
                <w:szCs w:val="19"/>
                <w:color w:val="auto"/>
              </w:rPr>
            </w:pPr>
          </w:p>
        </w:tc>
        <w:tc>
          <w:tcPr>
            <w:tcW w:w="1160" w:type="dxa"/>
            <w:vAlign w:val="bottom"/>
            <w:gridSpan w:val="3"/>
            <w:vMerge w:val="restart"/>
            <w:shd w:val="clear" w:color="auto" w:fill="E0E7ED"/>
          </w:tcPr>
          <w:p>
            <w:pPr>
              <w:jc w:val="right"/>
              <w:ind w:right="21"/>
              <w:spacing w:after="0"/>
              <w:rPr>
                <w:sz w:val="20"/>
                <w:szCs w:val="20"/>
                <w:color w:val="auto"/>
              </w:rPr>
            </w:pPr>
            <w:r>
              <w:rPr>
                <w:rFonts w:ascii="Verdana" w:cs="Verdana" w:eastAsia="Verdana" w:hAnsi="Verdana"/>
                <w:sz w:val="18"/>
                <w:szCs w:val="18"/>
                <w:u w:val="single" w:color="auto"/>
                <w:color w:val="auto"/>
                <w:w w:val="99"/>
              </w:rPr>
              <w:t>$</w:t>
            </w:r>
            <w:r>
              <w:rPr>
                <w:rFonts w:ascii="Verdana" w:cs="Verdana" w:eastAsia="Verdana" w:hAnsi="Verdana"/>
                <w:sz w:val="18"/>
                <w:szCs w:val="18"/>
                <w:color w:val="auto"/>
                <w:w w:val="99"/>
              </w:rPr>
              <w:t>1,661,232</w:t>
            </w:r>
          </w:p>
        </w:tc>
        <w:tc>
          <w:tcPr>
            <w:tcW w:w="40" w:type="dxa"/>
            <w:vAlign w:val="bottom"/>
            <w:shd w:val="clear" w:color="auto" w:fill="E0E7ED"/>
          </w:tcPr>
          <w:p>
            <w:pPr>
              <w:spacing w:after="0"/>
              <w:rPr>
                <w:sz w:val="19"/>
                <w:szCs w:val="19"/>
                <w:color w:val="auto"/>
              </w:rPr>
            </w:pPr>
          </w:p>
        </w:tc>
        <w:tc>
          <w:tcPr>
            <w:tcW w:w="40" w:type="dxa"/>
            <w:vAlign w:val="bottom"/>
            <w:shd w:val="clear" w:color="auto" w:fill="E0E7ED"/>
          </w:tcPr>
          <w:p>
            <w:pPr>
              <w:spacing w:after="0"/>
              <w:rPr>
                <w:sz w:val="19"/>
                <w:szCs w:val="19"/>
                <w:color w:val="auto"/>
              </w:rPr>
            </w:pPr>
          </w:p>
        </w:tc>
        <w:tc>
          <w:tcPr>
            <w:tcW w:w="1120" w:type="dxa"/>
            <w:vAlign w:val="bottom"/>
            <w:gridSpan w:val="3"/>
            <w:vMerge w:val="restart"/>
            <w:shd w:val="clear" w:color="auto" w:fill="E0E7ED"/>
          </w:tcPr>
          <w:p>
            <w:pPr>
              <w:jc w:val="right"/>
              <w:spacing w:after="0"/>
              <w:rPr>
                <w:sz w:val="20"/>
                <w:szCs w:val="20"/>
                <w:color w:val="auto"/>
              </w:rPr>
            </w:pPr>
            <w:r>
              <w:rPr>
                <w:rFonts w:ascii="Verdana" w:cs="Verdana" w:eastAsia="Verdana" w:hAnsi="Verdana"/>
                <w:sz w:val="18"/>
                <w:szCs w:val="18"/>
                <w:color w:val="auto"/>
                <w:w w:val="96"/>
              </w:rPr>
              <w:t>$ (248,141)</w:t>
            </w:r>
          </w:p>
        </w:tc>
        <w:tc>
          <w:tcPr>
            <w:tcW w:w="40" w:type="dxa"/>
            <w:vAlign w:val="bottom"/>
            <w:shd w:val="clear" w:color="auto" w:fill="E0E7ED"/>
          </w:tcPr>
          <w:p>
            <w:pPr>
              <w:spacing w:after="0"/>
              <w:rPr>
                <w:sz w:val="19"/>
                <w:szCs w:val="19"/>
                <w:color w:val="auto"/>
              </w:rPr>
            </w:pPr>
          </w:p>
        </w:tc>
        <w:tc>
          <w:tcPr>
            <w:tcW w:w="40" w:type="dxa"/>
            <w:vAlign w:val="bottom"/>
            <w:shd w:val="clear" w:color="auto" w:fill="E0E7ED"/>
          </w:tcPr>
          <w:p>
            <w:pPr>
              <w:spacing w:after="0"/>
              <w:rPr>
                <w:sz w:val="19"/>
                <w:szCs w:val="19"/>
                <w:color w:val="auto"/>
              </w:rPr>
            </w:pPr>
          </w:p>
        </w:tc>
        <w:tc>
          <w:tcPr>
            <w:tcW w:w="1160" w:type="dxa"/>
            <w:vAlign w:val="bottom"/>
            <w:gridSpan w:val="3"/>
            <w:vMerge w:val="restart"/>
            <w:shd w:val="clear" w:color="auto" w:fill="E0E7ED"/>
          </w:tcPr>
          <w:p>
            <w:pPr>
              <w:jc w:val="right"/>
              <w:ind w:right="21"/>
              <w:spacing w:after="0"/>
              <w:rPr>
                <w:sz w:val="20"/>
                <w:szCs w:val="20"/>
                <w:color w:val="auto"/>
              </w:rPr>
            </w:pPr>
            <w:r>
              <w:rPr>
                <w:rFonts w:ascii="Verdana" w:cs="Verdana" w:eastAsia="Verdana" w:hAnsi="Verdana"/>
                <w:sz w:val="18"/>
                <w:szCs w:val="18"/>
                <w:u w:val="single" w:color="auto"/>
                <w:color w:val="auto"/>
                <w:w w:val="99"/>
              </w:rPr>
              <w:t>$</w:t>
            </w:r>
            <w:r>
              <w:rPr>
                <w:rFonts w:ascii="Verdana" w:cs="Verdana" w:eastAsia="Verdana" w:hAnsi="Verdana"/>
                <w:sz w:val="18"/>
                <w:szCs w:val="18"/>
                <w:color w:val="auto"/>
                <w:w w:val="99"/>
              </w:rPr>
              <w:t>1,674,234</w:t>
            </w:r>
          </w:p>
        </w:tc>
        <w:tc>
          <w:tcPr>
            <w:tcW w:w="80" w:type="dxa"/>
            <w:vAlign w:val="bottom"/>
            <w:shd w:val="clear" w:color="auto" w:fill="E0E7ED"/>
          </w:tcPr>
          <w:p>
            <w:pPr>
              <w:spacing w:after="0"/>
              <w:rPr>
                <w:sz w:val="19"/>
                <w:szCs w:val="19"/>
                <w:color w:val="auto"/>
              </w:rPr>
            </w:pPr>
          </w:p>
        </w:tc>
        <w:tc>
          <w:tcPr>
            <w:tcW w:w="1120" w:type="dxa"/>
            <w:vAlign w:val="bottom"/>
            <w:gridSpan w:val="2"/>
            <w:vMerge w:val="restart"/>
            <w:shd w:val="clear" w:color="auto" w:fill="E0E7ED"/>
          </w:tcPr>
          <w:p>
            <w:pPr>
              <w:jc w:val="right"/>
              <w:spacing w:after="0"/>
              <w:rPr>
                <w:sz w:val="20"/>
                <w:szCs w:val="20"/>
                <w:color w:val="auto"/>
              </w:rPr>
            </w:pPr>
            <w:r>
              <w:rPr>
                <w:rFonts w:ascii="Verdana" w:cs="Verdana" w:eastAsia="Verdana" w:hAnsi="Verdana"/>
                <w:sz w:val="18"/>
                <w:szCs w:val="18"/>
                <w:color w:val="auto"/>
                <w:w w:val="98"/>
              </w:rPr>
              <w:t>$ (248,312)</w:t>
            </w:r>
          </w:p>
        </w:tc>
        <w:tc>
          <w:tcPr>
            <w:tcW w:w="0" w:type="dxa"/>
            <w:vAlign w:val="bottom"/>
          </w:tcPr>
          <w:p>
            <w:pPr>
              <w:spacing w:after="0"/>
              <w:rPr>
                <w:sz w:val="1"/>
                <w:szCs w:val="1"/>
                <w:color w:val="auto"/>
              </w:rPr>
            </w:pPr>
          </w:p>
        </w:tc>
      </w:tr>
      <w:tr>
        <w:trPr>
          <w:trHeight w:val="241"/>
        </w:trPr>
        <w:tc>
          <w:tcPr>
            <w:tcW w:w="40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unrealized losses</w:t>
            </w:r>
          </w:p>
        </w:tc>
        <w:tc>
          <w:tcPr>
            <w:tcW w:w="240" w:type="dxa"/>
            <w:vAlign w:val="bottom"/>
            <w:tcBorders>
              <w:bottom w:val="single" w:sz="8" w:color="auto"/>
            </w:tcBorders>
            <w:vMerge w:val="continue"/>
            <w:shd w:val="clear" w:color="auto" w:fill="E0E7ED"/>
          </w:tcPr>
          <w:p>
            <w:pPr>
              <w:spacing w:after="0"/>
              <w:rPr>
                <w:sz w:val="20"/>
                <w:szCs w:val="20"/>
                <w:color w:val="auto"/>
              </w:rPr>
            </w:pPr>
          </w:p>
        </w:tc>
        <w:tc>
          <w:tcPr>
            <w:tcW w:w="86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vMerge w:val="continue"/>
            <w:shd w:val="clear" w:color="auto" w:fill="E0E7ED"/>
          </w:tcPr>
          <w:p>
            <w:pPr>
              <w:spacing w:after="0"/>
              <w:rPr>
                <w:sz w:val="20"/>
                <w:szCs w:val="20"/>
                <w:color w:val="auto"/>
              </w:rPr>
            </w:pPr>
          </w:p>
        </w:tc>
        <w:tc>
          <w:tcPr>
            <w:tcW w:w="94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160" w:type="dxa"/>
            <w:vAlign w:val="bottom"/>
            <w:tcBorders>
              <w:bottom w:val="single" w:sz="8" w:color="auto"/>
            </w:tcBorders>
            <w:gridSpan w:val="3"/>
            <w:vMerge w:val="continue"/>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1120" w:type="dxa"/>
            <w:vAlign w:val="bottom"/>
            <w:tcBorders>
              <w:bottom w:val="single" w:sz="8" w:color="auto"/>
            </w:tcBorders>
            <w:gridSpan w:val="3"/>
            <w:vMerge w:val="continue"/>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1160" w:type="dxa"/>
            <w:vAlign w:val="bottom"/>
            <w:tcBorders>
              <w:bottom w:val="single" w:sz="8" w:color="auto"/>
            </w:tcBorders>
            <w:gridSpan w:val="3"/>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120" w:type="dxa"/>
            <w:vAlign w:val="bottom"/>
            <w:tcBorders>
              <w:bottom w:val="single" w:sz="8" w:color="auto"/>
            </w:tcBorders>
            <w:gridSpan w:val="2"/>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8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bottom w:val="single" w:sz="8" w:color="auto"/>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bottom w:val="single" w:sz="8" w:color="auto"/>
            </w:tcBorders>
          </w:tcPr>
          <w:p>
            <w:pPr>
              <w:spacing w:after="0" w:line="20" w:lineRule="exact"/>
              <w:rPr>
                <w:sz w:val="1"/>
                <w:szCs w:val="1"/>
                <w:color w:val="auto"/>
              </w:rPr>
            </w:pPr>
          </w:p>
        </w:tc>
        <w:tc>
          <w:tcPr>
            <w:tcW w:w="1080" w:type="dxa"/>
            <w:vAlign w:val="bottom"/>
            <w:tcBorders>
              <w:top w:val="single" w:sz="8" w:color="E0E7ED"/>
              <w:bottom w:val="single" w:sz="8" w:color="auto"/>
            </w:tcBorders>
            <w:gridSpan w:val="2"/>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bottom w:val="single" w:sz="8" w:color="auto"/>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8"/>
          </w:tcPr>
          <w:p>
            <w:pPr>
              <w:ind w:left="300"/>
              <w:spacing w:after="0"/>
              <w:rPr>
                <w:sz w:val="20"/>
                <w:szCs w:val="20"/>
                <w:color w:val="auto"/>
              </w:rPr>
            </w:pPr>
            <w:r>
              <w:rPr>
                <w:rFonts w:ascii="Verdana" w:cs="Verdana" w:eastAsia="Verdana" w:hAnsi="Verdana"/>
                <w:sz w:val="13"/>
                <w:szCs w:val="13"/>
                <w:b w:val="1"/>
                <w:bCs w:val="1"/>
                <w:color w:val="auto"/>
              </w:rPr>
              <w:t>12 months or more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ind w:left="240"/>
              <w:spacing w:after="0" w:line="122" w:lineRule="exact"/>
              <w:rPr>
                <w:sz w:val="20"/>
                <w:szCs w:val="20"/>
                <w:color w:val="auto"/>
              </w:rPr>
            </w:pPr>
            <w:r>
              <w:rPr>
                <w:rFonts w:ascii="Verdana" w:cs="Verdana" w:eastAsia="Verdana" w:hAnsi="Verdana"/>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9"/>
              </w:rPr>
              <w:t>Fair</w:t>
            </w:r>
          </w:p>
        </w:tc>
        <w:tc>
          <w:tcPr>
            <w:tcW w:w="1120" w:type="dxa"/>
            <w:vAlign w:val="bottom"/>
            <w:tcBorders>
              <w:top w:val="single" w:sz="8" w:color="auto"/>
            </w:tcBorders>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ind w:left="180"/>
              <w:spacing w:after="0"/>
              <w:rPr>
                <w:sz w:val="20"/>
                <w:szCs w:val="20"/>
                <w:color w:val="auto"/>
              </w:rPr>
            </w:pPr>
            <w:r>
              <w:rPr>
                <w:rFonts w:ascii="Verdana" w:cs="Verdana" w:eastAsia="Verdana" w:hAnsi="Verdana"/>
                <w:sz w:val="13"/>
                <w:szCs w:val="13"/>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Verdana" w:cs="Verdana" w:eastAsia="Verdana" w:hAnsi="Verdana"/>
                <w:sz w:val="13"/>
                <w:szCs w:val="13"/>
                <w:b w:val="1"/>
                <w:bCs w:val="1"/>
                <w:color w:val="auto"/>
                <w:w w:val="97"/>
              </w:rPr>
              <w:t>Losses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40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40" w:type="dxa"/>
            <w:vAlign w:val="bottom"/>
            <w:tcBorders>
              <w:top w:val="single" w:sz="8" w:color="E0E7ED"/>
            </w:tcBorders>
            <w:shd w:val="clear" w:color="auto" w:fill="E0E7ED"/>
          </w:tcPr>
          <w:p>
            <w:pPr>
              <w:spacing w:after="0"/>
              <w:rPr>
                <w:sz w:val="22"/>
                <w:szCs w:val="22"/>
                <w:color w:val="auto"/>
              </w:rPr>
            </w:pPr>
          </w:p>
        </w:tc>
        <w:tc>
          <w:tcPr>
            <w:tcW w:w="86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E0E7ED"/>
            </w:tcBorders>
            <w:shd w:val="clear" w:color="auto" w:fill="E0E7ED"/>
          </w:tcPr>
          <w:p>
            <w:pPr>
              <w:spacing w:after="0"/>
              <w:rPr>
                <w:sz w:val="22"/>
                <w:szCs w:val="22"/>
                <w:color w:val="auto"/>
              </w:rPr>
            </w:pPr>
          </w:p>
        </w:tc>
        <w:tc>
          <w:tcPr>
            <w:tcW w:w="94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00" w:type="dxa"/>
            <w:vAlign w:val="bottom"/>
          </w:tcPr>
          <w:p>
            <w:pPr>
              <w:ind w:left="100"/>
              <w:spacing w:after="0"/>
              <w:rPr>
                <w:sz w:val="20"/>
                <w:szCs w:val="20"/>
                <w:color w:val="auto"/>
              </w:rPr>
            </w:pPr>
            <w:r>
              <w:rPr>
                <w:rFonts w:ascii="Verdana" w:cs="Verdana" w:eastAsia="Verdana" w:hAnsi="Verdana"/>
                <w:sz w:val="18"/>
                <w:szCs w:val="18"/>
                <w:color w:val="auto"/>
              </w:rPr>
              <w:t>350,356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gridSpan w:val="2"/>
          </w:tcPr>
          <w:p>
            <w:pPr>
              <w:jc w:val="right"/>
              <w:ind w:right="20"/>
              <w:spacing w:after="0"/>
              <w:rPr>
                <w:sz w:val="20"/>
                <w:szCs w:val="20"/>
                <w:color w:val="auto"/>
              </w:rPr>
            </w:pPr>
            <w:r>
              <w:rPr>
                <w:rFonts w:ascii="Verdana" w:cs="Verdana" w:eastAsia="Verdana" w:hAnsi="Verdana"/>
                <w:sz w:val="18"/>
                <w:szCs w:val="18"/>
                <w:color w:val="auto"/>
              </w:rPr>
              <w:t>(74,590)</w:t>
            </w:r>
          </w:p>
        </w:tc>
        <w:tc>
          <w:tcPr>
            <w:tcW w:w="4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350,356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(74,590)</w:t>
            </w:r>
          </w:p>
        </w:tc>
        <w:tc>
          <w:tcPr>
            <w:tcW w:w="0" w:type="dxa"/>
            <w:vAlign w:val="bottom"/>
          </w:tcPr>
          <w:p>
            <w:pPr>
              <w:spacing w:after="0"/>
              <w:rPr>
                <w:sz w:val="1"/>
                <w:szCs w:val="1"/>
                <w:color w:val="auto"/>
              </w:rPr>
            </w:pPr>
          </w:p>
        </w:tc>
      </w:tr>
      <w:tr>
        <w:trPr>
          <w:trHeight w:val="270"/>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40" w:type="dxa"/>
            <w:vAlign w:val="bottom"/>
            <w:shd w:val="clear" w:color="auto" w:fill="E0E7ED"/>
          </w:tcPr>
          <w:p>
            <w:pPr>
              <w:spacing w:after="0"/>
              <w:rPr>
                <w:sz w:val="23"/>
                <w:szCs w:val="23"/>
                <w:color w:val="auto"/>
              </w:rPr>
            </w:pPr>
          </w:p>
        </w:tc>
        <w:tc>
          <w:tcPr>
            <w:tcW w:w="8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9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80" w:type="dxa"/>
            <w:vAlign w:val="bottom"/>
            <w:tcBorders>
              <w:bottom w:val="single" w:sz="8" w:color="auto"/>
            </w:tcBorders>
            <w:shd w:val="clear" w:color="auto" w:fill="E0E7ED"/>
          </w:tcPr>
          <w:p>
            <w:pPr>
              <w:spacing w:after="0"/>
              <w:rPr>
                <w:sz w:val="23"/>
                <w:szCs w:val="23"/>
                <w:color w:val="auto"/>
              </w:rPr>
            </w:pPr>
          </w:p>
        </w:tc>
        <w:tc>
          <w:tcPr>
            <w:tcW w:w="900" w:type="dxa"/>
            <w:vAlign w:val="bottom"/>
            <w:tcBorders>
              <w:bottom w:val="single" w:sz="8" w:color="auto"/>
            </w:tcBorders>
            <w:shd w:val="clear" w:color="auto" w:fill="E0E7ED"/>
          </w:tcPr>
          <w:p>
            <w:pPr>
              <w:ind w:left="100"/>
              <w:spacing w:after="0"/>
              <w:rPr>
                <w:sz w:val="20"/>
                <w:szCs w:val="20"/>
                <w:color w:val="auto"/>
              </w:rPr>
            </w:pPr>
            <w:r>
              <w:rPr>
                <w:rFonts w:ascii="Verdana" w:cs="Verdana" w:eastAsia="Verdana" w:hAnsi="Verdana"/>
                <w:sz w:val="18"/>
                <w:szCs w:val="18"/>
                <w:color w:val="auto"/>
              </w:rPr>
              <w:t>362,675</w:t>
            </w:r>
          </w:p>
        </w:tc>
        <w:tc>
          <w:tcPr>
            <w:tcW w:w="40" w:type="dxa"/>
            <w:vAlign w:val="bottom"/>
            <w:tcBorders>
              <w:bottom w:val="single" w:sz="8" w:color="auto"/>
            </w:tcBorders>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980" w:type="dxa"/>
            <w:vAlign w:val="bottom"/>
            <w:tcBorders>
              <w:bottom w:val="single" w:sz="8" w:color="auto"/>
            </w:tcBorders>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(74,597)</w:t>
            </w:r>
          </w:p>
        </w:tc>
        <w:tc>
          <w:tcPr>
            <w:tcW w:w="40" w:type="dxa"/>
            <w:vAlign w:val="bottom"/>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92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362,675</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(74,597)</w:t>
            </w:r>
          </w:p>
        </w:tc>
        <w:tc>
          <w:tcPr>
            <w:tcW w:w="0" w:type="dxa"/>
            <w:vAlign w:val="bottom"/>
          </w:tcPr>
          <w:p>
            <w:pPr>
              <w:spacing w:after="0"/>
              <w:rPr>
                <w:sz w:val="1"/>
                <w:szCs w:val="1"/>
                <w:color w:val="auto"/>
              </w:rPr>
            </w:pPr>
          </w:p>
        </w:tc>
      </w:tr>
      <w:tr>
        <w:trPr>
          <w:trHeight w:val="270"/>
        </w:trPr>
        <w:tc>
          <w:tcPr>
            <w:tcW w:w="6440" w:type="dxa"/>
            <w:vAlign w:val="bottom"/>
            <w:gridSpan w:val="7"/>
          </w:tcPr>
          <w:p>
            <w:pPr>
              <w:ind w:left="20"/>
              <w:spacing w:after="0"/>
              <w:rPr>
                <w:sz w:val="20"/>
                <w:szCs w:val="20"/>
                <w:color w:val="auto"/>
              </w:rPr>
            </w:pPr>
            <w:r>
              <w:rPr>
                <w:rFonts w:ascii="Verdana" w:cs="Verdana" w:eastAsia="Verdana" w:hAnsi="Verdana"/>
                <w:sz w:val="18"/>
                <w:szCs w:val="18"/>
                <w:color w:val="auto"/>
              </w:rPr>
              <w:t>Debt securities held to maturity with gross unrecognized losses</w:t>
            </w:r>
          </w:p>
        </w:tc>
        <w:tc>
          <w:tcPr>
            <w:tcW w:w="26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00" w:type="dxa"/>
            <w:vAlign w:val="bottom"/>
          </w:tcPr>
          <w:p>
            <w:pPr>
              <w:ind w:left="100"/>
              <w:spacing w:after="0"/>
              <w:rPr>
                <w:sz w:val="20"/>
                <w:szCs w:val="20"/>
                <w:color w:val="auto"/>
              </w:rPr>
            </w:pPr>
            <w:r>
              <w:rPr>
                <w:rFonts w:ascii="Verdana" w:cs="Verdana" w:eastAsia="Verdana" w:hAnsi="Verdana"/>
                <w:sz w:val="18"/>
                <w:szCs w:val="18"/>
                <w:color w:val="auto"/>
              </w:rPr>
              <w:t>713,031</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gridSpan w:val="4"/>
          </w:tcPr>
          <w:p>
            <w:pPr>
              <w:jc w:val="right"/>
              <w:ind w:right="20"/>
              <w:spacing w:after="0"/>
              <w:rPr>
                <w:sz w:val="20"/>
                <w:szCs w:val="20"/>
                <w:color w:val="auto"/>
              </w:rPr>
            </w:pPr>
            <w:r>
              <w:rPr>
                <w:rFonts w:ascii="Verdana" w:cs="Verdana" w:eastAsia="Verdana" w:hAnsi="Verdana"/>
                <w:sz w:val="18"/>
                <w:szCs w:val="18"/>
                <w:color w:val="auto"/>
              </w:rPr>
              <w:t>$ (149,187)</w:t>
            </w:r>
          </w:p>
        </w:tc>
        <w:tc>
          <w:tcPr>
            <w:tcW w:w="4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713,031</w:t>
            </w:r>
          </w:p>
        </w:tc>
        <w:tc>
          <w:tcPr>
            <w:tcW w:w="8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Verdana" w:cs="Verdana" w:eastAsia="Verdana" w:hAnsi="Verdana"/>
                <w:sz w:val="18"/>
                <w:szCs w:val="18"/>
                <w:color w:val="auto"/>
                <w:w w:val="98"/>
              </w:rPr>
              <w:t>$ (149,187)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vMerge w:val="restart"/>
          </w:tcPr>
          <w:p>
            <w:pPr>
              <w:jc w:val="right"/>
              <w:ind w:right="535"/>
              <w:spacing w:after="0"/>
              <w:rPr>
                <w:sz w:val="20"/>
                <w:szCs w:val="20"/>
                <w:color w:val="auto"/>
              </w:rPr>
            </w:pPr>
            <w:r>
              <w:rPr>
                <w:rFonts w:ascii="Verdana" w:cs="Verdana" w:eastAsia="Verdana" w:hAnsi="Verdana"/>
                <w:sz w:val="18"/>
                <w:szCs w:val="18"/>
                <w:color w:val="auto"/>
              </w:rPr>
              <w:t>18</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8" w:name="page19"/>
    <w:bookmarkEnd w:id="1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8"/>
          </w:tcPr>
          <w:p>
            <w:pPr>
              <w:jc w:val="center"/>
              <w:ind w:right="240"/>
              <w:spacing w:after="0"/>
              <w:rPr>
                <w:sz w:val="20"/>
                <w:szCs w:val="20"/>
                <w:color w:val="auto"/>
              </w:rPr>
            </w:pPr>
            <w:r>
              <w:rPr>
                <w:rFonts w:ascii="Verdana" w:cs="Verdana" w:eastAsia="Verdana" w:hAnsi="Verdana"/>
                <w:sz w:val="13"/>
                <w:szCs w:val="13"/>
                <w:b w:val="1"/>
                <w:bCs w:val="1"/>
                <w:color w:val="auto"/>
                <w:w w:val="96"/>
              </w:rPr>
              <w:t>As of December 31, 2023</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ind w:left="160"/>
              <w:spacing w:after="0"/>
              <w:rPr>
                <w:sz w:val="20"/>
                <w:szCs w:val="20"/>
                <w:color w:val="auto"/>
              </w:rPr>
            </w:pPr>
            <w:r>
              <w:rPr>
                <w:rFonts w:ascii="Verdana" w:cs="Verdana" w:eastAsia="Verdana" w:hAnsi="Verdana"/>
                <w:sz w:val="13"/>
                <w:szCs w:val="13"/>
                <w:b w:val="1"/>
                <w:bCs w:val="1"/>
                <w:color w:val="auto"/>
              </w:rPr>
              <w:t>Less than 12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8"/>
          </w:tcPr>
          <w:p>
            <w:pPr>
              <w:ind w:left="240"/>
              <w:spacing w:after="0"/>
              <w:rPr>
                <w:sz w:val="20"/>
                <w:szCs w:val="20"/>
                <w:color w:val="auto"/>
              </w:rPr>
            </w:pPr>
            <w:r>
              <w:rPr>
                <w:rFonts w:ascii="Verdana" w:cs="Verdana" w:eastAsia="Verdana" w:hAnsi="Verdana"/>
                <w:sz w:val="13"/>
                <w:szCs w:val="13"/>
                <w:b w:val="1"/>
                <w:bCs w:val="1"/>
                <w:color w:val="auto"/>
              </w:rPr>
              <w:t>12 months or more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0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180"/>
              <w:spacing w:after="0" w:line="120" w:lineRule="exact"/>
              <w:rPr>
                <w:sz w:val="20"/>
                <w:szCs w:val="20"/>
                <w:color w:val="auto"/>
              </w:rPr>
            </w:pPr>
            <w:r>
              <w:rPr>
                <w:rFonts w:ascii="Verdana" w:cs="Verdana" w:eastAsia="Verdana" w:hAnsi="Verdana"/>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line="120" w:lineRule="exact"/>
              <w:rPr>
                <w:sz w:val="20"/>
                <w:szCs w:val="20"/>
                <w:color w:val="auto"/>
              </w:rPr>
            </w:pPr>
            <w:r>
              <w:rPr>
                <w:rFonts w:ascii="Verdana" w:cs="Verdana" w:eastAsia="Verdana" w:hAnsi="Verdana"/>
                <w:sz w:val="13"/>
                <w:szCs w:val="13"/>
                <w:b w:val="1"/>
                <w:bCs w:val="1"/>
                <w:color w:val="auto"/>
              </w:rPr>
              <w:t>Unrealized</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ind w:left="180"/>
              <w:spacing w:after="0" w:line="120" w:lineRule="exact"/>
              <w:rPr>
                <w:sz w:val="20"/>
                <w:szCs w:val="20"/>
                <w:color w:val="auto"/>
              </w:rPr>
            </w:pPr>
            <w:r>
              <w:rPr>
                <w:rFonts w:ascii="Verdana" w:cs="Verdana" w:eastAsia="Verdana" w:hAnsi="Verdana"/>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7"/>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20"/>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7"/>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Value</w:t>
            </w:r>
          </w:p>
        </w:tc>
        <w:tc>
          <w:tcPr>
            <w:tcW w:w="1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Verdana" w:cs="Verdana" w:eastAsia="Verdana" w:hAnsi="Verdana"/>
                <w:sz w:val="13"/>
                <w:szCs w:val="13"/>
                <w:b w:val="1"/>
                <w:bCs w:val="1"/>
                <w:color w:val="auto"/>
              </w:rPr>
              <w:t>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460"/>
              <w:spacing w:after="0"/>
              <w:rPr>
                <w:sz w:val="20"/>
                <w:szCs w:val="20"/>
                <w:color w:val="auto"/>
              </w:rPr>
            </w:pPr>
            <w:r>
              <w:rPr>
                <w:rFonts w:ascii="Verdana" w:cs="Verdana" w:eastAsia="Verdana" w:hAnsi="Verdana"/>
                <w:sz w:val="13"/>
                <w:szCs w:val="13"/>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Verdana" w:cs="Verdana" w:eastAsia="Verdana" w:hAnsi="Verdana"/>
                <w:sz w:val="13"/>
                <w:szCs w:val="13"/>
                <w:b w:val="1"/>
                <w:bCs w:val="1"/>
                <w:color w:val="auto"/>
                <w:w w:val="97"/>
              </w:rPr>
              <w:t>Losses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40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40" w:type="dxa"/>
            <w:vAlign w:val="bottom"/>
            <w:tcBorders>
              <w:top w:val="single" w:sz="8" w:color="auto"/>
            </w:tcBorders>
            <w:shd w:val="clear" w:color="auto" w:fill="E0E7ED"/>
          </w:tcPr>
          <w:p>
            <w:pPr>
              <w:spacing w:after="0"/>
              <w:rPr>
                <w:sz w:val="22"/>
                <w:szCs w:val="22"/>
                <w:color w:val="auto"/>
              </w:rPr>
            </w:pPr>
          </w:p>
        </w:tc>
        <w:tc>
          <w:tcPr>
            <w:tcW w:w="8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auto"/>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9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gridSpan w:val="2"/>
          </w:tcPr>
          <w:p>
            <w:pPr>
              <w:ind w:left="660"/>
              <w:spacing w:after="0"/>
              <w:rPr>
                <w:sz w:val="20"/>
                <w:szCs w:val="20"/>
                <w:color w:val="auto"/>
              </w:rPr>
            </w:pPr>
            <w:r>
              <w:rPr>
                <w:rFonts w:ascii="Verdana" w:cs="Verdana" w:eastAsia="Verdana" w:hAnsi="Verdana"/>
                <w:sz w:val="18"/>
                <w:szCs w:val="18"/>
                <w:color w:val="auto"/>
              </w:rPr>
              <w:t>—</w:t>
            </w:r>
          </w:p>
        </w:tc>
        <w:tc>
          <w:tcPr>
            <w:tcW w:w="260" w:type="dxa"/>
            <w:vAlign w:val="bottom"/>
            <w:gridSpan w:val="2"/>
          </w:tcPr>
          <w:p>
            <w:pPr>
              <w:jc w:val="right"/>
              <w:ind w:right="140"/>
              <w:spacing w:after="0"/>
              <w:rPr>
                <w:sz w:val="20"/>
                <w:szCs w:val="20"/>
                <w:color w:val="auto"/>
              </w:rPr>
            </w:pPr>
            <w:r>
              <w:rPr>
                <w:rFonts w:ascii="Verdana" w:cs="Verdana" w:eastAsia="Verdana" w:hAnsi="Verdana"/>
                <w:sz w:val="18"/>
                <w:szCs w:val="18"/>
                <w:color w:val="auto"/>
                <w:w w:val="86"/>
              </w:rPr>
              <w:t>$</w:t>
            </w:r>
          </w:p>
        </w:tc>
        <w:tc>
          <w:tcPr>
            <w:tcW w:w="900" w:type="dxa"/>
            <w:vAlign w:val="bottom"/>
          </w:tcPr>
          <w:p>
            <w:pPr>
              <w:jc w:val="right"/>
              <w:ind w:right="22"/>
              <w:spacing w:after="0"/>
              <w:rPr>
                <w:sz w:val="20"/>
                <w:szCs w:val="20"/>
                <w:color w:val="auto"/>
              </w:rPr>
            </w:pPr>
            <w:r>
              <w:rPr>
                <w:rFonts w:ascii="Verdana" w:cs="Verdana" w:eastAsia="Verdana" w:hAnsi="Verdana"/>
                <w:sz w:val="18"/>
                <w:szCs w:val="18"/>
                <w:color w:val="auto"/>
              </w:rPr>
              <w:t>15,946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Verdana" w:cs="Verdana" w:eastAsia="Verdana" w:hAnsi="Verdana"/>
                <w:sz w:val="18"/>
                <w:szCs w:val="18"/>
                <w:color w:val="auto"/>
                <w:w w:val="86"/>
              </w:rPr>
              <w:t>$</w:t>
            </w: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15,946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0" w:type="dxa"/>
            <w:vAlign w:val="bottom"/>
          </w:tcPr>
          <w:p>
            <w:pPr>
              <w:spacing w:after="0"/>
              <w:rPr>
                <w:sz w:val="1"/>
                <w:szCs w:val="1"/>
                <w:color w:val="auto"/>
              </w:rPr>
            </w:pPr>
          </w:p>
        </w:tc>
      </w:tr>
      <w:tr>
        <w:trPr>
          <w:trHeight w:val="244"/>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w:t>
            </w:r>
          </w:p>
        </w:tc>
        <w:tc>
          <w:tcPr>
            <w:tcW w:w="240" w:type="dxa"/>
            <w:vAlign w:val="bottom"/>
            <w:shd w:val="clear" w:color="auto" w:fill="E0E7ED"/>
          </w:tcPr>
          <w:p>
            <w:pPr>
              <w:spacing w:after="0"/>
              <w:rPr>
                <w:sz w:val="21"/>
                <w:szCs w:val="21"/>
                <w:color w:val="auto"/>
              </w:rPr>
            </w:pPr>
          </w:p>
        </w:tc>
        <w:tc>
          <w:tcPr>
            <w:tcW w:w="8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90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corporations and agencies</w:t>
            </w:r>
          </w:p>
        </w:tc>
        <w:tc>
          <w:tcPr>
            <w:tcW w:w="240" w:type="dxa"/>
            <w:vAlign w:val="bottom"/>
            <w:shd w:val="clear" w:color="auto" w:fill="E0E7ED"/>
          </w:tcPr>
          <w:p>
            <w:pPr>
              <w:spacing w:after="0"/>
              <w:rPr>
                <w:sz w:val="21"/>
                <w:szCs w:val="21"/>
                <w:color w:val="auto"/>
              </w:rPr>
            </w:pPr>
          </w:p>
        </w:tc>
        <w:tc>
          <w:tcPr>
            <w:tcW w:w="9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1"/>
                <w:szCs w:val="21"/>
                <w:color w:val="auto"/>
              </w:rPr>
            </w:pPr>
          </w:p>
        </w:tc>
        <w:tc>
          <w:tcPr>
            <w:tcW w:w="1020" w:type="dxa"/>
            <w:vAlign w:val="bottom"/>
            <w:gridSpan w:val="2"/>
            <w:shd w:val="clear" w:color="auto" w:fill="E0E7ED"/>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90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5,709</w:t>
            </w: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w:t>
            </w: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2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5,709</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w:t>
            </w:r>
          </w:p>
        </w:tc>
        <w:tc>
          <w:tcPr>
            <w:tcW w:w="0" w:type="dxa"/>
            <w:vAlign w:val="bottom"/>
          </w:tcPr>
          <w:p>
            <w:pPr>
              <w:spacing w:after="0"/>
              <w:rPr>
                <w:sz w:val="1"/>
                <w:szCs w:val="1"/>
                <w:color w:val="auto"/>
              </w:rPr>
            </w:pPr>
          </w:p>
        </w:tc>
      </w:tr>
      <w:tr>
        <w:trPr>
          <w:trHeight w:val="238"/>
        </w:trPr>
        <w:tc>
          <w:tcPr>
            <w:tcW w:w="408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tcPr>
          <w:p>
            <w:pPr>
              <w:ind w:left="180"/>
              <w:spacing w:after="0"/>
              <w:rPr>
                <w:sz w:val="20"/>
                <w:szCs w:val="20"/>
                <w:color w:val="auto"/>
              </w:rPr>
            </w:pPr>
            <w:r>
              <w:rPr>
                <w:rFonts w:ascii="Verdana" w:cs="Verdana" w:eastAsia="Verdana" w:hAnsi="Verdana"/>
                <w:sz w:val="18"/>
                <w:szCs w:val="18"/>
                <w:color w:val="auto"/>
              </w:rPr>
              <w:t>subdivisions</w:t>
            </w:r>
          </w:p>
        </w:tc>
        <w:tc>
          <w:tcPr>
            <w:tcW w:w="2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Verdana" w:cs="Verdana" w:eastAsia="Verdana" w:hAnsi="Verdana"/>
                <w:sz w:val="18"/>
                <w:szCs w:val="18"/>
                <w:color w:val="auto"/>
              </w:rPr>
              <w:t>11,442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(54)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Verdana" w:cs="Verdana" w:eastAsia="Verdana" w:hAnsi="Verdana"/>
                <w:sz w:val="18"/>
                <w:szCs w:val="18"/>
                <w:color w:val="auto"/>
              </w:rPr>
              <w:t>146,797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(17,972)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158,239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(18,026)</w:t>
            </w:r>
          </w:p>
        </w:tc>
        <w:tc>
          <w:tcPr>
            <w:tcW w:w="0" w:type="dxa"/>
            <w:vAlign w:val="bottom"/>
          </w:tcPr>
          <w:p>
            <w:pPr>
              <w:spacing w:after="0"/>
              <w:rPr>
                <w:sz w:val="1"/>
                <w:szCs w:val="1"/>
                <w:color w:val="auto"/>
              </w:rPr>
            </w:pPr>
          </w:p>
        </w:tc>
      </w:tr>
      <w:tr>
        <w:trPr>
          <w:trHeight w:val="277"/>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240" w:type="dxa"/>
            <w:vAlign w:val="bottom"/>
            <w:shd w:val="clear" w:color="auto" w:fill="E0E7ED"/>
          </w:tcPr>
          <w:p>
            <w:pPr>
              <w:spacing w:after="0"/>
              <w:rPr>
                <w:sz w:val="24"/>
                <w:szCs w:val="24"/>
                <w:color w:val="auto"/>
              </w:rPr>
            </w:pPr>
          </w:p>
        </w:tc>
        <w:tc>
          <w:tcPr>
            <w:tcW w:w="9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4"/>
                <w:szCs w:val="24"/>
                <w:color w:val="auto"/>
              </w:rPr>
            </w:pPr>
          </w:p>
        </w:tc>
        <w:tc>
          <w:tcPr>
            <w:tcW w:w="1020" w:type="dxa"/>
            <w:vAlign w:val="bottom"/>
            <w:gridSpan w:val="2"/>
            <w:shd w:val="clear" w:color="auto" w:fill="E0E7ED"/>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90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468,223</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(1,823)</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92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468,223</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(1,823)</w:t>
            </w: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4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Verdana" w:cs="Verdana" w:eastAsia="Verdana" w:hAnsi="Verdana"/>
                <w:sz w:val="18"/>
                <w:szCs w:val="18"/>
                <w:color w:val="auto"/>
              </w:rPr>
              <w:t>103,509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(15,535)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103,509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(15,535)</w:t>
            </w:r>
          </w:p>
        </w:tc>
        <w:tc>
          <w:tcPr>
            <w:tcW w:w="0" w:type="dxa"/>
            <w:vAlign w:val="bottom"/>
          </w:tcPr>
          <w:p>
            <w:pPr>
              <w:spacing w:after="0"/>
              <w:rPr>
                <w:sz w:val="1"/>
                <w:szCs w:val="1"/>
                <w:color w:val="auto"/>
              </w:rPr>
            </w:pPr>
          </w:p>
        </w:tc>
      </w:tr>
      <w:tr>
        <w:trPr>
          <w:trHeight w:val="277"/>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40" w:type="dxa"/>
            <w:vAlign w:val="bottom"/>
            <w:shd w:val="clear" w:color="auto" w:fill="E0E7ED"/>
          </w:tcPr>
          <w:p>
            <w:pPr>
              <w:spacing w:after="0"/>
              <w:rPr>
                <w:sz w:val="24"/>
                <w:szCs w:val="24"/>
                <w:color w:val="auto"/>
              </w:rPr>
            </w:pPr>
          </w:p>
        </w:tc>
        <w:tc>
          <w:tcPr>
            <w:tcW w:w="86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141</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w:t>
            </w:r>
          </w:p>
        </w:tc>
        <w:tc>
          <w:tcPr>
            <w:tcW w:w="80" w:type="dxa"/>
            <w:vAlign w:val="bottom"/>
            <w:shd w:val="clear" w:color="auto" w:fill="E0E7ED"/>
          </w:tcPr>
          <w:p>
            <w:pPr>
              <w:spacing w:after="0"/>
              <w:rPr>
                <w:sz w:val="24"/>
                <w:szCs w:val="24"/>
                <w:color w:val="auto"/>
              </w:rPr>
            </w:pPr>
          </w:p>
        </w:tc>
        <w:tc>
          <w:tcPr>
            <w:tcW w:w="1160" w:type="dxa"/>
            <w:vAlign w:val="bottom"/>
            <w:gridSpan w:val="3"/>
            <w:shd w:val="clear" w:color="auto" w:fill="E0E7ED"/>
          </w:tcPr>
          <w:p>
            <w:pPr>
              <w:jc w:val="right"/>
              <w:ind w:right="22"/>
              <w:spacing w:after="0"/>
              <w:rPr>
                <w:sz w:val="20"/>
                <w:szCs w:val="20"/>
                <w:color w:val="auto"/>
              </w:rPr>
            </w:pPr>
            <w:r>
              <w:rPr>
                <w:rFonts w:ascii="Verdana" w:cs="Verdana" w:eastAsia="Verdana" w:hAnsi="Verdana"/>
                <w:sz w:val="18"/>
                <w:szCs w:val="18"/>
                <w:color w:val="auto"/>
              </w:rPr>
              <w:t>1,110,906</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95"/>
              </w:rPr>
              <w:t>(195,546)</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160" w:type="dxa"/>
            <w:vAlign w:val="bottom"/>
            <w:gridSpan w:val="3"/>
            <w:shd w:val="clear" w:color="auto" w:fill="E0E7ED"/>
          </w:tcPr>
          <w:p>
            <w:pPr>
              <w:jc w:val="right"/>
              <w:ind w:right="21"/>
              <w:spacing w:after="0"/>
              <w:rPr>
                <w:sz w:val="20"/>
                <w:szCs w:val="20"/>
                <w:color w:val="auto"/>
              </w:rPr>
            </w:pPr>
            <w:r>
              <w:rPr>
                <w:rFonts w:ascii="Verdana" w:cs="Verdana" w:eastAsia="Verdana" w:hAnsi="Verdana"/>
                <w:sz w:val="18"/>
                <w:szCs w:val="18"/>
                <w:color w:val="auto"/>
              </w:rPr>
              <w:t>1,111,047</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(195,547)</w:t>
            </w:r>
          </w:p>
        </w:tc>
        <w:tc>
          <w:tcPr>
            <w:tcW w:w="0" w:type="dxa"/>
            <w:vAlign w:val="bottom"/>
          </w:tcPr>
          <w:p>
            <w:pPr>
              <w:spacing w:after="0"/>
              <w:rPr>
                <w:sz w:val="1"/>
                <w:szCs w:val="1"/>
                <w:color w:val="auto"/>
              </w:rPr>
            </w:pPr>
          </w:p>
        </w:tc>
      </w:tr>
      <w:tr>
        <w:trPr>
          <w:trHeight w:val="263"/>
        </w:trPr>
        <w:tc>
          <w:tcPr>
            <w:tcW w:w="40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1,450</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w:t>
            </w:r>
          </w:p>
        </w:tc>
        <w:tc>
          <w:tcPr>
            <w:tcW w:w="80" w:type="dxa"/>
            <w:vAlign w:val="bottom"/>
            <w:tcBorders>
              <w:bottom w:val="single" w:sz="8" w:color="E0E7ED"/>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8"/>
                <w:szCs w:val="18"/>
                <w:color w:val="auto"/>
              </w:rPr>
              <w:t>198,694</w:t>
            </w: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(16,161)</w:t>
            </w: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200,144</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(16,171)</w:t>
            </w:r>
          </w:p>
        </w:tc>
        <w:tc>
          <w:tcPr>
            <w:tcW w:w="0" w:type="dxa"/>
            <w:vAlign w:val="bottom"/>
          </w:tcPr>
          <w:p>
            <w:pPr>
              <w:spacing w:after="0"/>
              <w:rPr>
                <w:sz w:val="1"/>
                <w:szCs w:val="1"/>
                <w:color w:val="auto"/>
              </w:rPr>
            </w:pPr>
          </w:p>
        </w:tc>
      </w:tr>
      <w:tr>
        <w:trPr>
          <w:trHeight w:val="224"/>
        </w:trPr>
        <w:tc>
          <w:tcPr>
            <w:tcW w:w="40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Debt securities available for sale with gross</w:t>
            </w:r>
          </w:p>
        </w:tc>
        <w:tc>
          <w:tcPr>
            <w:tcW w:w="24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86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8"/>
                <w:szCs w:val="18"/>
                <w:color w:val="auto"/>
              </w:rPr>
              <w:t>13,033</w:t>
            </w:r>
          </w:p>
        </w:tc>
        <w:tc>
          <w:tcPr>
            <w:tcW w:w="80" w:type="dxa"/>
            <w:vAlign w:val="bottom"/>
            <w:shd w:val="clear" w:color="auto" w:fill="E0E7ED"/>
          </w:tcPr>
          <w:p>
            <w:pPr>
              <w:spacing w:after="0"/>
              <w:rPr>
                <w:sz w:val="19"/>
                <w:szCs w:val="19"/>
                <w:color w:val="auto"/>
              </w:rPr>
            </w:pP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(65)</w:t>
            </w:r>
          </w:p>
        </w:tc>
        <w:tc>
          <w:tcPr>
            <w:tcW w:w="80" w:type="dxa"/>
            <w:vAlign w:val="bottom"/>
            <w:shd w:val="clear" w:color="auto" w:fill="E0E7ED"/>
          </w:tcPr>
          <w:p>
            <w:pPr>
              <w:spacing w:after="0"/>
              <w:rPr>
                <w:sz w:val="19"/>
                <w:szCs w:val="19"/>
                <w:color w:val="auto"/>
              </w:rPr>
            </w:pPr>
          </w:p>
        </w:tc>
        <w:tc>
          <w:tcPr>
            <w:tcW w:w="1160" w:type="dxa"/>
            <w:vAlign w:val="bottom"/>
            <w:gridSpan w:val="3"/>
            <w:vMerge w:val="restart"/>
            <w:shd w:val="clear" w:color="auto" w:fill="E0E7ED"/>
          </w:tcPr>
          <w:p>
            <w:pPr>
              <w:jc w:val="right"/>
              <w:ind w:right="22"/>
              <w:spacing w:after="0"/>
              <w:rPr>
                <w:sz w:val="20"/>
                <w:szCs w:val="20"/>
                <w:color w:val="auto"/>
              </w:rPr>
            </w:pPr>
            <w:r>
              <w:rPr>
                <w:rFonts w:ascii="Verdana" w:cs="Verdana" w:eastAsia="Verdana" w:hAnsi="Verdana"/>
                <w:sz w:val="18"/>
                <w:szCs w:val="18"/>
                <w:u w:val="single" w:color="auto"/>
                <w:color w:val="auto"/>
                <w:w w:val="99"/>
              </w:rPr>
              <w:t>$</w:t>
            </w:r>
            <w:r>
              <w:rPr>
                <w:rFonts w:ascii="Verdana" w:cs="Verdana" w:eastAsia="Verdana" w:hAnsi="Verdana"/>
                <w:sz w:val="18"/>
                <w:szCs w:val="18"/>
                <w:color w:val="auto"/>
                <w:w w:val="99"/>
              </w:rPr>
              <w:t>2,049,784</w:t>
            </w:r>
          </w:p>
        </w:tc>
        <w:tc>
          <w:tcPr>
            <w:tcW w:w="40" w:type="dxa"/>
            <w:vAlign w:val="bottom"/>
            <w:shd w:val="clear" w:color="auto" w:fill="E0E7ED"/>
          </w:tcPr>
          <w:p>
            <w:pPr>
              <w:spacing w:after="0"/>
              <w:rPr>
                <w:sz w:val="19"/>
                <w:szCs w:val="19"/>
                <w:color w:val="auto"/>
              </w:rPr>
            </w:pPr>
          </w:p>
        </w:tc>
        <w:tc>
          <w:tcPr>
            <w:tcW w:w="40" w:type="dxa"/>
            <w:vAlign w:val="bottom"/>
            <w:shd w:val="clear" w:color="auto" w:fill="E0E7ED"/>
          </w:tcPr>
          <w:p>
            <w:pPr>
              <w:spacing w:after="0"/>
              <w:rPr>
                <w:sz w:val="19"/>
                <w:szCs w:val="19"/>
                <w:color w:val="auto"/>
              </w:rPr>
            </w:pPr>
          </w:p>
        </w:tc>
        <w:tc>
          <w:tcPr>
            <w:tcW w:w="1120" w:type="dxa"/>
            <w:vAlign w:val="bottom"/>
            <w:gridSpan w:val="3"/>
            <w:vMerge w:val="restart"/>
            <w:shd w:val="clear" w:color="auto" w:fill="E0E7ED"/>
          </w:tcPr>
          <w:p>
            <w:pPr>
              <w:jc w:val="right"/>
              <w:spacing w:after="0"/>
              <w:rPr>
                <w:sz w:val="20"/>
                <w:szCs w:val="20"/>
                <w:color w:val="auto"/>
              </w:rPr>
            </w:pPr>
            <w:r>
              <w:rPr>
                <w:rFonts w:ascii="Verdana" w:cs="Verdana" w:eastAsia="Verdana" w:hAnsi="Verdana"/>
                <w:sz w:val="18"/>
                <w:szCs w:val="18"/>
                <w:color w:val="auto"/>
                <w:w w:val="96"/>
              </w:rPr>
              <w:t>$ (247,180)</w:t>
            </w:r>
          </w:p>
        </w:tc>
        <w:tc>
          <w:tcPr>
            <w:tcW w:w="40" w:type="dxa"/>
            <w:vAlign w:val="bottom"/>
            <w:shd w:val="clear" w:color="auto" w:fill="E0E7ED"/>
          </w:tcPr>
          <w:p>
            <w:pPr>
              <w:spacing w:after="0"/>
              <w:rPr>
                <w:sz w:val="19"/>
                <w:szCs w:val="19"/>
                <w:color w:val="auto"/>
              </w:rPr>
            </w:pPr>
          </w:p>
        </w:tc>
        <w:tc>
          <w:tcPr>
            <w:tcW w:w="40" w:type="dxa"/>
            <w:vAlign w:val="bottom"/>
            <w:shd w:val="clear" w:color="auto" w:fill="E0E7ED"/>
          </w:tcPr>
          <w:p>
            <w:pPr>
              <w:spacing w:after="0"/>
              <w:rPr>
                <w:sz w:val="19"/>
                <w:szCs w:val="19"/>
                <w:color w:val="auto"/>
              </w:rPr>
            </w:pPr>
          </w:p>
        </w:tc>
        <w:tc>
          <w:tcPr>
            <w:tcW w:w="1160" w:type="dxa"/>
            <w:vAlign w:val="bottom"/>
            <w:gridSpan w:val="3"/>
            <w:vMerge w:val="restart"/>
            <w:shd w:val="clear" w:color="auto" w:fill="E0E7ED"/>
          </w:tcPr>
          <w:p>
            <w:pPr>
              <w:jc w:val="right"/>
              <w:ind w:right="21"/>
              <w:spacing w:after="0"/>
              <w:rPr>
                <w:sz w:val="20"/>
                <w:szCs w:val="20"/>
                <w:color w:val="auto"/>
              </w:rPr>
            </w:pPr>
            <w:r>
              <w:rPr>
                <w:rFonts w:ascii="Verdana" w:cs="Verdana" w:eastAsia="Verdana" w:hAnsi="Verdana"/>
                <w:sz w:val="18"/>
                <w:szCs w:val="18"/>
                <w:u w:val="single" w:color="auto"/>
                <w:color w:val="auto"/>
                <w:w w:val="99"/>
              </w:rPr>
              <w:t>$</w:t>
            </w:r>
            <w:r>
              <w:rPr>
                <w:rFonts w:ascii="Verdana" w:cs="Verdana" w:eastAsia="Verdana" w:hAnsi="Verdana"/>
                <w:sz w:val="18"/>
                <w:szCs w:val="18"/>
                <w:color w:val="auto"/>
                <w:w w:val="99"/>
              </w:rPr>
              <w:t>2,062,817</w:t>
            </w:r>
          </w:p>
        </w:tc>
        <w:tc>
          <w:tcPr>
            <w:tcW w:w="80" w:type="dxa"/>
            <w:vAlign w:val="bottom"/>
            <w:shd w:val="clear" w:color="auto" w:fill="E0E7ED"/>
          </w:tcPr>
          <w:p>
            <w:pPr>
              <w:spacing w:after="0"/>
              <w:rPr>
                <w:sz w:val="19"/>
                <w:szCs w:val="19"/>
                <w:color w:val="auto"/>
              </w:rPr>
            </w:pPr>
          </w:p>
        </w:tc>
        <w:tc>
          <w:tcPr>
            <w:tcW w:w="1120" w:type="dxa"/>
            <w:vAlign w:val="bottom"/>
            <w:gridSpan w:val="2"/>
            <w:vMerge w:val="restart"/>
            <w:shd w:val="clear" w:color="auto" w:fill="E0E7ED"/>
          </w:tcPr>
          <w:p>
            <w:pPr>
              <w:jc w:val="right"/>
              <w:spacing w:after="0"/>
              <w:rPr>
                <w:sz w:val="20"/>
                <w:szCs w:val="20"/>
                <w:color w:val="auto"/>
              </w:rPr>
            </w:pPr>
            <w:r>
              <w:rPr>
                <w:rFonts w:ascii="Verdana" w:cs="Verdana" w:eastAsia="Verdana" w:hAnsi="Verdana"/>
                <w:sz w:val="18"/>
                <w:szCs w:val="18"/>
                <w:color w:val="auto"/>
                <w:w w:val="98"/>
              </w:rPr>
              <w:t>$ (247,245)</w:t>
            </w:r>
          </w:p>
        </w:tc>
        <w:tc>
          <w:tcPr>
            <w:tcW w:w="0" w:type="dxa"/>
            <w:vAlign w:val="bottom"/>
          </w:tcPr>
          <w:p>
            <w:pPr>
              <w:spacing w:after="0"/>
              <w:rPr>
                <w:sz w:val="1"/>
                <w:szCs w:val="1"/>
                <w:color w:val="auto"/>
              </w:rPr>
            </w:pPr>
          </w:p>
        </w:tc>
      </w:tr>
      <w:tr>
        <w:trPr>
          <w:trHeight w:val="241"/>
        </w:trPr>
        <w:tc>
          <w:tcPr>
            <w:tcW w:w="40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unrealized losses</w:t>
            </w:r>
          </w:p>
        </w:tc>
        <w:tc>
          <w:tcPr>
            <w:tcW w:w="240" w:type="dxa"/>
            <w:vAlign w:val="bottom"/>
            <w:tcBorders>
              <w:bottom w:val="single" w:sz="8" w:color="auto"/>
            </w:tcBorders>
            <w:vMerge w:val="continue"/>
            <w:shd w:val="clear" w:color="auto" w:fill="E0E7ED"/>
          </w:tcPr>
          <w:p>
            <w:pPr>
              <w:spacing w:after="0"/>
              <w:rPr>
                <w:sz w:val="20"/>
                <w:szCs w:val="20"/>
                <w:color w:val="auto"/>
              </w:rPr>
            </w:pPr>
          </w:p>
        </w:tc>
        <w:tc>
          <w:tcPr>
            <w:tcW w:w="86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vMerge w:val="continue"/>
            <w:shd w:val="clear" w:color="auto" w:fill="E0E7ED"/>
          </w:tcPr>
          <w:p>
            <w:pPr>
              <w:spacing w:after="0"/>
              <w:rPr>
                <w:sz w:val="20"/>
                <w:szCs w:val="20"/>
                <w:color w:val="auto"/>
              </w:rPr>
            </w:pPr>
          </w:p>
        </w:tc>
        <w:tc>
          <w:tcPr>
            <w:tcW w:w="94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160" w:type="dxa"/>
            <w:vAlign w:val="bottom"/>
            <w:tcBorders>
              <w:bottom w:val="single" w:sz="8" w:color="auto"/>
            </w:tcBorders>
            <w:gridSpan w:val="3"/>
            <w:vMerge w:val="continue"/>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1120" w:type="dxa"/>
            <w:vAlign w:val="bottom"/>
            <w:tcBorders>
              <w:bottom w:val="single" w:sz="8" w:color="auto"/>
            </w:tcBorders>
            <w:gridSpan w:val="3"/>
            <w:vMerge w:val="continue"/>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1160" w:type="dxa"/>
            <w:vAlign w:val="bottom"/>
            <w:tcBorders>
              <w:bottom w:val="single" w:sz="8" w:color="auto"/>
            </w:tcBorders>
            <w:gridSpan w:val="3"/>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120" w:type="dxa"/>
            <w:vAlign w:val="bottom"/>
            <w:tcBorders>
              <w:bottom w:val="single" w:sz="8" w:color="auto"/>
            </w:tcBorders>
            <w:gridSpan w:val="2"/>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8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bottom w:val="single" w:sz="8" w:color="auto"/>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bottom w:val="single" w:sz="8" w:color="auto"/>
            </w:tcBorders>
          </w:tcPr>
          <w:p>
            <w:pPr>
              <w:spacing w:after="0" w:line="20" w:lineRule="exact"/>
              <w:rPr>
                <w:sz w:val="1"/>
                <w:szCs w:val="1"/>
                <w:color w:val="auto"/>
              </w:rPr>
            </w:pPr>
          </w:p>
        </w:tc>
        <w:tc>
          <w:tcPr>
            <w:tcW w:w="1080" w:type="dxa"/>
            <w:vAlign w:val="bottom"/>
            <w:tcBorders>
              <w:top w:val="single" w:sz="8" w:color="E0E7ED"/>
              <w:bottom w:val="single" w:sz="8" w:color="auto"/>
            </w:tcBorders>
            <w:gridSpan w:val="2"/>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bottom w:val="single" w:sz="8" w:color="auto"/>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8"/>
          </w:tcPr>
          <w:p>
            <w:pPr>
              <w:jc w:val="center"/>
              <w:ind w:right="220"/>
              <w:spacing w:after="0"/>
              <w:rPr>
                <w:sz w:val="20"/>
                <w:szCs w:val="20"/>
                <w:color w:val="auto"/>
              </w:rPr>
            </w:pPr>
            <w:r>
              <w:rPr>
                <w:rFonts w:ascii="Verdana" w:cs="Verdana" w:eastAsia="Verdana" w:hAnsi="Verdana"/>
                <w:sz w:val="13"/>
                <w:szCs w:val="13"/>
                <w:b w:val="1"/>
                <w:bCs w:val="1"/>
                <w:color w:val="auto"/>
                <w:w w:val="97"/>
              </w:rPr>
              <w:t>12 months or more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right"/>
              <w:ind w:right="460"/>
              <w:spacing w:after="0" w:line="122" w:lineRule="exact"/>
              <w:rPr>
                <w:sz w:val="20"/>
                <w:szCs w:val="20"/>
                <w:color w:val="auto"/>
              </w:rPr>
            </w:pPr>
            <w:r>
              <w:rPr>
                <w:rFonts w:ascii="Verdana" w:cs="Verdana" w:eastAsia="Verdana" w:hAnsi="Verdana"/>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9"/>
              </w:rPr>
              <w:t>Fair</w:t>
            </w:r>
          </w:p>
        </w:tc>
        <w:tc>
          <w:tcPr>
            <w:tcW w:w="1120" w:type="dxa"/>
            <w:vAlign w:val="bottom"/>
            <w:tcBorders>
              <w:top w:val="single" w:sz="8" w:color="auto"/>
            </w:tcBorders>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ind w:left="180"/>
              <w:spacing w:after="0"/>
              <w:rPr>
                <w:sz w:val="20"/>
                <w:szCs w:val="20"/>
                <w:color w:val="auto"/>
              </w:rPr>
            </w:pPr>
            <w:r>
              <w:rPr>
                <w:rFonts w:ascii="Verdana" w:cs="Verdana" w:eastAsia="Verdana" w:hAnsi="Verdana"/>
                <w:sz w:val="13"/>
                <w:szCs w:val="13"/>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Verdana" w:cs="Verdana" w:eastAsia="Verdana" w:hAnsi="Verdana"/>
                <w:sz w:val="13"/>
                <w:szCs w:val="13"/>
                <w:b w:val="1"/>
                <w:bCs w:val="1"/>
                <w:color w:val="auto"/>
                <w:w w:val="97"/>
              </w:rPr>
              <w:t>Losses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40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40" w:type="dxa"/>
            <w:vAlign w:val="bottom"/>
            <w:tcBorders>
              <w:top w:val="single" w:sz="8" w:color="E0E7ED"/>
            </w:tcBorders>
            <w:shd w:val="clear" w:color="auto" w:fill="E0E7ED"/>
          </w:tcPr>
          <w:p>
            <w:pPr>
              <w:spacing w:after="0"/>
              <w:rPr>
                <w:sz w:val="22"/>
                <w:szCs w:val="22"/>
                <w:color w:val="auto"/>
              </w:rPr>
            </w:pPr>
          </w:p>
        </w:tc>
        <w:tc>
          <w:tcPr>
            <w:tcW w:w="86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E0E7ED"/>
            </w:tcBorders>
            <w:shd w:val="clear" w:color="auto" w:fill="E0E7ED"/>
          </w:tcPr>
          <w:p>
            <w:pPr>
              <w:spacing w:after="0"/>
              <w:rPr>
                <w:sz w:val="22"/>
                <w:szCs w:val="22"/>
                <w:color w:val="auto"/>
              </w:rPr>
            </w:pPr>
          </w:p>
        </w:tc>
        <w:tc>
          <w:tcPr>
            <w:tcW w:w="94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00" w:type="dxa"/>
            <w:vAlign w:val="bottom"/>
          </w:tcPr>
          <w:p>
            <w:pPr>
              <w:jc w:val="right"/>
              <w:spacing w:after="0"/>
              <w:rPr>
                <w:sz w:val="20"/>
                <w:szCs w:val="20"/>
                <w:color w:val="auto"/>
              </w:rPr>
            </w:pPr>
            <w:r>
              <w:rPr>
                <w:rFonts w:ascii="Verdana" w:cs="Verdana" w:eastAsia="Verdana" w:hAnsi="Verdana"/>
                <w:sz w:val="18"/>
                <w:szCs w:val="18"/>
                <w:color w:val="auto"/>
              </w:rPr>
              <w:t>357,526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gridSpan w:val="2"/>
          </w:tcPr>
          <w:p>
            <w:pPr>
              <w:jc w:val="right"/>
              <w:ind w:right="20"/>
              <w:spacing w:after="0"/>
              <w:rPr>
                <w:sz w:val="20"/>
                <w:szCs w:val="20"/>
                <w:color w:val="auto"/>
              </w:rPr>
            </w:pPr>
            <w:r>
              <w:rPr>
                <w:rFonts w:ascii="Verdana" w:cs="Verdana" w:eastAsia="Verdana" w:hAnsi="Verdana"/>
                <w:sz w:val="18"/>
                <w:szCs w:val="18"/>
                <w:color w:val="auto"/>
              </w:rPr>
              <w:t>(71,000)</w:t>
            </w:r>
          </w:p>
        </w:tc>
        <w:tc>
          <w:tcPr>
            <w:tcW w:w="4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357,526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(71,000)</w:t>
            </w:r>
          </w:p>
        </w:tc>
        <w:tc>
          <w:tcPr>
            <w:tcW w:w="0" w:type="dxa"/>
            <w:vAlign w:val="bottom"/>
          </w:tcPr>
          <w:p>
            <w:pPr>
              <w:spacing w:after="0"/>
              <w:rPr>
                <w:sz w:val="1"/>
                <w:szCs w:val="1"/>
                <w:color w:val="auto"/>
              </w:rPr>
            </w:pPr>
          </w:p>
        </w:tc>
      </w:tr>
      <w:tr>
        <w:trPr>
          <w:trHeight w:val="270"/>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40" w:type="dxa"/>
            <w:vAlign w:val="bottom"/>
            <w:shd w:val="clear" w:color="auto" w:fill="E0E7ED"/>
          </w:tcPr>
          <w:p>
            <w:pPr>
              <w:spacing w:after="0"/>
              <w:rPr>
                <w:sz w:val="23"/>
                <w:szCs w:val="23"/>
                <w:color w:val="auto"/>
              </w:rPr>
            </w:pPr>
          </w:p>
        </w:tc>
        <w:tc>
          <w:tcPr>
            <w:tcW w:w="8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9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80" w:type="dxa"/>
            <w:vAlign w:val="bottom"/>
            <w:tcBorders>
              <w:bottom w:val="single" w:sz="8" w:color="auto"/>
            </w:tcBorders>
            <w:shd w:val="clear" w:color="auto" w:fill="E0E7ED"/>
          </w:tcPr>
          <w:p>
            <w:pPr>
              <w:spacing w:after="0"/>
              <w:rPr>
                <w:sz w:val="23"/>
                <w:szCs w:val="23"/>
                <w:color w:val="auto"/>
              </w:rPr>
            </w:pP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372,871</w:t>
            </w:r>
          </w:p>
        </w:tc>
        <w:tc>
          <w:tcPr>
            <w:tcW w:w="40" w:type="dxa"/>
            <w:vAlign w:val="bottom"/>
            <w:tcBorders>
              <w:bottom w:val="single" w:sz="8" w:color="auto"/>
            </w:tcBorders>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980" w:type="dxa"/>
            <w:vAlign w:val="bottom"/>
            <w:tcBorders>
              <w:bottom w:val="single" w:sz="8" w:color="auto"/>
            </w:tcBorders>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(71,231)</w:t>
            </w:r>
          </w:p>
        </w:tc>
        <w:tc>
          <w:tcPr>
            <w:tcW w:w="40" w:type="dxa"/>
            <w:vAlign w:val="bottom"/>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92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372,871</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(71,231)</w:t>
            </w:r>
          </w:p>
        </w:tc>
        <w:tc>
          <w:tcPr>
            <w:tcW w:w="0" w:type="dxa"/>
            <w:vAlign w:val="bottom"/>
          </w:tcPr>
          <w:p>
            <w:pPr>
              <w:spacing w:after="0"/>
              <w:rPr>
                <w:sz w:val="1"/>
                <w:szCs w:val="1"/>
                <w:color w:val="auto"/>
              </w:rPr>
            </w:pPr>
          </w:p>
        </w:tc>
      </w:tr>
      <w:tr>
        <w:trPr>
          <w:trHeight w:val="270"/>
        </w:trPr>
        <w:tc>
          <w:tcPr>
            <w:tcW w:w="6440" w:type="dxa"/>
            <w:vAlign w:val="bottom"/>
            <w:gridSpan w:val="7"/>
          </w:tcPr>
          <w:p>
            <w:pPr>
              <w:ind w:left="20"/>
              <w:spacing w:after="0"/>
              <w:rPr>
                <w:sz w:val="20"/>
                <w:szCs w:val="20"/>
                <w:color w:val="auto"/>
              </w:rPr>
            </w:pPr>
            <w:r>
              <w:rPr>
                <w:rFonts w:ascii="Verdana" w:cs="Verdana" w:eastAsia="Verdana" w:hAnsi="Verdana"/>
                <w:sz w:val="18"/>
                <w:szCs w:val="18"/>
                <w:color w:val="auto"/>
              </w:rPr>
              <w:t>Debt securities held to maturity with gross unrecognized losses</w:t>
            </w:r>
          </w:p>
        </w:tc>
        <w:tc>
          <w:tcPr>
            <w:tcW w:w="26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00" w:type="dxa"/>
            <w:vAlign w:val="bottom"/>
          </w:tcPr>
          <w:p>
            <w:pPr>
              <w:jc w:val="right"/>
              <w:spacing w:after="0"/>
              <w:rPr>
                <w:sz w:val="20"/>
                <w:szCs w:val="20"/>
                <w:color w:val="auto"/>
              </w:rPr>
            </w:pPr>
            <w:r>
              <w:rPr>
                <w:rFonts w:ascii="Verdana" w:cs="Verdana" w:eastAsia="Verdana" w:hAnsi="Verdana"/>
                <w:sz w:val="18"/>
                <w:szCs w:val="18"/>
                <w:color w:val="auto"/>
              </w:rPr>
              <w:t>730,397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gridSpan w:val="4"/>
          </w:tcPr>
          <w:p>
            <w:pPr>
              <w:jc w:val="right"/>
              <w:ind w:right="20"/>
              <w:spacing w:after="0"/>
              <w:rPr>
                <w:sz w:val="20"/>
                <w:szCs w:val="20"/>
                <w:color w:val="auto"/>
              </w:rPr>
            </w:pPr>
            <w:r>
              <w:rPr>
                <w:rFonts w:ascii="Verdana" w:cs="Verdana" w:eastAsia="Verdana" w:hAnsi="Verdana"/>
                <w:sz w:val="18"/>
                <w:szCs w:val="18"/>
                <w:color w:val="auto"/>
              </w:rPr>
              <w:t>$ (142,231)</w:t>
            </w:r>
          </w:p>
        </w:tc>
        <w:tc>
          <w:tcPr>
            <w:tcW w:w="4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730,397</w:t>
            </w:r>
          </w:p>
        </w:tc>
        <w:tc>
          <w:tcPr>
            <w:tcW w:w="8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Verdana" w:cs="Verdana" w:eastAsia="Verdana" w:hAnsi="Verdana"/>
                <w:sz w:val="18"/>
                <w:szCs w:val="18"/>
                <w:color w:val="auto"/>
                <w:w w:val="98"/>
              </w:rPr>
              <w:t>$ (142,231)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9" w:name="page20"/>
    <w:bookmarkEnd w:id="19"/>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Additional information about debt securities in an unrealized or unrecognized loss position is presented in the tables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right="80"/>
              <w:spacing w:after="0"/>
              <w:rPr>
                <w:sz w:val="20"/>
                <w:szCs w:val="20"/>
                <w:color w:val="auto"/>
              </w:rPr>
            </w:pPr>
            <w:r>
              <w:rPr>
                <w:rFonts w:ascii="Verdana" w:cs="Verdana" w:eastAsia="Verdana" w:hAnsi="Verdana"/>
                <w:sz w:val="13"/>
                <w:szCs w:val="13"/>
                <w:b w:val="1"/>
                <w:bCs w:val="1"/>
                <w:color w:val="auto"/>
                <w:w w:val="97"/>
              </w:rPr>
              <w:t>As of March 31, 2024</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70"/>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115"/>
              <w:spacing w:after="0"/>
              <w:rPr>
                <w:sz w:val="20"/>
                <w:szCs w:val="20"/>
                <w:color w:val="auto"/>
              </w:rPr>
            </w:pPr>
            <w:r>
              <w:rPr>
                <w:rFonts w:ascii="Verdana" w:cs="Verdana" w:eastAsia="Verdana" w:hAnsi="Verdana"/>
                <w:sz w:val="13"/>
                <w:szCs w:val="13"/>
                <w:b w:val="1"/>
                <w:bCs w:val="1"/>
                <w:color w:val="auto"/>
                <w:w w:val="98"/>
              </w:rPr>
              <w:t>Available for Sale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6"/>
              </w:rPr>
              <w:t>Held to Maturity</w:t>
            </w:r>
          </w:p>
        </w:tc>
        <w:tc>
          <w:tcPr>
            <w:tcW w:w="300" w:type="dxa"/>
            <w:vAlign w:val="bottom"/>
          </w:tcPr>
          <w:p>
            <w:pPr>
              <w:spacing w:after="0"/>
              <w:rPr>
                <w:sz w:val="14"/>
                <w:szCs w:val="14"/>
                <w:color w:val="auto"/>
              </w:rPr>
            </w:pPr>
          </w:p>
        </w:tc>
        <w:tc>
          <w:tcPr>
            <w:tcW w:w="1380" w:type="dxa"/>
            <w:vAlign w:val="bottom"/>
          </w:tcPr>
          <w:p>
            <w:pPr>
              <w:jc w:val="right"/>
              <w:ind w:right="575"/>
              <w:spacing w:after="0"/>
              <w:rPr>
                <w:sz w:val="20"/>
                <w:szCs w:val="20"/>
                <w:color w:val="auto"/>
              </w:rPr>
            </w:pPr>
            <w:r>
              <w:rPr>
                <w:rFonts w:ascii="Verdana" w:cs="Verdana" w:eastAsia="Verdana" w:hAnsi="Verdana"/>
                <w:sz w:val="13"/>
                <w:szCs w:val="13"/>
                <w:b w:val="1"/>
                <w:bCs w:val="1"/>
                <w:color w:val="auto"/>
              </w:rPr>
              <w:t>Total</w:t>
            </w:r>
          </w:p>
        </w:tc>
      </w:tr>
      <w:tr>
        <w:trPr>
          <w:trHeight w:val="223"/>
        </w:trPr>
        <w:tc>
          <w:tcPr>
            <w:tcW w:w="60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with gross unrealized or unrecognized losses, fair</w:t>
            </w:r>
          </w:p>
        </w:tc>
        <w:tc>
          <w:tcPr>
            <w:tcW w:w="180" w:type="dxa"/>
            <w:vAlign w:val="bottom"/>
            <w:tcBorders>
              <w:top w:val="single" w:sz="8" w:color="auto"/>
            </w:tcBorders>
            <w:shd w:val="clear" w:color="auto" w:fill="E0E7ED"/>
          </w:tcPr>
          <w:p>
            <w:pPr>
              <w:spacing w:after="0"/>
              <w:rPr>
                <w:sz w:val="19"/>
                <w:szCs w:val="19"/>
                <w:color w:val="auto"/>
              </w:rPr>
            </w:pPr>
          </w:p>
        </w:tc>
        <w:tc>
          <w:tcPr>
            <w:tcW w:w="14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4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380" w:type="dxa"/>
            <w:vAlign w:val="bottom"/>
            <w:tcBorders>
              <w:top w:val="single" w:sz="8" w:color="auto"/>
            </w:tcBorders>
            <w:shd w:val="clear" w:color="auto" w:fill="E0E7ED"/>
          </w:tcPr>
          <w:p>
            <w:pPr>
              <w:spacing w:after="0"/>
              <w:rPr>
                <w:sz w:val="19"/>
                <w:szCs w:val="19"/>
                <w:color w:val="auto"/>
              </w:rPr>
            </w:pPr>
          </w:p>
        </w:tc>
      </w:tr>
      <w:tr>
        <w:trPr>
          <w:trHeight w:val="248"/>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value</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8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1,674,234</w:t>
            </w:r>
          </w:p>
        </w:tc>
        <w:tc>
          <w:tcPr>
            <w:tcW w:w="3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46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713,031</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2,387,265</w:t>
            </w:r>
          </w:p>
        </w:tc>
      </w:tr>
      <w:tr>
        <w:trPr>
          <w:trHeight w:val="263"/>
        </w:trPr>
        <w:tc>
          <w:tcPr>
            <w:tcW w:w="6060" w:type="dxa"/>
            <w:vAlign w:val="bottom"/>
          </w:tcPr>
          <w:p>
            <w:pPr>
              <w:ind w:left="20"/>
              <w:spacing w:after="0"/>
              <w:rPr>
                <w:sz w:val="20"/>
                <w:szCs w:val="20"/>
                <w:color w:val="auto"/>
              </w:rPr>
            </w:pPr>
            <w:r>
              <w:rPr>
                <w:rFonts w:ascii="Verdana" w:cs="Verdana" w:eastAsia="Verdana" w:hAnsi="Verdana"/>
                <w:sz w:val="18"/>
                <w:szCs w:val="18"/>
                <w:color w:val="auto"/>
              </w:rPr>
              <w:t>Gross unrealized or unrecognized losses on debt securities</w:t>
            </w:r>
          </w:p>
        </w:tc>
        <w:tc>
          <w:tcPr>
            <w:tcW w:w="180" w:type="dxa"/>
            <w:vAlign w:val="bottom"/>
          </w:tcPr>
          <w:p>
            <w:pPr>
              <w:spacing w:after="0"/>
              <w:rPr>
                <w:sz w:val="22"/>
                <w:szCs w:val="22"/>
                <w:color w:val="auto"/>
              </w:rPr>
            </w:pPr>
          </w:p>
        </w:tc>
        <w:tc>
          <w:tcPr>
            <w:tcW w:w="1480" w:type="dxa"/>
            <w:vAlign w:val="bottom"/>
          </w:tcPr>
          <w:p>
            <w:pPr>
              <w:jc w:val="right"/>
              <w:ind w:right="175"/>
              <w:spacing w:after="0"/>
              <w:rPr>
                <w:sz w:val="20"/>
                <w:szCs w:val="20"/>
                <w:color w:val="auto"/>
              </w:rPr>
            </w:pPr>
            <w:r>
              <w:rPr>
                <w:rFonts w:ascii="Verdana" w:cs="Verdana" w:eastAsia="Verdana" w:hAnsi="Verdana"/>
                <w:sz w:val="18"/>
                <w:szCs w:val="18"/>
                <w:color w:val="auto"/>
              </w:rPr>
              <w:t>248,312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195"/>
              <w:spacing w:after="0"/>
              <w:rPr>
                <w:sz w:val="20"/>
                <w:szCs w:val="20"/>
                <w:color w:val="auto"/>
              </w:rPr>
            </w:pPr>
            <w:r>
              <w:rPr>
                <w:rFonts w:ascii="Verdana" w:cs="Verdana" w:eastAsia="Verdana" w:hAnsi="Verdana"/>
                <w:sz w:val="18"/>
                <w:szCs w:val="18"/>
                <w:color w:val="auto"/>
              </w:rPr>
              <w:t>149,187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397,499</w:t>
            </w:r>
          </w:p>
        </w:tc>
      </w:tr>
      <w:tr>
        <w:trPr>
          <w:trHeight w:val="244"/>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Ratio of gross unrealized or unrecognized losses to debt securities</w:t>
            </w:r>
          </w:p>
        </w:tc>
        <w:tc>
          <w:tcPr>
            <w:tcW w:w="18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80" w:type="dxa"/>
            <w:vAlign w:val="bottom"/>
            <w:shd w:val="clear" w:color="auto" w:fill="E0E7ED"/>
          </w:tcPr>
          <w:p>
            <w:pPr>
              <w:spacing w:after="0"/>
              <w:rPr>
                <w:sz w:val="21"/>
                <w:szCs w:val="21"/>
                <w:color w:val="auto"/>
              </w:rPr>
            </w:pPr>
          </w:p>
        </w:tc>
      </w:tr>
      <w:tr>
        <w:trPr>
          <w:trHeight w:val="248"/>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with gross unrealized or unrecognized losses</w:t>
            </w:r>
          </w:p>
        </w:tc>
        <w:tc>
          <w:tcPr>
            <w:tcW w:w="180" w:type="dxa"/>
            <w:vAlign w:val="bottom"/>
            <w:shd w:val="clear" w:color="auto" w:fill="E0E7ED"/>
          </w:tcPr>
          <w:p>
            <w:pPr>
              <w:spacing w:after="0"/>
              <w:rPr>
                <w:sz w:val="21"/>
                <w:szCs w:val="21"/>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14.8 %</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20.9 %</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16.7 %</w:t>
            </w:r>
          </w:p>
        </w:tc>
      </w:tr>
      <w:tr>
        <w:trPr>
          <w:trHeight w:val="270"/>
        </w:trPr>
        <w:tc>
          <w:tcPr>
            <w:tcW w:w="6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Count of debt securities</w:t>
            </w:r>
          </w:p>
        </w:tc>
        <w:tc>
          <w:tcPr>
            <w:tcW w:w="180" w:type="dxa"/>
            <w:vAlign w:val="bottom"/>
            <w:shd w:val="clear" w:color="auto" w:fill="E0E7ED"/>
          </w:tcPr>
          <w:p>
            <w:pPr>
              <w:spacing w:after="0"/>
              <w:rPr>
                <w:sz w:val="23"/>
                <w:szCs w:val="23"/>
                <w:color w:val="auto"/>
              </w:rPr>
            </w:pPr>
          </w:p>
        </w:tc>
        <w:tc>
          <w:tcPr>
            <w:tcW w:w="148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708</w:t>
            </w: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6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55</w:t>
            </w: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3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763</w:t>
            </w:r>
          </w:p>
        </w:tc>
      </w:tr>
      <w:tr>
        <w:trPr>
          <w:trHeight w:val="238"/>
        </w:trPr>
        <w:tc>
          <w:tcPr>
            <w:tcW w:w="6060" w:type="dxa"/>
            <w:vAlign w:val="bottom"/>
          </w:tcPr>
          <w:p>
            <w:pPr>
              <w:ind w:left="20"/>
              <w:spacing w:after="0"/>
              <w:rPr>
                <w:sz w:val="20"/>
                <w:szCs w:val="20"/>
                <w:color w:val="auto"/>
              </w:rPr>
            </w:pPr>
            <w:r>
              <w:rPr>
                <w:rFonts w:ascii="Verdana" w:cs="Verdana" w:eastAsia="Verdana" w:hAnsi="Verdana"/>
                <w:sz w:val="18"/>
                <w:szCs w:val="18"/>
                <w:color w:val="auto"/>
              </w:rPr>
              <w:t>Count of debt securities in an unrealized or unrecognized loss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5"/>
        </w:trPr>
        <w:tc>
          <w:tcPr>
            <w:tcW w:w="6060" w:type="dxa"/>
            <w:vAlign w:val="bottom"/>
          </w:tcPr>
          <w:p>
            <w:pPr>
              <w:ind w:left="20"/>
              <w:spacing w:after="0"/>
              <w:rPr>
                <w:sz w:val="20"/>
                <w:szCs w:val="20"/>
                <w:color w:val="auto"/>
              </w:rPr>
            </w:pPr>
            <w:r>
              <w:rPr>
                <w:rFonts w:ascii="Verdana" w:cs="Verdana" w:eastAsia="Verdana" w:hAnsi="Verdana"/>
                <w:sz w:val="18"/>
                <w:szCs w:val="18"/>
                <w:color w:val="auto"/>
              </w:rPr>
              <w:t>position</w:t>
            </w:r>
          </w:p>
        </w:tc>
        <w:tc>
          <w:tcPr>
            <w:tcW w:w="180" w:type="dxa"/>
            <w:vAlign w:val="bottom"/>
          </w:tcPr>
          <w:p>
            <w:pPr>
              <w:spacing w:after="0"/>
              <w:rPr>
                <w:sz w:val="20"/>
                <w:szCs w:val="20"/>
                <w:color w:val="auto"/>
              </w:rPr>
            </w:pPr>
          </w:p>
        </w:tc>
        <w:tc>
          <w:tcPr>
            <w:tcW w:w="1480" w:type="dxa"/>
            <w:vAlign w:val="bottom"/>
          </w:tcPr>
          <w:p>
            <w:pPr>
              <w:jc w:val="right"/>
              <w:ind w:right="175"/>
              <w:spacing w:after="0"/>
              <w:rPr>
                <w:sz w:val="20"/>
                <w:szCs w:val="20"/>
                <w:color w:val="auto"/>
              </w:rPr>
            </w:pPr>
            <w:r>
              <w:rPr>
                <w:rFonts w:ascii="Verdana" w:cs="Verdana" w:eastAsia="Verdana" w:hAnsi="Verdana"/>
                <w:sz w:val="18"/>
                <w:szCs w:val="18"/>
                <w:color w:val="auto"/>
              </w:rPr>
              <w:t>654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95"/>
              <w:spacing w:after="0"/>
              <w:rPr>
                <w:sz w:val="20"/>
                <w:szCs w:val="20"/>
                <w:color w:val="auto"/>
              </w:rPr>
            </w:pPr>
            <w:r>
              <w:rPr>
                <w:rFonts w:ascii="Verdana" w:cs="Verdana" w:eastAsia="Verdana" w:hAnsi="Verdana"/>
                <w:sz w:val="18"/>
                <w:szCs w:val="18"/>
                <w:color w:val="auto"/>
              </w:rPr>
              <w:t>55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709</w:t>
            </w:r>
          </w:p>
        </w:tc>
      </w:tr>
      <w:tr>
        <w:trPr>
          <w:trHeight w:val="520"/>
        </w:trPr>
        <w:tc>
          <w:tcPr>
            <w:tcW w:w="6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Verdana" w:cs="Verdana" w:eastAsia="Verdana" w:hAnsi="Verdana"/>
                <w:sz w:val="13"/>
                <w:szCs w:val="13"/>
                <w:b w:val="1"/>
                <w:bCs w:val="1"/>
                <w:color w:val="auto"/>
                <w:w w:val="96"/>
              </w:rPr>
              <w:t>As of December 31, 2023</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70"/>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115"/>
              <w:spacing w:after="0"/>
              <w:rPr>
                <w:sz w:val="20"/>
                <w:szCs w:val="20"/>
                <w:color w:val="auto"/>
              </w:rPr>
            </w:pPr>
            <w:r>
              <w:rPr>
                <w:rFonts w:ascii="Verdana" w:cs="Verdana" w:eastAsia="Verdana" w:hAnsi="Verdana"/>
                <w:sz w:val="13"/>
                <w:szCs w:val="13"/>
                <w:b w:val="1"/>
                <w:bCs w:val="1"/>
                <w:color w:val="auto"/>
                <w:w w:val="98"/>
              </w:rPr>
              <w:t>Available for Sale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6"/>
              </w:rPr>
              <w:t>Held to Maturity</w:t>
            </w:r>
          </w:p>
        </w:tc>
        <w:tc>
          <w:tcPr>
            <w:tcW w:w="300" w:type="dxa"/>
            <w:vAlign w:val="bottom"/>
          </w:tcPr>
          <w:p>
            <w:pPr>
              <w:spacing w:after="0"/>
              <w:rPr>
                <w:sz w:val="14"/>
                <w:szCs w:val="14"/>
                <w:color w:val="auto"/>
              </w:rPr>
            </w:pPr>
          </w:p>
        </w:tc>
        <w:tc>
          <w:tcPr>
            <w:tcW w:w="1380" w:type="dxa"/>
            <w:vAlign w:val="bottom"/>
          </w:tcPr>
          <w:p>
            <w:pPr>
              <w:jc w:val="right"/>
              <w:ind w:right="575"/>
              <w:spacing w:after="0"/>
              <w:rPr>
                <w:sz w:val="20"/>
                <w:szCs w:val="20"/>
                <w:color w:val="auto"/>
              </w:rPr>
            </w:pPr>
            <w:r>
              <w:rPr>
                <w:rFonts w:ascii="Verdana" w:cs="Verdana" w:eastAsia="Verdana" w:hAnsi="Verdana"/>
                <w:sz w:val="13"/>
                <w:szCs w:val="13"/>
                <w:b w:val="1"/>
                <w:bCs w:val="1"/>
                <w:color w:val="auto"/>
              </w:rPr>
              <w:t>Total</w:t>
            </w:r>
          </w:p>
        </w:tc>
      </w:tr>
      <w:tr>
        <w:trPr>
          <w:trHeight w:val="223"/>
        </w:trPr>
        <w:tc>
          <w:tcPr>
            <w:tcW w:w="60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with gross unrealized or unrecognized losses, fair</w:t>
            </w:r>
          </w:p>
        </w:tc>
        <w:tc>
          <w:tcPr>
            <w:tcW w:w="180" w:type="dxa"/>
            <w:vAlign w:val="bottom"/>
            <w:tcBorders>
              <w:top w:val="single" w:sz="8" w:color="auto"/>
            </w:tcBorders>
            <w:shd w:val="clear" w:color="auto" w:fill="E0E7ED"/>
          </w:tcPr>
          <w:p>
            <w:pPr>
              <w:spacing w:after="0"/>
              <w:rPr>
                <w:sz w:val="19"/>
                <w:szCs w:val="19"/>
                <w:color w:val="auto"/>
              </w:rPr>
            </w:pPr>
          </w:p>
        </w:tc>
        <w:tc>
          <w:tcPr>
            <w:tcW w:w="14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4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380" w:type="dxa"/>
            <w:vAlign w:val="bottom"/>
            <w:tcBorders>
              <w:top w:val="single" w:sz="8" w:color="auto"/>
            </w:tcBorders>
            <w:shd w:val="clear" w:color="auto" w:fill="E0E7ED"/>
          </w:tcPr>
          <w:p>
            <w:pPr>
              <w:spacing w:after="0"/>
              <w:rPr>
                <w:sz w:val="19"/>
                <w:szCs w:val="19"/>
                <w:color w:val="auto"/>
              </w:rPr>
            </w:pPr>
          </w:p>
        </w:tc>
      </w:tr>
      <w:tr>
        <w:trPr>
          <w:trHeight w:val="248"/>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value</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8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2,062,817</w:t>
            </w:r>
          </w:p>
        </w:tc>
        <w:tc>
          <w:tcPr>
            <w:tcW w:w="3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46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730,397</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2,793,214</w:t>
            </w:r>
          </w:p>
        </w:tc>
      </w:tr>
      <w:tr>
        <w:trPr>
          <w:trHeight w:val="263"/>
        </w:trPr>
        <w:tc>
          <w:tcPr>
            <w:tcW w:w="6060" w:type="dxa"/>
            <w:vAlign w:val="bottom"/>
          </w:tcPr>
          <w:p>
            <w:pPr>
              <w:ind w:left="20"/>
              <w:spacing w:after="0"/>
              <w:rPr>
                <w:sz w:val="20"/>
                <w:szCs w:val="20"/>
                <w:color w:val="auto"/>
              </w:rPr>
            </w:pPr>
            <w:r>
              <w:rPr>
                <w:rFonts w:ascii="Verdana" w:cs="Verdana" w:eastAsia="Verdana" w:hAnsi="Verdana"/>
                <w:sz w:val="18"/>
                <w:szCs w:val="18"/>
                <w:color w:val="auto"/>
              </w:rPr>
              <w:t>Gross unrealized or unrecognized losses on debt securities</w:t>
            </w:r>
          </w:p>
        </w:tc>
        <w:tc>
          <w:tcPr>
            <w:tcW w:w="180" w:type="dxa"/>
            <w:vAlign w:val="bottom"/>
          </w:tcPr>
          <w:p>
            <w:pPr>
              <w:spacing w:after="0"/>
              <w:rPr>
                <w:sz w:val="22"/>
                <w:szCs w:val="22"/>
                <w:color w:val="auto"/>
              </w:rPr>
            </w:pPr>
          </w:p>
        </w:tc>
        <w:tc>
          <w:tcPr>
            <w:tcW w:w="1480" w:type="dxa"/>
            <w:vAlign w:val="bottom"/>
          </w:tcPr>
          <w:p>
            <w:pPr>
              <w:jc w:val="right"/>
              <w:ind w:right="175"/>
              <w:spacing w:after="0"/>
              <w:rPr>
                <w:sz w:val="20"/>
                <w:szCs w:val="20"/>
                <w:color w:val="auto"/>
              </w:rPr>
            </w:pPr>
            <w:r>
              <w:rPr>
                <w:rFonts w:ascii="Verdana" w:cs="Verdana" w:eastAsia="Verdana" w:hAnsi="Verdana"/>
                <w:sz w:val="18"/>
                <w:szCs w:val="18"/>
                <w:color w:val="auto"/>
              </w:rPr>
              <w:t>247,245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195"/>
              <w:spacing w:after="0"/>
              <w:rPr>
                <w:sz w:val="20"/>
                <w:szCs w:val="20"/>
                <w:color w:val="auto"/>
              </w:rPr>
            </w:pPr>
            <w:r>
              <w:rPr>
                <w:rFonts w:ascii="Verdana" w:cs="Verdana" w:eastAsia="Verdana" w:hAnsi="Verdana"/>
                <w:sz w:val="18"/>
                <w:szCs w:val="18"/>
                <w:color w:val="auto"/>
              </w:rPr>
              <w:t>142,231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389,476</w:t>
            </w:r>
          </w:p>
        </w:tc>
      </w:tr>
      <w:tr>
        <w:trPr>
          <w:trHeight w:val="244"/>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Ratio of gross unrealized or unrecognized losses to debt securities</w:t>
            </w:r>
          </w:p>
        </w:tc>
        <w:tc>
          <w:tcPr>
            <w:tcW w:w="18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80" w:type="dxa"/>
            <w:vAlign w:val="bottom"/>
            <w:shd w:val="clear" w:color="auto" w:fill="E0E7ED"/>
          </w:tcPr>
          <w:p>
            <w:pPr>
              <w:spacing w:after="0"/>
              <w:rPr>
                <w:sz w:val="21"/>
                <w:szCs w:val="21"/>
                <w:color w:val="auto"/>
              </w:rPr>
            </w:pPr>
          </w:p>
        </w:tc>
      </w:tr>
      <w:tr>
        <w:trPr>
          <w:trHeight w:val="248"/>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with gross unrealized or unrecognized losses</w:t>
            </w:r>
          </w:p>
        </w:tc>
        <w:tc>
          <w:tcPr>
            <w:tcW w:w="180" w:type="dxa"/>
            <w:vAlign w:val="bottom"/>
            <w:shd w:val="clear" w:color="auto" w:fill="E0E7ED"/>
          </w:tcPr>
          <w:p>
            <w:pPr>
              <w:spacing w:after="0"/>
              <w:rPr>
                <w:sz w:val="21"/>
                <w:szCs w:val="21"/>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12.0 %</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19.5 %</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13.9 %</w:t>
            </w:r>
          </w:p>
        </w:tc>
      </w:tr>
      <w:tr>
        <w:trPr>
          <w:trHeight w:val="270"/>
        </w:trPr>
        <w:tc>
          <w:tcPr>
            <w:tcW w:w="6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Count of debt securities</w:t>
            </w:r>
          </w:p>
        </w:tc>
        <w:tc>
          <w:tcPr>
            <w:tcW w:w="180" w:type="dxa"/>
            <w:vAlign w:val="bottom"/>
            <w:shd w:val="clear" w:color="auto" w:fill="E0E7ED"/>
          </w:tcPr>
          <w:p>
            <w:pPr>
              <w:spacing w:after="0"/>
              <w:rPr>
                <w:sz w:val="23"/>
                <w:szCs w:val="23"/>
                <w:color w:val="auto"/>
              </w:rPr>
            </w:pPr>
          </w:p>
        </w:tc>
        <w:tc>
          <w:tcPr>
            <w:tcW w:w="148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835</w:t>
            </w: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6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55</w:t>
            </w: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3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890</w:t>
            </w:r>
          </w:p>
        </w:tc>
      </w:tr>
      <w:tr>
        <w:trPr>
          <w:trHeight w:val="238"/>
        </w:trPr>
        <w:tc>
          <w:tcPr>
            <w:tcW w:w="6060" w:type="dxa"/>
            <w:vAlign w:val="bottom"/>
          </w:tcPr>
          <w:p>
            <w:pPr>
              <w:ind w:left="20"/>
              <w:spacing w:after="0"/>
              <w:rPr>
                <w:sz w:val="20"/>
                <w:szCs w:val="20"/>
                <w:color w:val="auto"/>
              </w:rPr>
            </w:pPr>
            <w:r>
              <w:rPr>
                <w:rFonts w:ascii="Verdana" w:cs="Verdana" w:eastAsia="Verdana" w:hAnsi="Verdana"/>
                <w:sz w:val="18"/>
                <w:szCs w:val="18"/>
                <w:color w:val="auto"/>
              </w:rPr>
              <w:t>Count of debt securities in an unrealized or unrecognized loss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5"/>
        </w:trPr>
        <w:tc>
          <w:tcPr>
            <w:tcW w:w="6060" w:type="dxa"/>
            <w:vAlign w:val="bottom"/>
          </w:tcPr>
          <w:p>
            <w:pPr>
              <w:ind w:left="20"/>
              <w:spacing w:after="0"/>
              <w:rPr>
                <w:sz w:val="20"/>
                <w:szCs w:val="20"/>
                <w:color w:val="auto"/>
              </w:rPr>
            </w:pPr>
            <w:r>
              <w:rPr>
                <w:rFonts w:ascii="Verdana" w:cs="Verdana" w:eastAsia="Verdana" w:hAnsi="Verdana"/>
                <w:sz w:val="18"/>
                <w:szCs w:val="18"/>
                <w:color w:val="auto"/>
              </w:rPr>
              <w:t>position</w:t>
            </w:r>
          </w:p>
        </w:tc>
        <w:tc>
          <w:tcPr>
            <w:tcW w:w="180" w:type="dxa"/>
            <w:vAlign w:val="bottom"/>
          </w:tcPr>
          <w:p>
            <w:pPr>
              <w:spacing w:after="0"/>
              <w:rPr>
                <w:sz w:val="20"/>
                <w:szCs w:val="20"/>
                <w:color w:val="auto"/>
              </w:rPr>
            </w:pPr>
          </w:p>
        </w:tc>
        <w:tc>
          <w:tcPr>
            <w:tcW w:w="1480" w:type="dxa"/>
            <w:vAlign w:val="bottom"/>
          </w:tcPr>
          <w:p>
            <w:pPr>
              <w:jc w:val="right"/>
              <w:ind w:right="175"/>
              <w:spacing w:after="0"/>
              <w:rPr>
                <w:sz w:val="20"/>
                <w:szCs w:val="20"/>
                <w:color w:val="auto"/>
              </w:rPr>
            </w:pPr>
            <w:r>
              <w:rPr>
                <w:rFonts w:ascii="Verdana" w:cs="Verdana" w:eastAsia="Verdana" w:hAnsi="Verdana"/>
                <w:sz w:val="18"/>
                <w:szCs w:val="18"/>
                <w:color w:val="auto"/>
              </w:rPr>
              <w:t>779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95"/>
              <w:spacing w:after="0"/>
              <w:rPr>
                <w:sz w:val="20"/>
                <w:szCs w:val="20"/>
                <w:color w:val="auto"/>
              </w:rPr>
            </w:pPr>
            <w:r>
              <w:rPr>
                <w:rFonts w:ascii="Verdana" w:cs="Verdana" w:eastAsia="Verdana" w:hAnsi="Verdana"/>
                <w:sz w:val="18"/>
                <w:szCs w:val="18"/>
                <w:color w:val="auto"/>
              </w:rPr>
              <w:t>55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834</w:t>
            </w:r>
          </w:p>
        </w:tc>
      </w:tr>
    </w:tbl>
    <w:p>
      <w:pPr>
        <w:spacing w:after="0" w:line="278"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Unrealized and unrecognized losses were related to changes in market interest rates and market conditions that do not represent credit-related impairments. Unless part of a corporate strategy or restructuring plan, Busey does not intend to sell securities that are in an unrealized or unrecognized loss position, and it is more likely than not that the Company will recover the amortized cost prior to being required to sell the debt securities. Full collection of the amounts due according to the contractual terms of the debt securities is expected; therefore, no ACL was recorded in relation to debt securities, and the impairment related to noncredit factors on debt securities available for sale is recognized in AOCI, net of applicable taxes. As of March 31, 2024, Busey did not hold general obligation bonds of any single issuer, the aggregate of which exceeded 10% of Busey’s stockholders’ equity.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0" w:name="page21"/>
    <w:bookmarkEnd w:id="20"/>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3. PORTFOLIO LOANS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Loan Categories</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Busey’s lending can be summarized in two primary categories: commercial and retail. Lending is further classified into five primary areas of loans: C&amp;I and other commercial loans, commercial real estate loans, real estate construction loans, retail real estate loans, and retail other loans. Distributions of the loan portfolio by loan category and class is presented in the following table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ind w:left="120"/>
              <w:spacing w:after="0" w:line="122" w:lineRule="exact"/>
              <w:rPr>
                <w:sz w:val="20"/>
                <w:szCs w:val="20"/>
                <w:color w:val="auto"/>
              </w:rPr>
            </w:pPr>
            <w:r>
              <w:rPr>
                <w:rFonts w:ascii="Verdana" w:cs="Verdana" w:eastAsia="Verdana" w:hAnsi="Verdana"/>
                <w:sz w:val="13"/>
                <w:szCs w:val="13"/>
                <w:b w:val="1"/>
                <w:bCs w:val="1"/>
                <w:color w:val="auto"/>
              </w:rPr>
              <w:t>March 31,</w:t>
            </w:r>
          </w:p>
        </w:tc>
        <w:tc>
          <w:tcPr>
            <w:tcW w:w="200" w:type="dxa"/>
            <w:vAlign w:val="bottom"/>
          </w:tcPr>
          <w:p>
            <w:pPr>
              <w:spacing w:after="0"/>
              <w:rPr>
                <w:sz w:val="10"/>
                <w:szCs w:val="10"/>
                <w:color w:val="auto"/>
              </w:rPr>
            </w:pPr>
          </w:p>
        </w:tc>
        <w:tc>
          <w:tcPr>
            <w:tcW w:w="1320" w:type="dxa"/>
            <w:vAlign w:val="bottom"/>
          </w:tcPr>
          <w:p>
            <w:pPr>
              <w:jc w:val="right"/>
              <w:ind w:right="175"/>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6"/>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6"/>
              <w:spacing w:after="0"/>
              <w:rPr>
                <w:sz w:val="20"/>
                <w:szCs w:val="20"/>
                <w:color w:val="auto"/>
              </w:rPr>
            </w:pPr>
            <w:r>
              <w:rPr>
                <w:rFonts w:ascii="Verdana" w:cs="Verdana" w:eastAsia="Verdana" w:hAnsi="Verdana"/>
                <w:sz w:val="18"/>
                <w:szCs w:val="18"/>
                <w:color w:val="auto"/>
              </w:rPr>
              <w:t>1,828,711</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1,835,994</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2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3,331,670</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445,860</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461,717</w:t>
            </w: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2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5,606,241</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r>
      <w:tr>
        <w:trPr>
          <w:trHeight w:val="243"/>
        </w:trPr>
        <w:tc>
          <w:tcPr>
            <w:tcW w:w="812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1,708,663</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273,173</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295,531</w:t>
            </w:r>
          </w:p>
        </w:tc>
      </w:tr>
      <w:tr>
        <w:trPr>
          <w:trHeight w:val="263"/>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28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1,981,836</w:t>
            </w:r>
          </w:p>
        </w:tc>
        <w:tc>
          <w:tcPr>
            <w:tcW w:w="80" w:type="dxa"/>
            <w:vAlign w:val="bottom"/>
            <w:shd w:val="clear" w:color="auto" w:fill="E0E7ED"/>
          </w:tcPr>
          <w:p>
            <w:pPr>
              <w:spacing w:after="0"/>
              <w:rPr>
                <w:sz w:val="22"/>
                <w:szCs w:val="22"/>
                <w:color w:val="auto"/>
              </w:rPr>
            </w:pPr>
          </w:p>
        </w:tc>
        <w:tc>
          <w:tcPr>
            <w:tcW w:w="200" w:type="dxa"/>
            <w:vAlign w:val="bottom"/>
            <w:tcBorders>
              <w:bottom w:val="single" w:sz="8" w:color="auto"/>
            </w:tcBorders>
            <w:shd w:val="clear" w:color="auto" w:fill="E0E7ED"/>
          </w:tcPr>
          <w:p>
            <w:pPr>
              <w:spacing w:after="0"/>
              <w:rPr>
                <w:sz w:val="22"/>
                <w:szCs w:val="22"/>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r>
      <w:tr>
        <w:trPr>
          <w:trHeight w:val="243"/>
        </w:trPr>
        <w:tc>
          <w:tcPr>
            <w:tcW w:w="8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portfolio loans</w:t>
            </w:r>
          </w:p>
        </w:tc>
        <w:tc>
          <w:tcPr>
            <w:tcW w:w="280" w:type="dxa"/>
            <w:vAlign w:val="bottom"/>
            <w:shd w:val="clear" w:color="auto" w:fill="E0E7ED"/>
          </w:tcPr>
          <w:p>
            <w:pPr>
              <w:spacing w:after="0"/>
              <w:rPr>
                <w:sz w:val="23"/>
                <w:szCs w:val="23"/>
                <w:color w:val="auto"/>
              </w:rPr>
            </w:pPr>
          </w:p>
        </w:tc>
        <w:tc>
          <w:tcPr>
            <w:tcW w:w="124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7,588,077</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7,651,034</w:t>
            </w:r>
          </w:p>
        </w:tc>
      </w:tr>
      <w:tr>
        <w:trPr>
          <w:trHeight w:val="264"/>
        </w:trPr>
        <w:tc>
          <w:tcPr>
            <w:tcW w:w="812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ACL</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(91,562)</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(91,740)</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Portfolio loans, net</w:t>
            </w:r>
          </w:p>
        </w:tc>
        <w:tc>
          <w:tcPr>
            <w:tcW w:w="280" w:type="dxa"/>
            <w:vAlign w:val="bottom"/>
            <w:tcBorders>
              <w:bottom w:val="single" w:sz="8" w:color="auto"/>
            </w:tcBorders>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7,496,515</w:t>
            </w:r>
          </w:p>
        </w:tc>
        <w:tc>
          <w:tcPr>
            <w:tcW w:w="8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7,559,294</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Net deferred loan origination costs included in the balances above were $13.4 million as of March 31, 2024, compared to $13.5 million as of December 31, 2023. Net accretable purchase accounting adjustments included in the balances above reduced loans by $4.3 million as of March 31, 2024, and $4.5 million as of December 31, 2023.</w:t>
      </w:r>
    </w:p>
    <w:p>
      <w:pPr>
        <w:spacing w:after="0" w:line="154" w:lineRule="exact"/>
        <w:rPr>
          <w:sz w:val="20"/>
          <w:szCs w:val="20"/>
          <w:color w:val="auto"/>
        </w:rPr>
      </w:pPr>
    </w:p>
    <w:p>
      <w:pPr>
        <w:ind w:right="1420"/>
        <w:spacing w:after="0" w:line="436" w:lineRule="auto"/>
        <w:rPr>
          <w:sz w:val="20"/>
          <w:szCs w:val="20"/>
          <w:color w:val="auto"/>
        </w:rPr>
      </w:pPr>
      <w:r>
        <w:rPr>
          <w:rFonts w:ascii="Verdana" w:cs="Verdana" w:eastAsia="Verdana" w:hAnsi="Verdana"/>
          <w:sz w:val="18"/>
          <w:szCs w:val="18"/>
          <w:color w:val="auto"/>
        </w:rPr>
        <w:t xml:space="preserve">Busey did not purchase any retail real estate loans during the three months ended March 31, 2024 or 2023. </w:t>
      </w:r>
      <w:r>
        <w:rPr>
          <w:rFonts w:ascii="Verdana" w:cs="Verdana" w:eastAsia="Verdana" w:hAnsi="Verdana"/>
          <w:sz w:val="18"/>
          <w:szCs w:val="18"/>
          <w:b w:val="1"/>
          <w:bCs w:val="1"/>
          <w:i w:val="1"/>
          <w:iCs w:val="1"/>
          <w:color w:val="auto"/>
        </w:rPr>
        <w:t>Pledged Loans</w:t>
      </w:r>
    </w:p>
    <w:p>
      <w:pPr>
        <w:spacing w:after="0" w:line="2"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principal balance of loans Busey has pledged as collateral to the FHLB and Federal Reserve Bank for liquidity as set forth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ind w:left="120"/>
              <w:spacing w:after="0" w:line="122" w:lineRule="exact"/>
              <w:rPr>
                <w:sz w:val="20"/>
                <w:szCs w:val="20"/>
                <w:color w:val="auto"/>
              </w:rPr>
            </w:pPr>
            <w:r>
              <w:rPr>
                <w:rFonts w:ascii="Verdana" w:cs="Verdana" w:eastAsia="Verdana" w:hAnsi="Verdana"/>
                <w:sz w:val="13"/>
                <w:szCs w:val="13"/>
                <w:b w:val="1"/>
                <w:bCs w:val="1"/>
                <w:color w:val="auto"/>
              </w:rPr>
              <w:t>March 31,</w:t>
            </w:r>
          </w:p>
        </w:tc>
        <w:tc>
          <w:tcPr>
            <w:tcW w:w="200" w:type="dxa"/>
            <w:vAlign w:val="bottom"/>
          </w:tcPr>
          <w:p>
            <w:pPr>
              <w:spacing w:after="0"/>
              <w:rPr>
                <w:sz w:val="10"/>
                <w:szCs w:val="10"/>
                <w:color w:val="auto"/>
              </w:rPr>
            </w:pPr>
          </w:p>
        </w:tc>
        <w:tc>
          <w:tcPr>
            <w:tcW w:w="1320" w:type="dxa"/>
            <w:vAlign w:val="bottom"/>
          </w:tcPr>
          <w:p>
            <w:pPr>
              <w:jc w:val="right"/>
              <w:ind w:right="181"/>
              <w:spacing w:after="0" w:line="122" w:lineRule="exact"/>
              <w:rPr>
                <w:sz w:val="20"/>
                <w:szCs w:val="20"/>
                <w:color w:val="auto"/>
              </w:rPr>
            </w:pPr>
            <w:r>
              <w:rPr>
                <w:rFonts w:ascii="Verdana" w:cs="Verdana" w:eastAsia="Verdana" w:hAnsi="Verdana"/>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3820" w:type="dxa"/>
            <w:vAlign w:val="bottom"/>
            <w:tcBorders>
              <w:bottom w:val="single" w:sz="8" w:color="E0E7ED"/>
            </w:tcBorders>
          </w:tcPr>
          <w:p>
            <w:pPr>
              <w:spacing w:after="0"/>
              <w:rPr>
                <w:sz w:val="14"/>
                <w:szCs w:val="14"/>
                <w:color w:val="auto"/>
              </w:rPr>
            </w:pPr>
          </w:p>
        </w:tc>
        <w:tc>
          <w:tcPr>
            <w:tcW w:w="430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1"/>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55"/>
        </w:trPr>
        <w:tc>
          <w:tcPr>
            <w:tcW w:w="38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Pledged loans</w:t>
            </w:r>
          </w:p>
        </w:tc>
        <w:tc>
          <w:tcPr>
            <w:tcW w:w="4300" w:type="dxa"/>
            <w:vAlign w:val="bottom"/>
            <w:shd w:val="clear" w:color="auto" w:fill="E0E7ED"/>
          </w:tcPr>
          <w:p>
            <w:pPr>
              <w:spacing w:after="0"/>
              <w:rPr>
                <w:sz w:val="22"/>
                <w:szCs w:val="22"/>
                <w:color w:val="auto"/>
              </w:rPr>
            </w:pPr>
          </w:p>
        </w:tc>
        <w:tc>
          <w:tcPr>
            <w:tcW w:w="2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20" w:type="dxa"/>
            <w:vAlign w:val="bottom"/>
          </w:tcPr>
          <w:p>
            <w:pPr>
              <w:ind w:left="180"/>
              <w:spacing w:after="0"/>
              <w:rPr>
                <w:sz w:val="20"/>
                <w:szCs w:val="20"/>
                <w:color w:val="auto"/>
              </w:rPr>
            </w:pPr>
            <w:r>
              <w:rPr>
                <w:rFonts w:ascii="Verdana" w:cs="Verdana" w:eastAsia="Verdana" w:hAnsi="Verdana"/>
                <w:sz w:val="18"/>
                <w:szCs w:val="18"/>
                <w:color w:val="auto"/>
              </w:rPr>
              <w:t>FHLB</w:t>
            </w:r>
          </w:p>
        </w:tc>
        <w:tc>
          <w:tcPr>
            <w:tcW w:w="4580" w:type="dxa"/>
            <w:vAlign w:val="bottom"/>
            <w:gridSpan w:val="2"/>
          </w:tcPr>
          <w:p>
            <w:pPr>
              <w:jc w:val="right"/>
              <w:ind w:right="14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24"/>
              <w:spacing w:after="0"/>
              <w:rPr>
                <w:sz w:val="20"/>
                <w:szCs w:val="20"/>
                <w:color w:val="auto"/>
              </w:rPr>
            </w:pPr>
            <w:r>
              <w:rPr>
                <w:rFonts w:ascii="Verdana" w:cs="Verdana" w:eastAsia="Verdana" w:hAnsi="Verdana"/>
                <w:sz w:val="18"/>
                <w:szCs w:val="18"/>
                <w:color w:val="auto"/>
              </w:rPr>
              <w:t>4,821,485</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
              <w:spacing w:after="0"/>
              <w:rPr>
                <w:sz w:val="20"/>
                <w:szCs w:val="20"/>
                <w:color w:val="auto"/>
              </w:rPr>
            </w:pPr>
            <w:r>
              <w:rPr>
                <w:rFonts w:ascii="Verdana" w:cs="Verdana" w:eastAsia="Verdana" w:hAnsi="Verdana"/>
                <w:sz w:val="18"/>
                <w:szCs w:val="18"/>
                <w:color w:val="auto"/>
              </w:rPr>
              <w:t>4,865,481</w:t>
            </w:r>
          </w:p>
        </w:tc>
        <w:tc>
          <w:tcPr>
            <w:tcW w:w="0" w:type="dxa"/>
            <w:vAlign w:val="bottom"/>
          </w:tcPr>
          <w:p>
            <w:pPr>
              <w:spacing w:after="0"/>
              <w:rPr>
                <w:sz w:val="1"/>
                <w:szCs w:val="1"/>
                <w:color w:val="auto"/>
              </w:rPr>
            </w:pPr>
          </w:p>
        </w:tc>
      </w:tr>
      <w:tr>
        <w:trPr>
          <w:trHeight w:val="270"/>
        </w:trPr>
        <w:tc>
          <w:tcPr>
            <w:tcW w:w="38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Federal Reserve Bank</w:t>
            </w:r>
          </w:p>
        </w:tc>
        <w:tc>
          <w:tcPr>
            <w:tcW w:w="4300" w:type="dxa"/>
            <w:vAlign w:val="bottom"/>
            <w:shd w:val="clear" w:color="auto" w:fill="E0E7ED"/>
          </w:tcPr>
          <w:p>
            <w:pPr>
              <w:spacing w:after="0"/>
              <w:rPr>
                <w:sz w:val="23"/>
                <w:szCs w:val="23"/>
                <w:color w:val="auto"/>
              </w:rPr>
            </w:pPr>
          </w:p>
        </w:tc>
        <w:tc>
          <w:tcPr>
            <w:tcW w:w="2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724,971</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722,914</w:t>
            </w:r>
          </w:p>
        </w:tc>
        <w:tc>
          <w:tcPr>
            <w:tcW w:w="0" w:type="dxa"/>
            <w:vAlign w:val="bottom"/>
          </w:tcPr>
          <w:p>
            <w:pPr>
              <w:spacing w:after="0"/>
              <w:rPr>
                <w:sz w:val="1"/>
                <w:szCs w:val="1"/>
                <w:color w:val="auto"/>
              </w:rPr>
            </w:pPr>
          </w:p>
        </w:tc>
      </w:tr>
      <w:tr>
        <w:trPr>
          <w:trHeight w:val="270"/>
        </w:trPr>
        <w:tc>
          <w:tcPr>
            <w:tcW w:w="3820" w:type="dxa"/>
            <w:vAlign w:val="bottom"/>
          </w:tcPr>
          <w:p>
            <w:pPr>
              <w:ind w:left="20"/>
              <w:spacing w:after="0"/>
              <w:rPr>
                <w:sz w:val="20"/>
                <w:szCs w:val="20"/>
                <w:color w:val="auto"/>
              </w:rPr>
            </w:pPr>
            <w:r>
              <w:rPr>
                <w:rFonts w:ascii="Verdana" w:cs="Verdana" w:eastAsia="Verdana" w:hAnsi="Verdana"/>
                <w:sz w:val="18"/>
                <w:szCs w:val="18"/>
                <w:color w:val="auto"/>
              </w:rPr>
              <w:t>Total pledged loans</w:t>
            </w:r>
          </w:p>
        </w:tc>
        <w:tc>
          <w:tcPr>
            <w:tcW w:w="4580" w:type="dxa"/>
            <w:vAlign w:val="bottom"/>
            <w:gridSpan w:val="2"/>
          </w:tcPr>
          <w:p>
            <w:pPr>
              <w:jc w:val="right"/>
              <w:ind w:right="14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24"/>
              <w:spacing w:after="0"/>
              <w:rPr>
                <w:sz w:val="20"/>
                <w:szCs w:val="20"/>
                <w:color w:val="auto"/>
              </w:rPr>
            </w:pPr>
            <w:r>
              <w:rPr>
                <w:rFonts w:ascii="Verdana" w:cs="Verdana" w:eastAsia="Verdana" w:hAnsi="Verdana"/>
                <w:sz w:val="18"/>
                <w:szCs w:val="18"/>
                <w:color w:val="auto"/>
              </w:rPr>
              <w:t>5,546,456</w:t>
            </w:r>
          </w:p>
        </w:tc>
        <w:tc>
          <w:tcPr>
            <w:tcW w:w="8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
              <w:spacing w:after="0"/>
              <w:rPr>
                <w:sz w:val="20"/>
                <w:szCs w:val="20"/>
                <w:color w:val="auto"/>
              </w:rPr>
            </w:pPr>
            <w:r>
              <w:rPr>
                <w:rFonts w:ascii="Verdana" w:cs="Verdana" w:eastAsia="Verdana" w:hAnsi="Verdana"/>
                <w:sz w:val="18"/>
                <w:szCs w:val="18"/>
                <w:color w:val="auto"/>
              </w:rPr>
              <w:t>5,588,395</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4300" w:type="dxa"/>
            <w:vAlign w:val="bottom"/>
            <w:vMerge w:val="restart"/>
          </w:tcPr>
          <w:p>
            <w:pPr>
              <w:jc w:val="right"/>
              <w:ind w:right="2290"/>
              <w:spacing w:after="0"/>
              <w:rPr>
                <w:sz w:val="20"/>
                <w:szCs w:val="20"/>
                <w:color w:val="auto"/>
              </w:rPr>
            </w:pPr>
            <w:r>
              <w:rPr>
                <w:rFonts w:ascii="Verdana" w:cs="Verdana" w:eastAsia="Verdana" w:hAnsi="Verdana"/>
                <w:sz w:val="18"/>
                <w:szCs w:val="18"/>
                <w:color w:val="auto"/>
              </w:rPr>
              <w:t>21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38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8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1" w:name="page22"/>
    <w:bookmarkEnd w:id="2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Risk Grading</w:t>
      </w:r>
    </w:p>
    <w:p>
      <w:pPr>
        <w:spacing w:after="0" w:line="17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Busey utilizes a loan grading scale to assign a risk grade to all of its loans. A description of the general characteristics of each grade is as follows:</w:t>
      </w:r>
    </w:p>
    <w:p>
      <w:pPr>
        <w:spacing w:after="0" w:line="158" w:lineRule="exact"/>
        <w:rPr>
          <w:sz w:val="20"/>
          <w:szCs w:val="20"/>
          <w:color w:val="auto"/>
        </w:rPr>
      </w:pPr>
    </w:p>
    <w:p>
      <w:pPr>
        <w:jc w:val="both"/>
        <w:ind w:left="660" w:hanging="328"/>
        <w:spacing w:after="0" w:line="245"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Pass </w:t>
      </w:r>
      <w:r>
        <w:rPr>
          <w:rFonts w:ascii="Verdana" w:cs="Verdana" w:eastAsia="Verdana" w:hAnsi="Verdana"/>
          <w:sz w:val="18"/>
          <w:szCs w:val="18"/>
          <w:color w:val="auto"/>
        </w:rPr>
        <w:t>– This category includes loans that are all considered acceptable credits, ranging from investment or near</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investment grade, to loans made to borrowers who exhibit credit fundamentals that meet or exceed industry standards.</w:t>
      </w:r>
    </w:p>
    <w:p>
      <w:pPr>
        <w:spacing w:after="0" w:line="153" w:lineRule="exact"/>
        <w:rPr>
          <w:rFonts w:ascii="Verdana" w:cs="Verdana" w:eastAsia="Verdana" w:hAnsi="Verdana"/>
          <w:sz w:val="18"/>
          <w:szCs w:val="18"/>
          <w:color w:val="auto"/>
        </w:rPr>
      </w:pPr>
    </w:p>
    <w:p>
      <w:pPr>
        <w:jc w:val="both"/>
        <w:ind w:left="660" w:hanging="328"/>
        <w:spacing w:after="0" w:line="242"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Watch </w:t>
      </w:r>
      <w:r>
        <w:rPr>
          <w:rFonts w:ascii="Verdana" w:cs="Verdana" w:eastAsia="Verdana" w:hAnsi="Verdana"/>
          <w:sz w:val="18"/>
          <w:szCs w:val="18"/>
          <w:color w:val="auto"/>
        </w:rPr>
        <w:t>– This category includes loans that warrant a higher-than-average level of monitoring to ensure that</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157"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Special mention </w:t>
      </w:r>
      <w:r>
        <w:rPr>
          <w:rFonts w:ascii="Verdana" w:cs="Verdana" w:eastAsia="Verdana" w:hAnsi="Verdana"/>
          <w:sz w:val="18"/>
          <w:szCs w:val="18"/>
          <w:color w:val="auto"/>
        </w:rPr>
        <w:t>– This category is for “Other Assets Specially Mentioned” loans that have potential weaknesses,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which may, if not checked or corrected, weaken the asset or inadequately protect Busey’s credit position at some future date.</w:t>
      </w:r>
    </w:p>
    <w:p>
      <w:pPr>
        <w:spacing w:after="0" w:line="167" w:lineRule="exact"/>
        <w:rPr>
          <w:rFonts w:ascii="Verdana" w:cs="Verdana" w:eastAsia="Verdana" w:hAnsi="Verdana"/>
          <w:sz w:val="18"/>
          <w:szCs w:val="18"/>
          <w:color w:val="auto"/>
        </w:rPr>
      </w:pPr>
    </w:p>
    <w:p>
      <w:pPr>
        <w:jc w:val="both"/>
        <w:ind w:left="660" w:hanging="328"/>
        <w:spacing w:after="0" w:line="242"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Substandard </w:t>
      </w:r>
      <w:r>
        <w:rPr>
          <w:rFonts w:ascii="Verdana" w:cs="Verdana" w:eastAsia="Verdana" w:hAnsi="Verdana"/>
          <w:sz w:val="18"/>
          <w:szCs w:val="18"/>
          <w:color w:val="auto"/>
        </w:rPr>
        <w:t>– This category includes “Substandard” loans, determined in accordance with regulatory guidelines, for</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which the accrual of interest has not been stopped. Assets so classified must have a well-defined weakness or weaknesses that jeopardize the liquidation of the debt. They are characterized by the distinct possibility that Busey will sustain some loss if the deficiencies are not corrected.</w:t>
      </w:r>
    </w:p>
    <w:p>
      <w:pPr>
        <w:spacing w:after="0" w:line="157"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7"/>
        </w:numPr>
        <w:rPr>
          <w:rFonts w:ascii="Verdana" w:cs="Verdana" w:eastAsia="Verdana" w:hAnsi="Verdana"/>
          <w:sz w:val="18"/>
          <w:szCs w:val="18"/>
          <w:i w:val="1"/>
          <w:iCs w:val="1"/>
          <w:color w:val="auto"/>
        </w:rPr>
      </w:pPr>
      <w:r>
        <w:rPr>
          <w:rFonts w:ascii="Verdana" w:cs="Verdana" w:eastAsia="Verdana" w:hAnsi="Verdana"/>
          <w:sz w:val="18"/>
          <w:szCs w:val="18"/>
          <w:i w:val="1"/>
          <w:iCs w:val="1"/>
          <w:color w:val="auto"/>
        </w:rPr>
        <w:t xml:space="preserve">Substandard non-accrual </w:t>
      </w:r>
      <w:r>
        <w:rPr>
          <w:rFonts w:ascii="Verdana" w:cs="Verdana" w:eastAsia="Verdana" w:hAnsi="Verdana"/>
          <w:sz w:val="18"/>
          <w:szCs w:val="18"/>
          <w:color w:val="auto"/>
        </w:rPr>
        <w:t>– This category includes loans that have all the characteristics of a “Substandard” loan</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with additional factors that make collection in full highly questionable and improbable. Such loans are placed on non-accrual status and may be dependent on collateral with a value that is difficult to determine.</w:t>
      </w:r>
    </w:p>
    <w:p>
      <w:pPr>
        <w:spacing w:after="0" w:line="15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All loans are graded at their inception. Commercial lending relationships that are $1.0 million or less are usually processed through an expedited underwriting process. Most commercial loans greater than $1.0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2" w:name="page23"/>
    <w:bookmarkEnd w:id="2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following table is a summary of risk grades segregated by category and class of portfolio loans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jc w:val="center"/>
              <w:ind w:right="360"/>
              <w:spacing w:after="0"/>
              <w:rPr>
                <w:sz w:val="20"/>
                <w:szCs w:val="20"/>
                <w:color w:val="auto"/>
              </w:rPr>
            </w:pPr>
            <w:r>
              <w:rPr>
                <w:rFonts w:ascii="Verdana" w:cs="Verdana" w:eastAsia="Verdana" w:hAnsi="Verdana"/>
                <w:sz w:val="13"/>
                <w:szCs w:val="13"/>
                <w:b w:val="1"/>
                <w:bCs w:val="1"/>
                <w:color w:val="auto"/>
                <w:w w:val="97"/>
              </w:rPr>
              <w:t>As of March 31, 2024</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2"/>
            <w:vMerge w:val="restart"/>
          </w:tcPr>
          <w:p>
            <w:pPr>
              <w:ind w:left="280"/>
              <w:spacing w:after="0"/>
              <w:rPr>
                <w:sz w:val="20"/>
                <w:szCs w:val="20"/>
                <w:color w:val="auto"/>
              </w:rPr>
            </w:pPr>
            <w:r>
              <w:rPr>
                <w:rFonts w:ascii="Verdana" w:cs="Verdana" w:eastAsia="Verdana" w:hAnsi="Verdana"/>
                <w:sz w:val="13"/>
                <w:szCs w:val="13"/>
                <w:b w:val="1"/>
                <w:bCs w:val="1"/>
                <w:color w:val="auto"/>
              </w:rPr>
              <w:t>Pass</w:t>
            </w:r>
          </w:p>
        </w:tc>
        <w:tc>
          <w:tcPr>
            <w:tcW w:w="320" w:type="dxa"/>
            <w:vAlign w:val="bottom"/>
          </w:tcPr>
          <w:p>
            <w:pPr>
              <w:spacing w:after="0"/>
              <w:rPr>
                <w:sz w:val="10"/>
                <w:szCs w:val="10"/>
                <w:color w:val="auto"/>
              </w:rPr>
            </w:pPr>
          </w:p>
        </w:tc>
        <w:tc>
          <w:tcPr>
            <w:tcW w:w="1240" w:type="dxa"/>
            <w:vAlign w:val="bottom"/>
            <w:gridSpan w:val="2"/>
            <w:vMerge w:val="restart"/>
          </w:tcPr>
          <w:p>
            <w:pPr>
              <w:ind w:left="180"/>
              <w:spacing w:after="0"/>
              <w:rPr>
                <w:sz w:val="20"/>
                <w:szCs w:val="20"/>
                <w:color w:val="auto"/>
              </w:rPr>
            </w:pPr>
            <w:r>
              <w:rPr>
                <w:rFonts w:ascii="Verdana" w:cs="Verdana" w:eastAsia="Verdana" w:hAnsi="Verdana"/>
                <w:sz w:val="13"/>
                <w:szCs w:val="13"/>
                <w:b w:val="1"/>
                <w:bCs w:val="1"/>
                <w:color w:val="auto"/>
              </w:rPr>
              <w:t>Watch</w:t>
            </w: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22" w:lineRule="exact"/>
              <w:rPr>
                <w:sz w:val="20"/>
                <w:szCs w:val="20"/>
                <w:color w:val="auto"/>
              </w:rPr>
            </w:pPr>
            <w:r>
              <w:rPr>
                <w:rFonts w:ascii="Verdana" w:cs="Verdana" w:eastAsia="Verdana" w:hAnsi="Verdana"/>
                <w:sz w:val="13"/>
                <w:szCs w:val="13"/>
                <w:b w:val="1"/>
                <w:bCs w:val="1"/>
                <w:color w:val="auto"/>
                <w:w w:val="99"/>
              </w:rPr>
              <w:t>Special</w:t>
            </w:r>
          </w:p>
        </w:tc>
        <w:tc>
          <w:tcPr>
            <w:tcW w:w="220" w:type="dxa"/>
            <w:vAlign w:val="bottom"/>
          </w:tcPr>
          <w:p>
            <w:pPr>
              <w:spacing w:after="0"/>
              <w:rPr>
                <w:sz w:val="10"/>
                <w:szCs w:val="10"/>
                <w:color w:val="auto"/>
              </w:rPr>
            </w:pPr>
          </w:p>
        </w:tc>
        <w:tc>
          <w:tcPr>
            <w:tcW w:w="134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Substandard</w:t>
            </w:r>
          </w:p>
        </w:tc>
        <w:tc>
          <w:tcPr>
            <w:tcW w:w="220" w:type="dxa"/>
            <w:vAlign w:val="bottom"/>
          </w:tcPr>
          <w:p>
            <w:pPr>
              <w:spacing w:after="0"/>
              <w:rPr>
                <w:sz w:val="10"/>
                <w:szCs w:val="10"/>
                <w:color w:val="auto"/>
              </w:rPr>
            </w:pPr>
          </w:p>
        </w:tc>
        <w:tc>
          <w:tcPr>
            <w:tcW w:w="1360" w:type="dxa"/>
            <w:vAlign w:val="bottom"/>
            <w:gridSpan w:val="2"/>
          </w:tcPr>
          <w:p>
            <w:pPr>
              <w:ind w:left="80"/>
              <w:spacing w:after="0" w:line="122" w:lineRule="exact"/>
              <w:rPr>
                <w:sz w:val="20"/>
                <w:szCs w:val="20"/>
                <w:color w:val="auto"/>
              </w:rPr>
            </w:pPr>
            <w:r>
              <w:rPr>
                <w:rFonts w:ascii="Verdana" w:cs="Verdana" w:eastAsia="Verdana" w:hAnsi="Verdana"/>
                <w:sz w:val="13"/>
                <w:szCs w:val="13"/>
                <w:b w:val="1"/>
                <w:bCs w:val="1"/>
                <w:color w:val="auto"/>
              </w:rPr>
              <w:t>Substandard</w:t>
            </w:r>
          </w:p>
        </w:tc>
        <w:tc>
          <w:tcPr>
            <w:tcW w:w="300" w:type="dxa"/>
            <w:vAlign w:val="bottom"/>
          </w:tcPr>
          <w:p>
            <w:pPr>
              <w:spacing w:after="0"/>
              <w:rPr>
                <w:sz w:val="10"/>
                <w:szCs w:val="10"/>
                <w:color w:val="auto"/>
              </w:rPr>
            </w:pPr>
          </w:p>
        </w:tc>
        <w:tc>
          <w:tcPr>
            <w:tcW w:w="1180" w:type="dxa"/>
            <w:vAlign w:val="bottom"/>
            <w:vMerge w:val="restart"/>
          </w:tcPr>
          <w:p>
            <w:pPr>
              <w:jc w:val="right"/>
              <w:ind w:right="47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5"/>
              </w:rPr>
              <w:t>Mention</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Non-accrual</w:t>
            </w: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1,491,166</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ind w:right="13"/>
              <w:spacing w:after="0"/>
              <w:rPr>
                <w:sz w:val="20"/>
                <w:szCs w:val="20"/>
                <w:color w:val="auto"/>
              </w:rPr>
            </w:pPr>
            <w:r>
              <w:rPr>
                <w:rFonts w:ascii="Verdana" w:cs="Verdana" w:eastAsia="Verdana" w:hAnsi="Verdana"/>
                <w:sz w:val="18"/>
                <w:szCs w:val="18"/>
                <w:color w:val="auto"/>
              </w:rPr>
              <w:t>243,635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37,711</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42,853</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13,346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1,828,711</w:t>
            </w:r>
          </w:p>
        </w:tc>
        <w:tc>
          <w:tcPr>
            <w:tcW w:w="0" w:type="dxa"/>
            <w:vAlign w:val="bottom"/>
          </w:tcPr>
          <w:p>
            <w:pPr>
              <w:spacing w:after="0"/>
              <w:rPr>
                <w:sz w:val="1"/>
                <w:szCs w:val="1"/>
                <w:color w:val="auto"/>
              </w:rPr>
            </w:pPr>
          </w:p>
        </w:tc>
      </w:tr>
      <w:tr>
        <w:trPr>
          <w:trHeight w:val="244"/>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2,797,374</w:t>
            </w: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447,313</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49,932</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36,987</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64</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3,331,670</w:t>
            </w: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construction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410,089</w:t>
            </w:r>
          </w:p>
        </w:tc>
        <w:tc>
          <w:tcPr>
            <w:tcW w:w="100" w:type="dxa"/>
            <w:vAlign w:val="bottom"/>
            <w:tcBorders>
              <w:bottom w:val="single" w:sz="8" w:color="E0E7ED"/>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22,483</w:t>
            </w:r>
          </w:p>
        </w:tc>
        <w:tc>
          <w:tcPr>
            <w:tcW w:w="100" w:type="dxa"/>
            <w:vAlign w:val="bottom"/>
            <w:tcBorders>
              <w:bottom w:val="single" w:sz="8" w:color="E0E7ED"/>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7,743</w:t>
            </w:r>
          </w:p>
        </w:tc>
        <w:tc>
          <w:tcPr>
            <w:tcW w:w="100" w:type="dxa"/>
            <w:vAlign w:val="bottom"/>
            <w:tcBorders>
              <w:bottom w:val="single" w:sz="8" w:color="E0E7ED"/>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5,301</w:t>
            </w:r>
          </w:p>
        </w:tc>
        <w:tc>
          <w:tcPr>
            <w:tcW w:w="80" w:type="dxa"/>
            <w:vAlign w:val="bottom"/>
            <w:tcBorders>
              <w:bottom w:val="single" w:sz="8" w:color="E0E7ED"/>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244</w:t>
            </w:r>
          </w:p>
        </w:tc>
        <w:tc>
          <w:tcPr>
            <w:tcW w:w="100" w:type="dxa"/>
            <w:vAlign w:val="bottom"/>
            <w:tcBorders>
              <w:bottom w:val="single" w:sz="8" w:color="E0E7ED"/>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445,860</w:t>
            </w:r>
          </w:p>
        </w:tc>
        <w:tc>
          <w:tcPr>
            <w:tcW w:w="0" w:type="dxa"/>
            <w:vAlign w:val="bottom"/>
          </w:tcPr>
          <w:p>
            <w:pPr>
              <w:spacing w:after="0"/>
              <w:rPr>
                <w:sz w:val="1"/>
                <w:szCs w:val="1"/>
                <w:color w:val="auto"/>
              </w:rPr>
            </w:pPr>
          </w:p>
        </w:tc>
      </w:tr>
      <w:tr>
        <w:trPr>
          <w:trHeight w:val="224"/>
        </w:trPr>
        <w:tc>
          <w:tcPr>
            <w:tcW w:w="1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w:t>
            </w:r>
          </w:p>
        </w:tc>
        <w:tc>
          <w:tcPr>
            <w:tcW w:w="300" w:type="dxa"/>
            <w:vAlign w:val="bottom"/>
            <w:shd w:val="clear" w:color="auto" w:fill="E0E7ED"/>
          </w:tcPr>
          <w:p>
            <w:pPr>
              <w:spacing w:after="0"/>
              <w:rPr>
                <w:sz w:val="19"/>
                <w:szCs w:val="19"/>
                <w:color w:val="auto"/>
              </w:rPr>
            </w:pPr>
          </w:p>
        </w:tc>
        <w:tc>
          <w:tcPr>
            <w:tcW w:w="11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1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1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18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w:t>
            </w:r>
          </w:p>
        </w:tc>
        <w:tc>
          <w:tcPr>
            <w:tcW w:w="30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4,698,629</w:t>
            </w:r>
          </w:p>
        </w:tc>
        <w:tc>
          <w:tcPr>
            <w:tcW w:w="100" w:type="dxa"/>
            <w:vAlign w:val="bottom"/>
            <w:shd w:val="clear" w:color="auto" w:fill="E0E7ED"/>
          </w:tcPr>
          <w:p>
            <w:pPr>
              <w:spacing w:after="0"/>
              <w:rPr>
                <w:sz w:val="21"/>
                <w:szCs w:val="21"/>
                <w:color w:val="auto"/>
              </w:rPr>
            </w:pPr>
          </w:p>
        </w:tc>
        <w:tc>
          <w:tcPr>
            <w:tcW w:w="32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713,431</w:t>
            </w:r>
          </w:p>
        </w:tc>
        <w:tc>
          <w:tcPr>
            <w:tcW w:w="100" w:type="dxa"/>
            <w:vAlign w:val="bottom"/>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95,386</w:t>
            </w:r>
          </w:p>
        </w:tc>
        <w:tc>
          <w:tcPr>
            <w:tcW w:w="10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85,141</w:t>
            </w:r>
          </w:p>
        </w:tc>
        <w:tc>
          <w:tcPr>
            <w:tcW w:w="8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13,654</w:t>
            </w:r>
          </w:p>
        </w:tc>
        <w:tc>
          <w:tcPr>
            <w:tcW w:w="100" w:type="dxa"/>
            <w:vAlign w:val="bottom"/>
            <w:shd w:val="clear" w:color="auto" w:fill="E0E7ED"/>
          </w:tcPr>
          <w:p>
            <w:pPr>
              <w:spacing w:after="0"/>
              <w:rPr>
                <w:sz w:val="21"/>
                <w:szCs w:val="21"/>
                <w:color w:val="auto"/>
              </w:rPr>
            </w:pPr>
          </w:p>
        </w:tc>
        <w:tc>
          <w:tcPr>
            <w:tcW w:w="30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5,606,241</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1,692,013</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9,371</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922</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2,689</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3,668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1,708,663</w:t>
            </w:r>
          </w:p>
        </w:tc>
        <w:tc>
          <w:tcPr>
            <w:tcW w:w="0" w:type="dxa"/>
            <w:vAlign w:val="bottom"/>
          </w:tcPr>
          <w:p>
            <w:pPr>
              <w:spacing w:after="0"/>
              <w:rPr>
                <w:sz w:val="1"/>
                <w:szCs w:val="1"/>
                <w:color w:val="auto"/>
              </w:rPr>
            </w:pPr>
          </w:p>
        </w:tc>
      </w:tr>
      <w:tr>
        <w:trPr>
          <w:trHeight w:val="263"/>
        </w:trPr>
        <w:tc>
          <w:tcPr>
            <w:tcW w:w="1940" w:type="dxa"/>
            <w:vAlign w:val="bottom"/>
          </w:tcPr>
          <w:p>
            <w:pPr>
              <w:ind w:left="180"/>
              <w:spacing w:after="0"/>
              <w:rPr>
                <w:sz w:val="20"/>
                <w:szCs w:val="20"/>
                <w:color w:val="auto"/>
              </w:rPr>
            </w:pPr>
            <w:r>
              <w:rPr>
                <w:rFonts w:ascii="Verdana" w:cs="Verdana" w:eastAsia="Verdana" w:hAnsi="Verdana"/>
                <w:sz w:val="18"/>
                <w:szCs w:val="18"/>
                <w:color w:val="auto"/>
              </w:rPr>
              <w:t>Retail other</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273,030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143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273,173</w:t>
            </w:r>
          </w:p>
        </w:tc>
        <w:tc>
          <w:tcPr>
            <w:tcW w:w="0" w:type="dxa"/>
            <w:vAlign w:val="bottom"/>
          </w:tcPr>
          <w:p>
            <w:pPr>
              <w:spacing w:after="0"/>
              <w:rPr>
                <w:sz w:val="1"/>
                <w:szCs w:val="1"/>
                <w:color w:val="auto"/>
              </w:rPr>
            </w:pPr>
          </w:p>
        </w:tc>
      </w:tr>
      <w:tr>
        <w:trPr>
          <w:trHeight w:val="263"/>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300" w:type="dxa"/>
            <w:vAlign w:val="bottom"/>
            <w:tcBorders>
              <w:top w:val="single" w:sz="8" w:color="auto"/>
              <w:bottom w:val="single" w:sz="8" w:color="auto"/>
            </w:tcBorders>
            <w:shd w:val="clear" w:color="auto" w:fill="E0E7ED"/>
          </w:tcPr>
          <w:p>
            <w:pPr>
              <w:spacing w:after="0"/>
              <w:rPr>
                <w:sz w:val="22"/>
                <w:szCs w:val="22"/>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1,965,043</w:t>
            </w: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bottom w:val="single" w:sz="8" w:color="auto"/>
            </w:tcBorders>
            <w:shd w:val="clear" w:color="auto" w:fill="E0E7ED"/>
          </w:tcPr>
          <w:p>
            <w:pPr>
              <w:spacing w:after="0"/>
              <w:rPr>
                <w:sz w:val="22"/>
                <w:szCs w:val="22"/>
                <w:color w:val="auto"/>
              </w:rPr>
            </w:pPr>
          </w:p>
        </w:tc>
        <w:tc>
          <w:tcPr>
            <w:tcW w:w="114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9,371</w:t>
            </w: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bottom w:val="single" w:sz="8" w:color="auto"/>
            </w:tcBorders>
            <w:shd w:val="clear" w:color="auto" w:fill="E0E7ED"/>
          </w:tcPr>
          <w:p>
            <w:pPr>
              <w:spacing w:after="0"/>
              <w:rPr>
                <w:sz w:val="22"/>
                <w:szCs w:val="22"/>
                <w:color w:val="auto"/>
              </w:rPr>
            </w:pPr>
          </w:p>
        </w:tc>
        <w:tc>
          <w:tcPr>
            <w:tcW w:w="1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922</w:t>
            </w: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126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2,689</w:t>
            </w: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12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3,811</w:t>
            </w: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bottom w:val="single" w:sz="8" w:color="auto"/>
            </w:tcBorders>
            <w:shd w:val="clear" w:color="auto" w:fill="E0E7ED"/>
          </w:tcPr>
          <w:p>
            <w:pPr>
              <w:spacing w:after="0"/>
              <w:rPr>
                <w:sz w:val="22"/>
                <w:szCs w:val="22"/>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1,981,836</w:t>
            </w:r>
          </w:p>
        </w:tc>
        <w:tc>
          <w:tcPr>
            <w:tcW w:w="0" w:type="dxa"/>
            <w:vAlign w:val="bottom"/>
          </w:tcPr>
          <w:p>
            <w:pPr>
              <w:spacing w:after="0"/>
              <w:rPr>
                <w:sz w:val="1"/>
                <w:szCs w:val="1"/>
                <w:color w:val="auto"/>
              </w:rPr>
            </w:pPr>
          </w:p>
        </w:tc>
      </w:tr>
      <w:tr>
        <w:trPr>
          <w:trHeight w:val="270"/>
        </w:trPr>
        <w:tc>
          <w:tcPr>
            <w:tcW w:w="194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6,663,672</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722,802</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96,308</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87,830</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17,465</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7,588,077</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1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right="360"/>
              <w:spacing w:after="0"/>
              <w:rPr>
                <w:sz w:val="20"/>
                <w:szCs w:val="20"/>
                <w:color w:val="auto"/>
              </w:rPr>
            </w:pPr>
            <w:r>
              <w:rPr>
                <w:rFonts w:ascii="Verdana" w:cs="Verdana" w:eastAsia="Verdana" w:hAnsi="Verdana"/>
                <w:sz w:val="13"/>
                <w:szCs w:val="13"/>
                <w:b w:val="1"/>
                <w:bCs w:val="1"/>
                <w:color w:val="auto"/>
                <w:w w:val="96"/>
              </w:rPr>
              <w:t>As of December 31, 2023</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2"/>
            <w:vMerge w:val="restart"/>
          </w:tcPr>
          <w:p>
            <w:pPr>
              <w:ind w:left="280"/>
              <w:spacing w:after="0"/>
              <w:rPr>
                <w:sz w:val="20"/>
                <w:szCs w:val="20"/>
                <w:color w:val="auto"/>
              </w:rPr>
            </w:pPr>
            <w:r>
              <w:rPr>
                <w:rFonts w:ascii="Verdana" w:cs="Verdana" w:eastAsia="Verdana" w:hAnsi="Verdana"/>
                <w:sz w:val="13"/>
                <w:szCs w:val="13"/>
                <w:b w:val="1"/>
                <w:bCs w:val="1"/>
                <w:color w:val="auto"/>
              </w:rPr>
              <w:t>Pass</w:t>
            </w:r>
          </w:p>
        </w:tc>
        <w:tc>
          <w:tcPr>
            <w:tcW w:w="320" w:type="dxa"/>
            <w:vAlign w:val="bottom"/>
          </w:tcPr>
          <w:p>
            <w:pPr>
              <w:spacing w:after="0"/>
              <w:rPr>
                <w:sz w:val="10"/>
                <w:szCs w:val="10"/>
                <w:color w:val="auto"/>
              </w:rPr>
            </w:pPr>
          </w:p>
        </w:tc>
        <w:tc>
          <w:tcPr>
            <w:tcW w:w="1240" w:type="dxa"/>
            <w:vAlign w:val="bottom"/>
            <w:gridSpan w:val="2"/>
            <w:vMerge w:val="restart"/>
          </w:tcPr>
          <w:p>
            <w:pPr>
              <w:ind w:left="180"/>
              <w:spacing w:after="0"/>
              <w:rPr>
                <w:sz w:val="20"/>
                <w:szCs w:val="20"/>
                <w:color w:val="auto"/>
              </w:rPr>
            </w:pPr>
            <w:r>
              <w:rPr>
                <w:rFonts w:ascii="Verdana" w:cs="Verdana" w:eastAsia="Verdana" w:hAnsi="Verdana"/>
                <w:sz w:val="13"/>
                <w:szCs w:val="13"/>
                <w:b w:val="1"/>
                <w:bCs w:val="1"/>
                <w:color w:val="auto"/>
              </w:rPr>
              <w:t>Watch</w:t>
            </w: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22" w:lineRule="exact"/>
              <w:rPr>
                <w:sz w:val="20"/>
                <w:szCs w:val="20"/>
                <w:color w:val="auto"/>
              </w:rPr>
            </w:pPr>
            <w:r>
              <w:rPr>
                <w:rFonts w:ascii="Verdana" w:cs="Verdana" w:eastAsia="Verdana" w:hAnsi="Verdana"/>
                <w:sz w:val="13"/>
                <w:szCs w:val="13"/>
                <w:b w:val="1"/>
                <w:bCs w:val="1"/>
                <w:color w:val="auto"/>
                <w:w w:val="99"/>
              </w:rPr>
              <w:t>Special</w:t>
            </w:r>
          </w:p>
        </w:tc>
        <w:tc>
          <w:tcPr>
            <w:tcW w:w="220" w:type="dxa"/>
            <w:vAlign w:val="bottom"/>
          </w:tcPr>
          <w:p>
            <w:pPr>
              <w:spacing w:after="0"/>
              <w:rPr>
                <w:sz w:val="10"/>
                <w:szCs w:val="10"/>
                <w:color w:val="auto"/>
              </w:rPr>
            </w:pPr>
          </w:p>
        </w:tc>
        <w:tc>
          <w:tcPr>
            <w:tcW w:w="134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Substandard</w:t>
            </w:r>
          </w:p>
        </w:tc>
        <w:tc>
          <w:tcPr>
            <w:tcW w:w="220" w:type="dxa"/>
            <w:vAlign w:val="bottom"/>
          </w:tcPr>
          <w:p>
            <w:pPr>
              <w:spacing w:after="0"/>
              <w:rPr>
                <w:sz w:val="10"/>
                <w:szCs w:val="10"/>
                <w:color w:val="auto"/>
              </w:rPr>
            </w:pPr>
          </w:p>
        </w:tc>
        <w:tc>
          <w:tcPr>
            <w:tcW w:w="1360" w:type="dxa"/>
            <w:vAlign w:val="bottom"/>
            <w:gridSpan w:val="2"/>
          </w:tcPr>
          <w:p>
            <w:pPr>
              <w:ind w:left="80"/>
              <w:spacing w:after="0" w:line="122" w:lineRule="exact"/>
              <w:rPr>
                <w:sz w:val="20"/>
                <w:szCs w:val="20"/>
                <w:color w:val="auto"/>
              </w:rPr>
            </w:pPr>
            <w:r>
              <w:rPr>
                <w:rFonts w:ascii="Verdana" w:cs="Verdana" w:eastAsia="Verdana" w:hAnsi="Verdana"/>
                <w:sz w:val="13"/>
                <w:szCs w:val="13"/>
                <w:b w:val="1"/>
                <w:bCs w:val="1"/>
                <w:color w:val="auto"/>
              </w:rPr>
              <w:t>Substandard</w:t>
            </w:r>
          </w:p>
        </w:tc>
        <w:tc>
          <w:tcPr>
            <w:tcW w:w="300" w:type="dxa"/>
            <w:vAlign w:val="bottom"/>
          </w:tcPr>
          <w:p>
            <w:pPr>
              <w:spacing w:after="0"/>
              <w:rPr>
                <w:sz w:val="10"/>
                <w:szCs w:val="10"/>
                <w:color w:val="auto"/>
              </w:rPr>
            </w:pPr>
          </w:p>
        </w:tc>
        <w:tc>
          <w:tcPr>
            <w:tcW w:w="1180" w:type="dxa"/>
            <w:vAlign w:val="bottom"/>
            <w:vMerge w:val="restart"/>
          </w:tcPr>
          <w:p>
            <w:pPr>
              <w:jc w:val="right"/>
              <w:ind w:right="47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5"/>
              </w:rPr>
              <w:t>Mention</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Non-accrual</w:t>
            </w: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1,462,755</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ind w:right="13"/>
              <w:spacing w:after="0"/>
              <w:rPr>
                <w:sz w:val="20"/>
                <w:szCs w:val="20"/>
                <w:color w:val="auto"/>
              </w:rPr>
            </w:pPr>
            <w:r>
              <w:rPr>
                <w:rFonts w:ascii="Verdana" w:cs="Verdana" w:eastAsia="Verdana" w:hAnsi="Verdana"/>
                <w:sz w:val="18"/>
                <w:szCs w:val="18"/>
                <w:color w:val="auto"/>
              </w:rPr>
              <w:t>296,416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46,488</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27,733</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2,602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1,835,994</w:t>
            </w:r>
          </w:p>
        </w:tc>
        <w:tc>
          <w:tcPr>
            <w:tcW w:w="0" w:type="dxa"/>
            <w:vAlign w:val="bottom"/>
          </w:tcPr>
          <w:p>
            <w:pPr>
              <w:spacing w:after="0"/>
              <w:rPr>
                <w:sz w:val="1"/>
                <w:szCs w:val="1"/>
                <w:color w:val="auto"/>
              </w:rPr>
            </w:pPr>
          </w:p>
        </w:tc>
      </w:tr>
      <w:tr>
        <w:trPr>
          <w:trHeight w:val="244"/>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2,827,030</w:t>
            </w: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431,427</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48,545</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29,492</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843</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construction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448,011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Verdana" w:cs="Verdana" w:eastAsia="Verdana" w:hAnsi="Verdana"/>
                <w:sz w:val="18"/>
                <w:szCs w:val="18"/>
                <w:color w:val="auto"/>
              </w:rPr>
              <w:t>8,135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5,327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461,717</w:t>
            </w:r>
          </w:p>
        </w:tc>
        <w:tc>
          <w:tcPr>
            <w:tcW w:w="0" w:type="dxa"/>
            <w:vAlign w:val="bottom"/>
          </w:tcPr>
          <w:p>
            <w:pPr>
              <w:spacing w:after="0"/>
              <w:rPr>
                <w:sz w:val="1"/>
                <w:szCs w:val="1"/>
                <w:color w:val="auto"/>
              </w:rPr>
            </w:pPr>
          </w:p>
        </w:tc>
      </w:tr>
      <w:tr>
        <w:trPr>
          <w:trHeight w:val="224"/>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commercial</w:t>
            </w:r>
          </w:p>
        </w:tc>
        <w:tc>
          <w:tcPr>
            <w:tcW w:w="300" w:type="dxa"/>
            <w:vAlign w:val="bottom"/>
            <w:tcBorders>
              <w:top w:val="single" w:sz="8" w:color="auto"/>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20" w:type="dxa"/>
            <w:vAlign w:val="bottom"/>
            <w:tcBorders>
              <w:top w:val="single" w:sz="8" w:color="auto"/>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1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w:t>
            </w:r>
          </w:p>
        </w:tc>
        <w:tc>
          <w:tcPr>
            <w:tcW w:w="30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4,737,796</w:t>
            </w:r>
          </w:p>
        </w:tc>
        <w:tc>
          <w:tcPr>
            <w:tcW w:w="100" w:type="dxa"/>
            <w:vAlign w:val="bottom"/>
            <w:shd w:val="clear" w:color="auto" w:fill="E0E7ED"/>
          </w:tcPr>
          <w:p>
            <w:pPr>
              <w:spacing w:after="0"/>
              <w:rPr>
                <w:sz w:val="21"/>
                <w:szCs w:val="21"/>
                <w:color w:val="auto"/>
              </w:rPr>
            </w:pPr>
          </w:p>
        </w:tc>
        <w:tc>
          <w:tcPr>
            <w:tcW w:w="32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735,978</w:t>
            </w:r>
          </w:p>
        </w:tc>
        <w:tc>
          <w:tcPr>
            <w:tcW w:w="100" w:type="dxa"/>
            <w:vAlign w:val="bottom"/>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95,033</w:t>
            </w:r>
          </w:p>
        </w:tc>
        <w:tc>
          <w:tcPr>
            <w:tcW w:w="10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62,552</w:t>
            </w:r>
          </w:p>
        </w:tc>
        <w:tc>
          <w:tcPr>
            <w:tcW w:w="8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3,689</w:t>
            </w:r>
          </w:p>
        </w:tc>
        <w:tc>
          <w:tcPr>
            <w:tcW w:w="100" w:type="dxa"/>
            <w:vAlign w:val="bottom"/>
            <w:shd w:val="clear" w:color="auto" w:fill="E0E7ED"/>
          </w:tcPr>
          <w:p>
            <w:pPr>
              <w:spacing w:after="0"/>
              <w:rPr>
                <w:sz w:val="21"/>
                <w:szCs w:val="21"/>
                <w:color w:val="auto"/>
              </w:rPr>
            </w:pPr>
          </w:p>
        </w:tc>
        <w:tc>
          <w:tcPr>
            <w:tcW w:w="30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1,702,897</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11,144</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1,024</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1,795</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3,595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c>
          <w:tcPr>
            <w:tcW w:w="0" w:type="dxa"/>
            <w:vAlign w:val="bottom"/>
          </w:tcPr>
          <w:p>
            <w:pPr>
              <w:spacing w:after="0"/>
              <w:rPr>
                <w:sz w:val="1"/>
                <w:szCs w:val="1"/>
                <w:color w:val="auto"/>
              </w:rPr>
            </w:pPr>
          </w:p>
        </w:tc>
      </w:tr>
      <w:tr>
        <w:trPr>
          <w:trHeight w:val="263"/>
        </w:trPr>
        <w:tc>
          <w:tcPr>
            <w:tcW w:w="1940" w:type="dxa"/>
            <w:vAlign w:val="bottom"/>
          </w:tcPr>
          <w:p>
            <w:pPr>
              <w:ind w:left="180"/>
              <w:spacing w:after="0"/>
              <w:rPr>
                <w:sz w:val="20"/>
                <w:szCs w:val="20"/>
                <w:color w:val="auto"/>
              </w:rPr>
            </w:pPr>
            <w:r>
              <w:rPr>
                <w:rFonts w:ascii="Verdana" w:cs="Verdana" w:eastAsia="Verdana" w:hAnsi="Verdana"/>
                <w:sz w:val="18"/>
                <w:szCs w:val="18"/>
                <w:color w:val="auto"/>
              </w:rPr>
              <w:t>Retail other</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295,374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295,531</w:t>
            </w:r>
          </w:p>
        </w:tc>
        <w:tc>
          <w:tcPr>
            <w:tcW w:w="0" w:type="dxa"/>
            <w:vAlign w:val="bottom"/>
          </w:tcPr>
          <w:p>
            <w:pPr>
              <w:spacing w:after="0"/>
              <w:rPr>
                <w:sz w:val="1"/>
                <w:szCs w:val="1"/>
                <w:color w:val="auto"/>
              </w:rPr>
            </w:pPr>
          </w:p>
        </w:tc>
      </w:tr>
      <w:tr>
        <w:trPr>
          <w:trHeight w:val="264"/>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300" w:type="dxa"/>
            <w:vAlign w:val="bottom"/>
            <w:tcBorders>
              <w:top w:val="single" w:sz="8" w:color="auto"/>
              <w:bottom w:val="single" w:sz="8" w:color="auto"/>
            </w:tcBorders>
            <w:shd w:val="clear" w:color="auto" w:fill="E0E7ED"/>
          </w:tcPr>
          <w:p>
            <w:pPr>
              <w:spacing w:after="0"/>
              <w:rPr>
                <w:sz w:val="22"/>
                <w:szCs w:val="22"/>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1,998,271</w:t>
            </w: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bottom w:val="single" w:sz="8" w:color="auto"/>
            </w:tcBorders>
            <w:shd w:val="clear" w:color="auto" w:fill="E0E7ED"/>
          </w:tcPr>
          <w:p>
            <w:pPr>
              <w:spacing w:after="0"/>
              <w:rPr>
                <w:sz w:val="22"/>
                <w:szCs w:val="22"/>
                <w:color w:val="auto"/>
              </w:rPr>
            </w:pPr>
          </w:p>
        </w:tc>
        <w:tc>
          <w:tcPr>
            <w:tcW w:w="114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11,144</w:t>
            </w: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bottom w:val="single" w:sz="8" w:color="auto"/>
            </w:tcBorders>
            <w:shd w:val="clear" w:color="auto" w:fill="E0E7ED"/>
          </w:tcPr>
          <w:p>
            <w:pPr>
              <w:spacing w:after="0"/>
              <w:rPr>
                <w:sz w:val="22"/>
                <w:szCs w:val="22"/>
                <w:color w:val="auto"/>
              </w:rPr>
            </w:pPr>
          </w:p>
        </w:tc>
        <w:tc>
          <w:tcPr>
            <w:tcW w:w="1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1,024</w:t>
            </w: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126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1,795</w:t>
            </w: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12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3,752</w:t>
            </w: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bottom w:val="single" w:sz="8" w:color="auto"/>
            </w:tcBorders>
            <w:shd w:val="clear" w:color="auto" w:fill="E0E7ED"/>
          </w:tcPr>
          <w:p>
            <w:pPr>
              <w:spacing w:after="0"/>
              <w:rPr>
                <w:sz w:val="22"/>
                <w:szCs w:val="22"/>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c>
          <w:tcPr>
            <w:tcW w:w="0" w:type="dxa"/>
            <w:vAlign w:val="bottom"/>
          </w:tcPr>
          <w:p>
            <w:pPr>
              <w:spacing w:after="0"/>
              <w:rPr>
                <w:sz w:val="1"/>
                <w:szCs w:val="1"/>
                <w:color w:val="auto"/>
              </w:rPr>
            </w:pPr>
          </w:p>
        </w:tc>
      </w:tr>
      <w:tr>
        <w:trPr>
          <w:trHeight w:val="270"/>
        </w:trPr>
        <w:tc>
          <w:tcPr>
            <w:tcW w:w="194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6,736,067</w:t>
            </w: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747,122</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96,057</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64,347</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7,441</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7,651,034</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right"/>
              <w:ind w:right="697"/>
              <w:spacing w:after="0"/>
              <w:rPr>
                <w:sz w:val="20"/>
                <w:szCs w:val="20"/>
                <w:color w:val="auto"/>
              </w:rPr>
            </w:pPr>
            <w:r>
              <w:rPr>
                <w:rFonts w:ascii="Verdana" w:cs="Verdana" w:eastAsia="Verdana" w:hAnsi="Verdana"/>
                <w:sz w:val="18"/>
                <w:szCs w:val="18"/>
                <w:color w:val="auto"/>
              </w:rPr>
              <w:t>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3" w:name="page24"/>
    <w:bookmarkEnd w:id="2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Risk grades of portfolio loans and gross charge-offs are presented in the tables below by loan class, further sorted by origination year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11"/>
          </w:tcPr>
          <w:p>
            <w:pPr>
              <w:ind w:left="80"/>
              <w:spacing w:after="0"/>
              <w:rPr>
                <w:sz w:val="20"/>
                <w:szCs w:val="20"/>
                <w:color w:val="auto"/>
              </w:rPr>
            </w:pPr>
            <w:r>
              <w:rPr>
                <w:rFonts w:ascii="Verdana" w:cs="Verdana" w:eastAsia="Verdana" w:hAnsi="Verdana"/>
                <w:sz w:val="13"/>
                <w:szCs w:val="13"/>
                <w:b w:val="1"/>
                <w:bCs w:val="1"/>
                <w:color w:val="auto"/>
              </w:rPr>
              <w:t>As of and For The Three Months Ended March 31, 2024</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83"/>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1"/>
          </w:tcPr>
          <w:p>
            <w:pPr>
              <w:ind w:left="80"/>
              <w:spacing w:after="0"/>
              <w:rPr>
                <w:sz w:val="20"/>
                <w:szCs w:val="20"/>
                <w:color w:val="auto"/>
              </w:rPr>
            </w:pPr>
            <w:r>
              <w:rPr>
                <w:rFonts w:ascii="Verdana" w:cs="Verdana" w:eastAsia="Verdana" w:hAnsi="Verdana"/>
                <w:sz w:val="13"/>
                <w:szCs w:val="13"/>
                <w:b w:val="1"/>
                <w:bCs w:val="1"/>
                <w:color w:val="auto"/>
              </w:rPr>
              <w:t>Term Loans Amortized Cost Basis by Origination Year</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7"/>
              </w:rPr>
              <w:t>Revolving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2500" w:type="dxa"/>
            <w:vAlign w:val="bottom"/>
            <w:gridSpan w:val="2"/>
          </w:tcPr>
          <w:p>
            <w:pPr>
              <w:ind w:left="540"/>
              <w:spacing w:after="0"/>
              <w:rPr>
                <w:sz w:val="20"/>
                <w:szCs w:val="20"/>
                <w:color w:val="auto"/>
              </w:rPr>
            </w:pPr>
            <w:r>
              <w:rPr>
                <w:rFonts w:ascii="Verdana" w:cs="Verdana" w:eastAsia="Verdana" w:hAnsi="Verdana"/>
                <w:sz w:val="13"/>
                <w:szCs w:val="13"/>
                <w:b w:val="1"/>
                <w:bCs w:val="1"/>
                <w:color w:val="auto"/>
              </w:rPr>
              <w:t>Risk Grade Ratings</w:t>
            </w:r>
          </w:p>
        </w:tc>
        <w:tc>
          <w:tcPr>
            <w:tcW w:w="200" w:type="dxa"/>
            <w:vAlign w:val="bottom"/>
          </w:tcPr>
          <w:p>
            <w:pPr>
              <w:spacing w:after="0"/>
              <w:rPr>
                <w:sz w:val="15"/>
                <w:szCs w:val="15"/>
                <w:color w:val="auto"/>
              </w:rPr>
            </w:pPr>
          </w:p>
        </w:tc>
        <w:tc>
          <w:tcPr>
            <w:tcW w:w="80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77"/>
              <w:spacing w:after="0"/>
              <w:rPr>
                <w:sz w:val="20"/>
                <w:szCs w:val="20"/>
                <w:color w:val="auto"/>
              </w:rPr>
            </w:pPr>
            <w:r>
              <w:rPr>
                <w:rFonts w:ascii="Verdana" w:cs="Verdana" w:eastAsia="Verdana" w:hAnsi="Verdana"/>
                <w:sz w:val="13"/>
                <w:szCs w:val="13"/>
                <w:b w:val="1"/>
                <w:bCs w:val="1"/>
                <w:color w:val="auto"/>
              </w:rPr>
              <w:t>2021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ind w:left="140"/>
              <w:spacing w:after="0"/>
              <w:rPr>
                <w:sz w:val="20"/>
                <w:szCs w:val="20"/>
                <w:color w:val="auto"/>
              </w:rPr>
            </w:pPr>
            <w:r>
              <w:rPr>
                <w:rFonts w:ascii="Verdana" w:cs="Verdana" w:eastAsia="Verdana" w:hAnsi="Verdana"/>
                <w:sz w:val="13"/>
                <w:szCs w:val="13"/>
                <w:b w:val="1"/>
                <w:bCs w:val="1"/>
                <w:color w:val="auto"/>
              </w:rPr>
              <w:t>Prior</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7"/>
              </w:rPr>
              <w:t>Loans</w:t>
            </w:r>
          </w:p>
        </w:tc>
        <w:tc>
          <w:tcPr>
            <w:tcW w:w="20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Total</w:t>
            </w:r>
          </w:p>
        </w:tc>
      </w:tr>
      <w:tr>
        <w:trPr>
          <w:trHeight w:val="174"/>
        </w:trPr>
        <w:tc>
          <w:tcPr>
            <w:tcW w:w="2400" w:type="dxa"/>
            <w:vAlign w:val="bottom"/>
            <w:tcBorders>
              <w:top w:val="single" w:sz="8" w:color="auto"/>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C&amp;I and other commercial</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spacing w:after="0"/>
              <w:rPr>
                <w:sz w:val="15"/>
                <w:szCs w:val="15"/>
                <w:color w:val="auto"/>
              </w:rPr>
            </w:pPr>
          </w:p>
        </w:tc>
        <w:tc>
          <w:tcPr>
            <w:tcW w:w="84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tcBorders>
            <w:shd w:val="clear" w:color="auto" w:fill="E0E7ED"/>
          </w:tcPr>
          <w:p>
            <w:pPr>
              <w:spacing w:after="0"/>
              <w:rPr>
                <w:sz w:val="15"/>
                <w:szCs w:val="15"/>
                <w:color w:val="auto"/>
              </w:rPr>
            </w:pPr>
          </w:p>
        </w:tc>
        <w:tc>
          <w:tcPr>
            <w:tcW w:w="90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92,898</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261,771</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840" w:type="dxa"/>
            <w:vAlign w:val="bottom"/>
          </w:tcPr>
          <w:p>
            <w:pPr>
              <w:jc w:val="right"/>
              <w:spacing w:after="0"/>
              <w:rPr>
                <w:sz w:val="20"/>
                <w:szCs w:val="20"/>
                <w:color w:val="auto"/>
              </w:rPr>
            </w:pPr>
            <w:r>
              <w:rPr>
                <w:rFonts w:ascii="Verdana" w:cs="Verdana" w:eastAsia="Verdana" w:hAnsi="Verdana"/>
                <w:sz w:val="13"/>
                <w:szCs w:val="13"/>
                <w:color w:val="auto"/>
              </w:rPr>
              <w:t>214,944</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156,831</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66,161</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spacing w:after="0"/>
              <w:rPr>
                <w:sz w:val="20"/>
                <w:szCs w:val="20"/>
                <w:color w:val="auto"/>
              </w:rPr>
            </w:pPr>
            <w:r>
              <w:rPr>
                <w:rFonts w:ascii="Verdana" w:cs="Verdana" w:eastAsia="Verdana" w:hAnsi="Verdana"/>
                <w:sz w:val="13"/>
                <w:szCs w:val="13"/>
                <w:color w:val="auto"/>
              </w:rPr>
              <w:t>154,099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544,462</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1,491,166</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4,869</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58,913</w:t>
            </w: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49,671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14,389</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23,226</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27,759</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64,808</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243,635</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665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Verdana" w:cs="Verdana" w:eastAsia="Verdana" w:hAnsi="Verdana"/>
                <w:sz w:val="13"/>
                <w:szCs w:val="13"/>
                <w:color w:val="auto"/>
              </w:rPr>
              <w:t>7,964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2,654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677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3,264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22,248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37,711</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8,371</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5,700</w:t>
            </w: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1,386</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819</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525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2,348</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23,704</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42,853</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117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1,388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11,700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13,346</w:t>
            </w:r>
          </w:p>
        </w:tc>
      </w:tr>
      <w:tr>
        <w:trPr>
          <w:trHeight w:val="174"/>
        </w:trPr>
        <w:tc>
          <w:tcPr>
            <w:tcW w:w="250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commercial</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106,803</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326,698</w:t>
            </w:r>
          </w:p>
        </w:tc>
        <w:tc>
          <w:tcPr>
            <w:tcW w:w="10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bottom w:val="single" w:sz="8" w:color="auto"/>
            </w:tcBorders>
            <w:shd w:val="clear" w:color="auto" w:fill="E0E7ED"/>
          </w:tcPr>
          <w:p>
            <w:pPr>
              <w:spacing w:after="0"/>
              <w:rPr>
                <w:sz w:val="15"/>
                <w:szCs w:val="15"/>
                <w:color w:val="auto"/>
              </w:rPr>
            </w:pPr>
          </w:p>
        </w:tc>
        <w:tc>
          <w:tcPr>
            <w:tcW w:w="8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273,965</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174,810</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90,655</w:t>
            </w: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188,858</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666,922</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1,828,711</w:t>
            </w:r>
          </w:p>
        </w:tc>
      </w:tr>
      <w:tr>
        <w:trPr>
          <w:trHeight w:val="164"/>
        </w:trPr>
        <w:tc>
          <w:tcPr>
            <w:tcW w:w="250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5,130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5,218</w:t>
            </w:r>
          </w:p>
        </w:tc>
      </w:tr>
      <w:tr>
        <w:trPr>
          <w:trHeight w:val="208"/>
        </w:trPr>
        <w:tc>
          <w:tcPr>
            <w:tcW w:w="24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8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r>
      <w:tr>
        <w:trPr>
          <w:trHeight w:val="170"/>
        </w:trPr>
        <w:tc>
          <w:tcPr>
            <w:tcW w:w="250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Commercial real estate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77,146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362,541</w:t>
            </w: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845,621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676,837</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384,545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433,216</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17,468</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2,797,374</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58,049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131,059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Verdana" w:cs="Verdana" w:eastAsia="Verdana" w:hAnsi="Verdana"/>
                <w:sz w:val="13"/>
                <w:szCs w:val="13"/>
                <w:color w:val="auto"/>
              </w:rPr>
              <w:t>35,873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111,998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32,964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73,846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3,524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447,313</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1,405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8,646</w:t>
            </w: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13,126</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12,578</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5,015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9,162</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49,932</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1,362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5,626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Verdana" w:cs="Verdana" w:eastAsia="Verdana" w:hAnsi="Verdana"/>
                <w:sz w:val="13"/>
                <w:szCs w:val="13"/>
                <w:color w:val="auto"/>
              </w:rPr>
              <w:t>2,677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18,821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3,337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5,114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36,987</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44</w:t>
            </w: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20</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64</w:t>
            </w:r>
          </w:p>
        </w:tc>
      </w:tr>
      <w:tr>
        <w:trPr>
          <w:trHeight w:val="164"/>
        </w:trPr>
        <w:tc>
          <w:tcPr>
            <w:tcW w:w="250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commercial real estate</w:t>
            </w: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137,962</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507,916</w:t>
            </w:r>
          </w:p>
        </w:tc>
        <w:tc>
          <w:tcPr>
            <w:tcW w:w="100" w:type="dxa"/>
            <w:vAlign w:val="bottom"/>
            <w:tcBorders>
              <w:bottom w:val="single" w:sz="8" w:color="E0E7ED"/>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897,297</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820,234</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425,881</w:t>
            </w:r>
          </w:p>
        </w:tc>
        <w:tc>
          <w:tcPr>
            <w:tcW w:w="10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521,338</w:t>
            </w:r>
          </w:p>
        </w:tc>
        <w:tc>
          <w:tcPr>
            <w:tcW w:w="100" w:type="dxa"/>
            <w:vAlign w:val="bottom"/>
            <w:tcBorders>
              <w:bottom w:val="single" w:sz="8" w:color="E0E7ED"/>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21,042</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3,331,670</w:t>
            </w:r>
          </w:p>
        </w:tc>
      </w:tr>
      <w:tr>
        <w:trPr>
          <w:trHeight w:val="174"/>
        </w:trPr>
        <w:tc>
          <w:tcPr>
            <w:tcW w:w="250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color w:val="auto"/>
              </w:rPr>
              <w:t>Gross charge-offs</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96</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96</w:t>
            </w: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250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Real estate construction</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58,333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177,437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Verdana" w:cs="Verdana" w:eastAsia="Verdana" w:hAnsi="Verdana"/>
                <w:sz w:val="13"/>
                <w:szCs w:val="13"/>
                <w:color w:val="auto"/>
              </w:rPr>
              <w:t>72,325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75,282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2,458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3,332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20,922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410,089</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3,678</w:t>
            </w: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18,030</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455</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320</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22,483</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7,743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7,743</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5,301</w:t>
            </w: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4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5,301</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244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244</w:t>
            </w:r>
          </w:p>
        </w:tc>
      </w:tr>
      <w:tr>
        <w:trPr>
          <w:trHeight w:val="174"/>
        </w:trPr>
        <w:tc>
          <w:tcPr>
            <w:tcW w:w="250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real estate construction</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58,333</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194,159</w:t>
            </w:r>
          </w:p>
        </w:tc>
        <w:tc>
          <w:tcPr>
            <w:tcW w:w="10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bottom w:val="single" w:sz="8" w:color="auto"/>
            </w:tcBorders>
            <w:shd w:val="clear" w:color="auto" w:fill="E0E7ED"/>
          </w:tcPr>
          <w:p>
            <w:pPr>
              <w:spacing w:after="0"/>
              <w:rPr>
                <w:sz w:val="15"/>
                <w:szCs w:val="15"/>
                <w:color w:val="auto"/>
              </w:rPr>
            </w:pPr>
          </w:p>
        </w:tc>
        <w:tc>
          <w:tcPr>
            <w:tcW w:w="8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90,355</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75,737</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2,778</w:t>
            </w: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3,576</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20,922</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445,860</w:t>
            </w:r>
          </w:p>
        </w:tc>
      </w:tr>
      <w:tr>
        <w:trPr>
          <w:trHeight w:val="164"/>
        </w:trPr>
        <w:tc>
          <w:tcPr>
            <w:tcW w:w="250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208"/>
        </w:trPr>
        <w:tc>
          <w:tcPr>
            <w:tcW w:w="24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60" w:type="dxa"/>
            <w:vAlign w:val="bottom"/>
            <w:shd w:val="clear" w:color="auto" w:fill="E0E7ED"/>
          </w:tcPr>
          <w:p>
            <w:pPr>
              <w:spacing w:after="0"/>
              <w:rPr>
                <w:sz w:val="18"/>
                <w:szCs w:val="18"/>
                <w:color w:val="auto"/>
              </w:rPr>
            </w:pPr>
          </w:p>
        </w:tc>
        <w:tc>
          <w:tcPr>
            <w:tcW w:w="8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r>
      <w:tr>
        <w:trPr>
          <w:trHeight w:val="170"/>
        </w:trPr>
        <w:tc>
          <w:tcPr>
            <w:tcW w:w="250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Retail real estate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19,533</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240,662</w:t>
            </w: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376,623</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378,955</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153,995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313,080</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209,165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1,692,013</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805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832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Verdana" w:cs="Verdana" w:eastAsia="Verdana" w:hAnsi="Verdana"/>
                <w:sz w:val="13"/>
                <w:szCs w:val="13"/>
                <w:color w:val="auto"/>
              </w:rPr>
              <w:t>2,873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2,242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937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401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1,281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9,371</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191</w:t>
            </w: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354</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377</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922</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Verdana" w:cs="Verdana" w:eastAsia="Verdana" w:hAnsi="Verdana"/>
                <w:sz w:val="13"/>
                <w:szCs w:val="13"/>
                <w:color w:val="auto"/>
              </w:rPr>
              <w:t>1,049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935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2,689</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527</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65</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253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1,982</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841</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3,668</w:t>
            </w:r>
          </w:p>
        </w:tc>
      </w:tr>
      <w:tr>
        <w:trPr>
          <w:trHeight w:val="164"/>
        </w:trPr>
        <w:tc>
          <w:tcPr>
            <w:tcW w:w="250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retail real estate</w:t>
            </w: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20,338</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241,821</w:t>
            </w:r>
          </w:p>
        </w:tc>
        <w:tc>
          <w:tcPr>
            <w:tcW w:w="100" w:type="dxa"/>
            <w:vAlign w:val="bottom"/>
            <w:tcBorders>
              <w:bottom w:val="single" w:sz="8" w:color="E0E7ED"/>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381,426</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381,781</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155,230</w:t>
            </w:r>
          </w:p>
        </w:tc>
        <w:tc>
          <w:tcPr>
            <w:tcW w:w="10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316,775</w:t>
            </w:r>
          </w:p>
        </w:tc>
        <w:tc>
          <w:tcPr>
            <w:tcW w:w="100" w:type="dxa"/>
            <w:vAlign w:val="bottom"/>
            <w:tcBorders>
              <w:bottom w:val="single" w:sz="8" w:color="E0E7ED"/>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211,292</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1,708,663</w:t>
            </w:r>
          </w:p>
        </w:tc>
      </w:tr>
      <w:tr>
        <w:trPr>
          <w:trHeight w:val="174"/>
        </w:trPr>
        <w:tc>
          <w:tcPr>
            <w:tcW w:w="250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color w:val="auto"/>
              </w:rPr>
              <w:t>Gross charge-offs</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52</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52</w:t>
            </w: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5"/>
        </w:trPr>
        <w:tc>
          <w:tcPr>
            <w:tcW w:w="250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Retail other</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1,458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78,006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Verdana" w:cs="Verdana" w:eastAsia="Verdana" w:hAnsi="Verdana"/>
                <w:sz w:val="13"/>
                <w:szCs w:val="13"/>
                <w:color w:val="auto"/>
              </w:rPr>
              <w:t>83,891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20,205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5,438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3,546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80,486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273,030</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93</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49</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143</w:t>
            </w:r>
          </w:p>
        </w:tc>
      </w:tr>
      <w:tr>
        <w:trPr>
          <w:trHeight w:val="164"/>
        </w:trPr>
        <w:tc>
          <w:tcPr>
            <w:tcW w:w="250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retail other</w:t>
            </w: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1,458</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78,006</w:t>
            </w:r>
          </w:p>
        </w:tc>
        <w:tc>
          <w:tcPr>
            <w:tcW w:w="100" w:type="dxa"/>
            <w:vAlign w:val="bottom"/>
            <w:tcBorders>
              <w:bottom w:val="single" w:sz="8" w:color="E0E7ED"/>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83,984</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20,254</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5,438</w:t>
            </w:r>
          </w:p>
        </w:tc>
        <w:tc>
          <w:tcPr>
            <w:tcW w:w="10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3,547</w:t>
            </w:r>
          </w:p>
        </w:tc>
        <w:tc>
          <w:tcPr>
            <w:tcW w:w="100" w:type="dxa"/>
            <w:vAlign w:val="bottom"/>
            <w:tcBorders>
              <w:bottom w:val="single" w:sz="8" w:color="E0E7ED"/>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80,486</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273,173</w:t>
            </w:r>
          </w:p>
        </w:tc>
      </w:tr>
      <w:tr>
        <w:trPr>
          <w:trHeight w:val="174"/>
        </w:trPr>
        <w:tc>
          <w:tcPr>
            <w:tcW w:w="250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color w:val="auto"/>
              </w:rPr>
              <w:t>Gross charge-offs</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w:t>
            </w: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68</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94</w:t>
            </w: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0"/>
        </w:trPr>
        <w:tc>
          <w:tcPr>
            <w:tcW w:w="2500" w:type="dxa"/>
            <w:vAlign w:val="bottom"/>
            <w:tcBorders>
              <w:bottom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Total portfolio loans</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324,894</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1,348,600</w:t>
            </w:r>
          </w:p>
        </w:tc>
        <w:tc>
          <w:tcPr>
            <w:tcW w:w="100" w:type="dxa"/>
            <w:vAlign w:val="bottom"/>
            <w:tcBorders>
              <w:bottom w:val="single" w:sz="8" w:color="E0E7ED"/>
            </w:tcBorders>
            <w:shd w:val="clear" w:color="auto" w:fill="E0E7ED"/>
          </w:tcPr>
          <w:p>
            <w:pPr>
              <w:spacing w:after="0"/>
              <w:rPr>
                <w:sz w:val="17"/>
                <w:szCs w:val="17"/>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8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1,727,027</w:t>
            </w:r>
          </w:p>
        </w:tc>
        <w:tc>
          <w:tcPr>
            <w:tcW w:w="10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1,472,816</w:t>
            </w:r>
          </w:p>
        </w:tc>
        <w:tc>
          <w:tcPr>
            <w:tcW w:w="80" w:type="dxa"/>
            <w:vAlign w:val="bottom"/>
            <w:tcBorders>
              <w:bottom w:val="single" w:sz="8" w:color="E0E7ED"/>
            </w:tcBorders>
            <w:shd w:val="clear" w:color="auto" w:fill="E0E7ED"/>
          </w:tcPr>
          <w:p>
            <w:pPr>
              <w:spacing w:after="0"/>
              <w:rPr>
                <w:sz w:val="17"/>
                <w:szCs w:val="17"/>
                <w:color w:val="auto"/>
              </w:rPr>
            </w:pPr>
          </w:p>
        </w:tc>
        <w:tc>
          <w:tcPr>
            <w:tcW w:w="220" w:type="dxa"/>
            <w:vAlign w:val="bottom"/>
            <w:tcBorders>
              <w:bottom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679,982</w:t>
            </w:r>
          </w:p>
        </w:tc>
        <w:tc>
          <w:tcPr>
            <w:tcW w:w="10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1,034,094</w:t>
            </w:r>
          </w:p>
        </w:tc>
        <w:tc>
          <w:tcPr>
            <w:tcW w:w="100" w:type="dxa"/>
            <w:vAlign w:val="bottom"/>
            <w:tcBorders>
              <w:bottom w:val="single" w:sz="8" w:color="E0E7ED"/>
            </w:tcBorders>
            <w:shd w:val="clear" w:color="auto" w:fill="E0E7ED"/>
          </w:tcPr>
          <w:p>
            <w:pPr>
              <w:spacing w:after="0"/>
              <w:rPr>
                <w:sz w:val="17"/>
                <w:szCs w:val="17"/>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1,000,664</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7,588,077</w:t>
            </w:r>
          </w:p>
        </w:tc>
      </w:tr>
      <w:tr>
        <w:trPr>
          <w:trHeight w:val="20"/>
        </w:trPr>
        <w:tc>
          <w:tcPr>
            <w:tcW w:w="240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880" w:type="dxa"/>
            <w:vAlign w:val="bottom"/>
            <w:tcBorders>
              <w:top w:val="single" w:sz="8" w:color="E0E7ED"/>
            </w:tcBorders>
            <w:gridSpan w:val="2"/>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8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gridSpan w:val="2"/>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8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tcBorders>
          </w:tcPr>
          <w:p>
            <w:pPr>
              <w:spacing w:after="0" w:line="20" w:lineRule="exact"/>
              <w:rPr>
                <w:sz w:val="1"/>
                <w:szCs w:val="1"/>
                <w:color w:val="auto"/>
              </w:rPr>
            </w:pPr>
          </w:p>
        </w:tc>
        <w:tc>
          <w:tcPr>
            <w:tcW w:w="900" w:type="dxa"/>
            <w:vAlign w:val="bottom"/>
            <w:tcBorders>
              <w:top w:val="single" w:sz="8" w:color="E0E7ED"/>
            </w:tcBorders>
            <w:gridSpan w:val="2"/>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8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tcBorders>
          </w:tcPr>
          <w:p>
            <w:pPr>
              <w:spacing w:after="0" w:line="20" w:lineRule="exact"/>
              <w:rPr>
                <w:sz w:val="1"/>
                <w:szCs w:val="1"/>
                <w:color w:val="auto"/>
              </w:rPr>
            </w:pPr>
          </w:p>
        </w:tc>
        <w:tc>
          <w:tcPr>
            <w:tcW w:w="980" w:type="dxa"/>
            <w:vAlign w:val="bottom"/>
            <w:tcBorders>
              <w:top w:val="single" w:sz="8" w:color="E0E7ED"/>
            </w:tcBorders>
            <w:gridSpan w:val="2"/>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820" w:type="dxa"/>
            <w:vAlign w:val="bottom"/>
            <w:tcBorders>
              <w:top w:val="single" w:sz="8" w:color="E0E7ED"/>
            </w:tcBorders>
          </w:tcPr>
          <w:p>
            <w:pPr>
              <w:spacing w:after="0" w:line="20" w:lineRule="exact"/>
              <w:rPr>
                <w:sz w:val="1"/>
                <w:szCs w:val="1"/>
                <w:color w:val="auto"/>
              </w:rPr>
            </w:pPr>
          </w:p>
        </w:tc>
      </w:tr>
      <w:tr>
        <w:trPr>
          <w:trHeight w:val="150"/>
        </w:trPr>
        <w:tc>
          <w:tcPr>
            <w:tcW w:w="2500" w:type="dxa"/>
            <w:vAlign w:val="bottom"/>
            <w:gridSpan w:val="2"/>
          </w:tcPr>
          <w:p>
            <w:pPr>
              <w:ind w:left="20"/>
              <w:spacing w:after="0" w:line="150" w:lineRule="exact"/>
              <w:rPr>
                <w:sz w:val="20"/>
                <w:szCs w:val="20"/>
                <w:color w:val="auto"/>
              </w:rPr>
            </w:pPr>
            <w:r>
              <w:rPr>
                <w:rFonts w:ascii="Verdana" w:cs="Verdana" w:eastAsia="Verdana" w:hAnsi="Verdana"/>
                <w:sz w:val="13"/>
                <w:szCs w:val="13"/>
                <w:b w:val="1"/>
                <w:bCs w:val="1"/>
                <w:color w:val="auto"/>
              </w:rPr>
              <w:t>Total gross charge-offs</w:t>
            </w:r>
          </w:p>
        </w:tc>
        <w:tc>
          <w:tcPr>
            <w:tcW w:w="200" w:type="dxa"/>
            <w:vAlign w:val="bottom"/>
            <w:tcBorders>
              <w:top w:val="single" w:sz="8" w:color="auto"/>
              <w:bottom w:val="single" w:sz="8" w:color="auto"/>
            </w:tcBorders>
          </w:tcPr>
          <w:p>
            <w:pPr>
              <w:jc w:val="right"/>
              <w:ind w:right="37"/>
              <w:spacing w:after="0" w:line="150" w:lineRule="exact"/>
              <w:rPr>
                <w:sz w:val="20"/>
                <w:szCs w:val="20"/>
                <w:color w:val="auto"/>
              </w:rPr>
            </w:pPr>
            <w:r>
              <w:rPr>
                <w:rFonts w:ascii="Verdana" w:cs="Verdana" w:eastAsia="Verdana" w:hAnsi="Verdana"/>
                <w:sz w:val="13"/>
                <w:szCs w:val="13"/>
                <w:color w:val="auto"/>
                <w:w w:val="95"/>
              </w:rPr>
              <w:t>$</w:t>
            </w:r>
          </w:p>
        </w:tc>
        <w:tc>
          <w:tcPr>
            <w:tcW w:w="800" w:type="dxa"/>
            <w:vAlign w:val="bottom"/>
            <w:tcBorders>
              <w:top w:val="single" w:sz="8" w:color="auto"/>
              <w:bottom w:val="single" w:sz="8" w:color="auto"/>
            </w:tcBorders>
          </w:tcPr>
          <w:p>
            <w:pPr>
              <w:jc w:val="right"/>
              <w:ind w:right="17"/>
              <w:spacing w:after="0" w:line="150" w:lineRule="exact"/>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37"/>
              <w:spacing w:after="0" w:line="150" w:lineRule="exact"/>
              <w:rPr>
                <w:sz w:val="20"/>
                <w:szCs w:val="20"/>
                <w:color w:val="auto"/>
              </w:rPr>
            </w:pPr>
            <w:r>
              <w:rPr>
                <w:rFonts w:ascii="Verdana" w:cs="Verdana" w:eastAsia="Verdana" w:hAnsi="Verdana"/>
                <w:sz w:val="13"/>
                <w:szCs w:val="13"/>
                <w:color w:val="auto"/>
                <w:w w:val="95"/>
              </w:rPr>
              <w:t>$</w:t>
            </w:r>
          </w:p>
        </w:tc>
        <w:tc>
          <w:tcPr>
            <w:tcW w:w="820" w:type="dxa"/>
            <w:vAlign w:val="bottom"/>
            <w:tcBorders>
              <w:top w:val="single" w:sz="8" w:color="auto"/>
              <w:bottom w:val="single" w:sz="8" w:color="auto"/>
            </w:tcBorders>
          </w:tcPr>
          <w:p>
            <w:pPr>
              <w:jc w:val="right"/>
              <w:ind w:right="17"/>
              <w:spacing w:after="0" w:line="150" w:lineRule="exact"/>
              <w:rPr>
                <w:sz w:val="20"/>
                <w:szCs w:val="20"/>
                <w:color w:val="auto"/>
              </w:rPr>
            </w:pPr>
            <w:r>
              <w:rPr>
                <w:rFonts w:ascii="Verdana" w:cs="Verdana" w:eastAsia="Verdana" w:hAnsi="Verdana"/>
                <w:sz w:val="13"/>
                <w:szCs w:val="13"/>
                <w:color w:val="auto"/>
              </w:rPr>
              <w:t>5,133</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0" w:lineRule="exact"/>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bottom w:val="single" w:sz="8" w:color="auto"/>
            </w:tcBorders>
          </w:tcPr>
          <w:p>
            <w:pPr>
              <w:jc w:val="right"/>
              <w:spacing w:after="0" w:line="150" w:lineRule="exact"/>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37"/>
              <w:spacing w:after="0" w:line="150" w:lineRule="exact"/>
              <w:rPr>
                <w:sz w:val="20"/>
                <w:szCs w:val="20"/>
                <w:color w:val="auto"/>
              </w:rPr>
            </w:pPr>
            <w:r>
              <w:rPr>
                <w:rFonts w:ascii="Verdana" w:cs="Verdana" w:eastAsia="Verdana" w:hAnsi="Verdana"/>
                <w:sz w:val="13"/>
                <w:szCs w:val="13"/>
                <w:color w:val="auto"/>
                <w:w w:val="95"/>
              </w:rPr>
              <w:t>$</w:t>
            </w:r>
          </w:p>
        </w:tc>
        <w:tc>
          <w:tcPr>
            <w:tcW w:w="820" w:type="dxa"/>
            <w:vAlign w:val="bottom"/>
            <w:tcBorders>
              <w:top w:val="single" w:sz="8" w:color="auto"/>
              <w:bottom w:val="single" w:sz="8" w:color="auto"/>
            </w:tcBorders>
          </w:tcPr>
          <w:p>
            <w:pPr>
              <w:jc w:val="right"/>
              <w:ind w:right="17"/>
              <w:spacing w:after="0" w:line="150" w:lineRule="exact"/>
              <w:rPr>
                <w:sz w:val="20"/>
                <w:szCs w:val="20"/>
                <w:color w:val="auto"/>
              </w:rPr>
            </w:pPr>
            <w:r>
              <w:rPr>
                <w:rFonts w:ascii="Verdana" w:cs="Verdana" w:eastAsia="Verdana" w:hAnsi="Verdana"/>
                <w:sz w:val="13"/>
                <w:szCs w:val="13"/>
                <w:color w:val="auto"/>
              </w:rPr>
              <w:t>23</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57"/>
              <w:spacing w:after="0" w:line="150" w:lineRule="exact"/>
              <w:rPr>
                <w:sz w:val="20"/>
                <w:szCs w:val="20"/>
                <w:color w:val="auto"/>
              </w:rPr>
            </w:pPr>
            <w:r>
              <w:rPr>
                <w:rFonts w:ascii="Verdana" w:cs="Verdana" w:eastAsia="Verdana" w:hAnsi="Verdana"/>
                <w:sz w:val="13"/>
                <w:szCs w:val="13"/>
                <w:color w:val="auto"/>
                <w:w w:val="95"/>
              </w:rPr>
              <w:t>$</w:t>
            </w:r>
          </w:p>
        </w:tc>
        <w:tc>
          <w:tcPr>
            <w:tcW w:w="800" w:type="dxa"/>
            <w:vAlign w:val="bottom"/>
            <w:tcBorders>
              <w:top w:val="single" w:sz="8" w:color="auto"/>
              <w:bottom w:val="single" w:sz="8" w:color="auto"/>
            </w:tcBorders>
          </w:tcPr>
          <w:p>
            <w:pPr>
              <w:jc w:val="right"/>
              <w:ind w:right="17"/>
              <w:spacing w:after="0" w:line="150" w:lineRule="exact"/>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17"/>
              <w:spacing w:after="0" w:line="150" w:lineRule="exact"/>
              <w:rPr>
                <w:sz w:val="20"/>
                <w:szCs w:val="20"/>
                <w:color w:val="auto"/>
              </w:rPr>
            </w:pPr>
            <w:r>
              <w:rPr>
                <w:rFonts w:ascii="Verdana" w:cs="Verdana" w:eastAsia="Verdana" w:hAnsi="Verdana"/>
                <w:sz w:val="13"/>
                <w:szCs w:val="13"/>
                <w:color w:val="auto"/>
                <w:w w:val="95"/>
              </w:rPr>
              <w:t>$</w:t>
            </w:r>
          </w:p>
        </w:tc>
        <w:tc>
          <w:tcPr>
            <w:tcW w:w="820" w:type="dxa"/>
            <w:vAlign w:val="bottom"/>
            <w:tcBorders>
              <w:top w:val="single" w:sz="8" w:color="auto"/>
              <w:bottom w:val="single" w:sz="8" w:color="auto"/>
            </w:tcBorders>
          </w:tcPr>
          <w:p>
            <w:pPr>
              <w:jc w:val="right"/>
              <w:spacing w:after="0" w:line="150" w:lineRule="exact"/>
              <w:rPr>
                <w:sz w:val="20"/>
                <w:szCs w:val="20"/>
                <w:color w:val="auto"/>
              </w:rPr>
            </w:pPr>
            <w:r>
              <w:rPr>
                <w:rFonts w:ascii="Verdana" w:cs="Verdana" w:eastAsia="Verdana" w:hAnsi="Verdana"/>
                <w:sz w:val="13"/>
                <w:szCs w:val="13"/>
                <w:color w:val="auto"/>
              </w:rPr>
              <w:t>304</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0" w:lineRule="exact"/>
              <w:rPr>
                <w:sz w:val="20"/>
                <w:szCs w:val="20"/>
                <w:color w:val="auto"/>
              </w:rPr>
            </w:pPr>
            <w:r>
              <w:rPr>
                <w:rFonts w:ascii="Verdana" w:cs="Verdana" w:eastAsia="Verdana" w:hAnsi="Verdana"/>
                <w:sz w:val="13"/>
                <w:szCs w:val="13"/>
                <w:color w:val="auto"/>
                <w:w w:val="95"/>
              </w:rPr>
              <w:t>$</w:t>
            </w:r>
          </w:p>
        </w:tc>
        <w:tc>
          <w:tcPr>
            <w:tcW w:w="900" w:type="dxa"/>
            <w:vAlign w:val="bottom"/>
            <w:tcBorders>
              <w:top w:val="single" w:sz="8" w:color="auto"/>
              <w:bottom w:val="single" w:sz="8" w:color="auto"/>
            </w:tcBorders>
          </w:tcPr>
          <w:p>
            <w:pPr>
              <w:jc w:val="right"/>
              <w:ind w:right="17"/>
              <w:spacing w:after="0" w:line="150" w:lineRule="exact"/>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37"/>
              <w:spacing w:after="0" w:line="150" w:lineRule="exact"/>
              <w:rPr>
                <w:sz w:val="20"/>
                <w:szCs w:val="20"/>
                <w:color w:val="auto"/>
              </w:rPr>
            </w:pPr>
            <w:r>
              <w:rPr>
                <w:rFonts w:ascii="Verdana" w:cs="Verdana" w:eastAsia="Verdana" w:hAnsi="Verdana"/>
                <w:sz w:val="13"/>
                <w:szCs w:val="13"/>
                <w:color w:val="auto"/>
                <w:w w:val="95"/>
              </w:rPr>
              <w:t>$</w:t>
            </w:r>
          </w:p>
        </w:tc>
        <w:tc>
          <w:tcPr>
            <w:tcW w:w="820" w:type="dxa"/>
            <w:vAlign w:val="bottom"/>
            <w:tcBorders>
              <w:top w:val="single" w:sz="8" w:color="auto"/>
              <w:bottom w:val="single" w:sz="8" w:color="auto"/>
            </w:tcBorders>
          </w:tcPr>
          <w:p>
            <w:pPr>
              <w:jc w:val="right"/>
              <w:ind w:right="17"/>
              <w:spacing w:after="0" w:line="150" w:lineRule="exact"/>
              <w:rPr>
                <w:sz w:val="20"/>
                <w:szCs w:val="20"/>
                <w:color w:val="auto"/>
              </w:rPr>
            </w:pPr>
            <w:r>
              <w:rPr>
                <w:rFonts w:ascii="Verdana" w:cs="Verdana" w:eastAsia="Verdana" w:hAnsi="Verdana"/>
                <w:sz w:val="13"/>
                <w:szCs w:val="13"/>
                <w:color w:val="auto"/>
              </w:rPr>
              <w:t>5,460</w:t>
            </w: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4" w:name="page25"/>
    <w:bookmarkEnd w:id="2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1"/>
          </w:tcPr>
          <w:p>
            <w:pPr>
              <w:ind w:left="220"/>
              <w:spacing w:after="0"/>
              <w:rPr>
                <w:sz w:val="20"/>
                <w:szCs w:val="20"/>
                <w:color w:val="auto"/>
              </w:rPr>
            </w:pPr>
            <w:r>
              <w:rPr>
                <w:rFonts w:ascii="Verdana" w:cs="Verdana" w:eastAsia="Verdana" w:hAnsi="Verdana"/>
                <w:sz w:val="13"/>
                <w:szCs w:val="13"/>
                <w:b w:val="1"/>
                <w:bCs w:val="1"/>
                <w:color w:val="auto"/>
              </w:rPr>
              <w:t>As of and For The Year Ended December 31, 2023</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83"/>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1"/>
          </w:tcPr>
          <w:p>
            <w:pPr>
              <w:ind w:left="80"/>
              <w:spacing w:after="0"/>
              <w:rPr>
                <w:sz w:val="20"/>
                <w:szCs w:val="20"/>
                <w:color w:val="auto"/>
              </w:rPr>
            </w:pPr>
            <w:r>
              <w:rPr>
                <w:rFonts w:ascii="Verdana" w:cs="Verdana" w:eastAsia="Verdana" w:hAnsi="Verdana"/>
                <w:sz w:val="13"/>
                <w:szCs w:val="13"/>
                <w:b w:val="1"/>
                <w:bCs w:val="1"/>
                <w:color w:val="auto"/>
              </w:rPr>
              <w:t>Term Loans Amortized Cost Basis by Origination Year</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7"/>
              </w:rPr>
              <w:t>Revolving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2480" w:type="dxa"/>
            <w:vAlign w:val="bottom"/>
            <w:gridSpan w:val="2"/>
          </w:tcPr>
          <w:p>
            <w:pPr>
              <w:ind w:left="520"/>
              <w:spacing w:after="0"/>
              <w:rPr>
                <w:sz w:val="20"/>
                <w:szCs w:val="20"/>
                <w:color w:val="auto"/>
              </w:rPr>
            </w:pPr>
            <w:r>
              <w:rPr>
                <w:rFonts w:ascii="Verdana" w:cs="Verdana" w:eastAsia="Verdana" w:hAnsi="Verdana"/>
                <w:sz w:val="13"/>
                <w:szCs w:val="13"/>
                <w:b w:val="1"/>
                <w:bCs w:val="1"/>
                <w:color w:val="auto"/>
              </w:rPr>
              <w:t>Risk Grade Ratings</w:t>
            </w:r>
          </w:p>
        </w:tc>
        <w:tc>
          <w:tcPr>
            <w:tcW w:w="200" w:type="dxa"/>
            <w:vAlign w:val="bottom"/>
          </w:tcPr>
          <w:p>
            <w:pPr>
              <w:spacing w:after="0"/>
              <w:rPr>
                <w:sz w:val="15"/>
                <w:szCs w:val="15"/>
                <w:color w:val="auto"/>
              </w:rPr>
            </w:pPr>
          </w:p>
        </w:tc>
        <w:tc>
          <w:tcPr>
            <w:tcW w:w="820" w:type="dxa"/>
            <w:vAlign w:val="bottom"/>
          </w:tcPr>
          <w:p>
            <w:pPr>
              <w:jc w:val="right"/>
              <w:ind w:right="277"/>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7"/>
              <w:spacing w:after="0"/>
              <w:rPr>
                <w:sz w:val="20"/>
                <w:szCs w:val="20"/>
                <w:color w:val="auto"/>
              </w:rPr>
            </w:pPr>
            <w:r>
              <w:rPr>
                <w:rFonts w:ascii="Verdana" w:cs="Verdana" w:eastAsia="Verdana" w:hAnsi="Verdana"/>
                <w:sz w:val="13"/>
                <w:szCs w:val="13"/>
                <w:b w:val="1"/>
                <w:bCs w:val="1"/>
                <w:color w:val="auto"/>
              </w:rPr>
              <w:t>2020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Prior</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7"/>
              </w:rPr>
              <w:t>Loans</w:t>
            </w:r>
          </w:p>
        </w:tc>
        <w:tc>
          <w:tcPr>
            <w:tcW w:w="20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Total</w:t>
            </w:r>
          </w:p>
        </w:tc>
      </w:tr>
      <w:tr>
        <w:trPr>
          <w:trHeight w:val="174"/>
        </w:trPr>
        <w:tc>
          <w:tcPr>
            <w:tcW w:w="2380" w:type="dxa"/>
            <w:vAlign w:val="bottom"/>
            <w:tcBorders>
              <w:top w:val="single" w:sz="8" w:color="auto"/>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C&amp;I and other commercial</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tcBorders>
            <w:shd w:val="clear" w:color="auto" w:fill="E0E7ED"/>
          </w:tcPr>
          <w:p>
            <w:pPr>
              <w:spacing w:after="0"/>
              <w:rPr>
                <w:sz w:val="15"/>
                <w:szCs w:val="15"/>
                <w:color w:val="auto"/>
              </w:rPr>
            </w:pPr>
          </w:p>
        </w:tc>
        <w:tc>
          <w:tcPr>
            <w:tcW w:w="90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306,578</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220,847</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spacing w:after="0"/>
              <w:rPr>
                <w:sz w:val="20"/>
                <w:szCs w:val="20"/>
                <w:color w:val="auto"/>
              </w:rPr>
            </w:pPr>
            <w:r>
              <w:rPr>
                <w:rFonts w:ascii="Verdana" w:cs="Verdana" w:eastAsia="Verdana" w:hAnsi="Verdana"/>
                <w:sz w:val="13"/>
                <w:szCs w:val="13"/>
                <w:color w:val="auto"/>
              </w:rPr>
              <w:t>159,130</w:t>
            </w:r>
          </w:p>
        </w:tc>
        <w:tc>
          <w:tcPr>
            <w:tcW w:w="10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71,025</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35,927</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spacing w:after="0"/>
              <w:rPr>
                <w:sz w:val="20"/>
                <w:szCs w:val="20"/>
                <w:color w:val="auto"/>
              </w:rPr>
            </w:pPr>
            <w:r>
              <w:rPr>
                <w:rFonts w:ascii="Verdana" w:cs="Verdana" w:eastAsia="Verdana" w:hAnsi="Verdana"/>
                <w:sz w:val="13"/>
                <w:szCs w:val="13"/>
                <w:color w:val="auto"/>
              </w:rPr>
              <w:t>143,078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526,170</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1,462,755</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78,603</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65,703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21,421</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23,919</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7,035</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21,293</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78,442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296,416</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792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8,224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2,917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1,076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686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3,274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29,519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46,488</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8,715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765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942</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426</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3,734</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1,859</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11,292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27,733</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166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84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407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1,700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2,602</w:t>
            </w:r>
          </w:p>
        </w:tc>
      </w:tr>
      <w:tr>
        <w:trPr>
          <w:trHeight w:val="174"/>
        </w:trPr>
        <w:tc>
          <w:tcPr>
            <w:tcW w:w="248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commercial</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394,854</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295,539</w:t>
            </w: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184,527</w:t>
            </w:r>
          </w:p>
        </w:tc>
        <w:tc>
          <w:tcPr>
            <w:tcW w:w="10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96,530</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47,510</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169,911</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647,123</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1,835,994</w:t>
            </w:r>
          </w:p>
        </w:tc>
      </w:tr>
      <w:tr>
        <w:trPr>
          <w:trHeight w:val="164"/>
        </w:trPr>
        <w:tc>
          <w:tcPr>
            <w:tcW w:w="248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284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420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1,409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2,429</w:t>
            </w:r>
          </w:p>
        </w:tc>
      </w:tr>
      <w:tr>
        <w:trPr>
          <w:trHeight w:val="181"/>
        </w:trPr>
        <w:tc>
          <w:tcPr>
            <w:tcW w:w="23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48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Commercial real estate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395,644</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824,506</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720,052</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399,195</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271,078</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199,662</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16,893</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2,827,030</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166,795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47,070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92,848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34,010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68,196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19,396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3,112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431,427</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14,313</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10,507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12,446</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4,968</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3,297</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3,014</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48,545</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1,796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18,862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2,938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1,802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3,856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29,492</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47</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79</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85</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609</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843</w:t>
            </w:r>
          </w:p>
        </w:tc>
      </w:tr>
      <w:tr>
        <w:trPr>
          <w:trHeight w:val="164"/>
        </w:trPr>
        <w:tc>
          <w:tcPr>
            <w:tcW w:w="248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commercial real estate</w:t>
            </w: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578,595</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882,350</w:t>
            </w:r>
          </w:p>
        </w:tc>
        <w:tc>
          <w:tcPr>
            <w:tcW w:w="10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844,293</w:t>
            </w:r>
          </w:p>
        </w:tc>
        <w:tc>
          <w:tcPr>
            <w:tcW w:w="10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441,134</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344,373</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226,537</w:t>
            </w:r>
          </w:p>
        </w:tc>
        <w:tc>
          <w:tcPr>
            <w:tcW w:w="100" w:type="dxa"/>
            <w:vAlign w:val="bottom"/>
            <w:tcBorders>
              <w:bottom w:val="single" w:sz="8" w:color="E0E7ED"/>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20,055</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3,337,337</w:t>
            </w:r>
          </w:p>
        </w:tc>
      </w:tr>
      <w:tr>
        <w:trPr>
          <w:trHeight w:val="174"/>
        </w:trPr>
        <w:tc>
          <w:tcPr>
            <w:tcW w:w="248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color w:val="auto"/>
              </w:rPr>
              <w:t>Gross charge-offs</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953</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953</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48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Real estate construction</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204,952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128,462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85,086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2,616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1,323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2,934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22,638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448,011</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2,859</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4,406</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507</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322</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8,135</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5,327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5,327</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244</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244</w:t>
            </w:r>
          </w:p>
        </w:tc>
      </w:tr>
      <w:tr>
        <w:trPr>
          <w:trHeight w:val="164"/>
        </w:trPr>
        <w:tc>
          <w:tcPr>
            <w:tcW w:w="248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real estate construction</w:t>
            </w: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213,138</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132,868</w:t>
            </w:r>
          </w:p>
        </w:tc>
        <w:tc>
          <w:tcPr>
            <w:tcW w:w="10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85,593</w:t>
            </w:r>
          </w:p>
        </w:tc>
        <w:tc>
          <w:tcPr>
            <w:tcW w:w="10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2,938</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1,364</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3,178</w:t>
            </w:r>
          </w:p>
        </w:tc>
        <w:tc>
          <w:tcPr>
            <w:tcW w:w="100" w:type="dxa"/>
            <w:vAlign w:val="bottom"/>
            <w:tcBorders>
              <w:bottom w:val="single" w:sz="8" w:color="E0E7ED"/>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22,638</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461,717</w:t>
            </w:r>
          </w:p>
        </w:tc>
      </w:tr>
      <w:tr>
        <w:trPr>
          <w:trHeight w:val="174"/>
        </w:trPr>
        <w:tc>
          <w:tcPr>
            <w:tcW w:w="248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color w:val="auto"/>
              </w:rPr>
              <w:t>Gross charge-offs</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48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Retail real estate</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243,400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376,922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411,723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156,762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70,099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256,571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187,420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1,702,897</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1,096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4,137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2,442</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954</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536</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234</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1,745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11,144</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1,024</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69</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72</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292</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49</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80</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997</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1,795</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267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1,960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619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3,595</w:t>
            </w:r>
          </w:p>
        </w:tc>
      </w:tr>
      <w:tr>
        <w:trPr>
          <w:trHeight w:val="174"/>
        </w:trPr>
        <w:tc>
          <w:tcPr>
            <w:tcW w:w="248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retail real estate</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244,851</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382,017</w:t>
            </w: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414,578</w:t>
            </w:r>
          </w:p>
        </w:tc>
        <w:tc>
          <w:tcPr>
            <w:tcW w:w="10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158,032</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70,815</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260,142</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190,020</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1,720,455</w:t>
            </w:r>
          </w:p>
        </w:tc>
      </w:tr>
      <w:tr>
        <w:trPr>
          <w:trHeight w:val="164"/>
        </w:trPr>
        <w:tc>
          <w:tcPr>
            <w:tcW w:w="248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407</w:t>
            </w:r>
          </w:p>
        </w:tc>
      </w:tr>
      <w:tr>
        <w:trPr>
          <w:trHeight w:val="181"/>
        </w:trPr>
        <w:tc>
          <w:tcPr>
            <w:tcW w:w="23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48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Retail other</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88,885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92,931</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23,019</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6,701</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4,597</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854</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78,387</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295,374</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157</w:t>
            </w:r>
          </w:p>
        </w:tc>
      </w:tr>
      <w:tr>
        <w:trPr>
          <w:trHeight w:val="174"/>
        </w:trPr>
        <w:tc>
          <w:tcPr>
            <w:tcW w:w="248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retail other</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88,885</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93,024</w:t>
            </w: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23,081</w:t>
            </w:r>
          </w:p>
        </w:tc>
        <w:tc>
          <w:tcPr>
            <w:tcW w:w="10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6,701</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4,597</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856</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78,387</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295,531</w:t>
            </w:r>
          </w:p>
        </w:tc>
      </w:tr>
      <w:tr>
        <w:trPr>
          <w:trHeight w:val="164"/>
        </w:trPr>
        <w:tc>
          <w:tcPr>
            <w:tcW w:w="248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629</w:t>
            </w:r>
          </w:p>
        </w:tc>
      </w:tr>
      <w:tr>
        <w:trPr>
          <w:trHeight w:val="181"/>
        </w:trPr>
        <w:tc>
          <w:tcPr>
            <w:tcW w:w="23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5"/>
        </w:trPr>
        <w:tc>
          <w:tcPr>
            <w:tcW w:w="248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Total portfolio loans</w:t>
            </w: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1,520,323</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1,785,798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1,552,072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705,335</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468,659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660,624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958,223</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7,651,034</w:t>
            </w:r>
          </w:p>
        </w:tc>
      </w:tr>
      <w:tr>
        <w:trPr>
          <w:trHeight w:val="20"/>
        </w:trPr>
        <w:tc>
          <w:tcPr>
            <w:tcW w:w="238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5"/>
        </w:trPr>
        <w:tc>
          <w:tcPr>
            <w:tcW w:w="2480" w:type="dxa"/>
            <w:vAlign w:val="bottom"/>
            <w:tcBorders>
              <w:bottom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Total gross charge-offs</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289</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76</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592</w:t>
            </w:r>
          </w:p>
        </w:tc>
        <w:tc>
          <w:tcPr>
            <w:tcW w:w="100" w:type="dxa"/>
            <w:vAlign w:val="bottom"/>
            <w:tcBorders>
              <w:bottom w:val="single" w:sz="8" w:color="E0E7ED"/>
            </w:tcBorders>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34</w:t>
            </w:r>
          </w:p>
        </w:tc>
        <w:tc>
          <w:tcPr>
            <w:tcW w:w="80" w:type="dxa"/>
            <w:vAlign w:val="bottom"/>
            <w:tcBorders>
              <w:bottom w:val="single" w:sz="8" w:color="E0E7ED"/>
            </w:tcBorders>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391</w:t>
            </w:r>
          </w:p>
        </w:tc>
        <w:tc>
          <w:tcPr>
            <w:tcW w:w="10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3,036</w:t>
            </w:r>
          </w:p>
        </w:tc>
        <w:tc>
          <w:tcPr>
            <w:tcW w:w="100" w:type="dxa"/>
            <w:vAlign w:val="bottom"/>
            <w:tcBorders>
              <w:bottom w:val="single" w:sz="8" w:color="E0E7ED"/>
            </w:tcBorders>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4,418</w:t>
            </w:r>
          </w:p>
        </w:tc>
      </w:tr>
      <w:tr>
        <w:trPr>
          <w:trHeight w:val="20"/>
        </w:trPr>
        <w:tc>
          <w:tcPr>
            <w:tcW w:w="23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5" w:name="page26"/>
    <w:bookmarkEnd w:id="2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Past Due and Non-accrual Loans</w:t>
      </w:r>
    </w:p>
    <w:p>
      <w:pPr>
        <w:spacing w:after="0" w:line="17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An analysis of the amortized cost basis of portfolio loans that are past due and still accruing, or on a non-accrual status, is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jc w:val="center"/>
              <w:ind w:right="320"/>
              <w:spacing w:after="0"/>
              <w:rPr>
                <w:sz w:val="20"/>
                <w:szCs w:val="20"/>
                <w:color w:val="auto"/>
              </w:rPr>
            </w:pPr>
            <w:r>
              <w:rPr>
                <w:rFonts w:ascii="Verdana" w:cs="Verdana" w:eastAsia="Verdana" w:hAnsi="Verdana"/>
                <w:sz w:val="13"/>
                <w:szCs w:val="13"/>
                <w:b w:val="1"/>
                <w:bCs w:val="1"/>
                <w:color w:val="auto"/>
                <w:w w:val="97"/>
              </w:rPr>
              <w:t>As of March 31, 2024</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6"/>
          </w:tcPr>
          <w:p>
            <w:pPr>
              <w:jc w:val="center"/>
              <w:ind w:left="875"/>
              <w:spacing w:after="0"/>
              <w:rPr>
                <w:sz w:val="20"/>
                <w:szCs w:val="20"/>
                <w:color w:val="auto"/>
              </w:rPr>
            </w:pPr>
            <w:r>
              <w:rPr>
                <w:rFonts w:ascii="Verdana" w:cs="Verdana" w:eastAsia="Verdana" w:hAnsi="Verdana"/>
                <w:sz w:val="13"/>
                <w:szCs w:val="13"/>
                <w:b w:val="1"/>
                <w:bCs w:val="1"/>
                <w:color w:val="auto"/>
                <w:w w:val="97"/>
              </w:rPr>
              <w:t>Loans past due, still accruing</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restart"/>
          </w:tcPr>
          <w:p>
            <w:pPr>
              <w:jc w:val="center"/>
              <w:ind w:right="135"/>
              <w:spacing w:after="0"/>
              <w:rPr>
                <w:sz w:val="20"/>
                <w:szCs w:val="20"/>
                <w:color w:val="auto"/>
              </w:rPr>
            </w:pPr>
            <w:r>
              <w:rPr>
                <w:rFonts w:ascii="Verdana" w:cs="Verdana" w:eastAsia="Verdana" w:hAnsi="Verdana"/>
                <w:sz w:val="13"/>
                <w:szCs w:val="13"/>
                <w:b w:val="1"/>
                <w:bCs w:val="1"/>
                <w:color w:val="auto"/>
                <w:w w:val="97"/>
              </w:rPr>
              <w:t>Non-accrual</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vMerge w:val="restart"/>
          </w:tcPr>
          <w:p>
            <w:pPr>
              <w:ind w:left="100"/>
              <w:spacing w:after="0"/>
              <w:rPr>
                <w:sz w:val="20"/>
                <w:szCs w:val="20"/>
                <w:color w:val="auto"/>
              </w:rPr>
            </w:pPr>
            <w:r>
              <w:rPr>
                <w:rFonts w:ascii="Verdana" w:cs="Verdana" w:eastAsia="Verdana" w:hAnsi="Verdana"/>
                <w:sz w:val="13"/>
                <w:szCs w:val="13"/>
                <w:b w:val="1"/>
                <w:bCs w:val="1"/>
                <w:color w:val="auto"/>
              </w:rPr>
              <w:t>30-59 Days</w:t>
            </w:r>
          </w:p>
        </w:tc>
        <w:tc>
          <w:tcPr>
            <w:tcW w:w="240" w:type="dxa"/>
            <w:vAlign w:val="bottom"/>
          </w:tcPr>
          <w:p>
            <w:pPr>
              <w:spacing w:after="0"/>
              <w:rPr>
                <w:sz w:val="2"/>
                <w:szCs w:val="2"/>
                <w:color w:val="auto"/>
              </w:rPr>
            </w:pPr>
          </w:p>
        </w:tc>
        <w:tc>
          <w:tcPr>
            <w:tcW w:w="1340" w:type="dxa"/>
            <w:vAlign w:val="bottom"/>
            <w:gridSpan w:val="2"/>
            <w:vMerge w:val="restart"/>
          </w:tcPr>
          <w:p>
            <w:pPr>
              <w:jc w:val="center"/>
              <w:ind w:right="320"/>
              <w:spacing w:after="0"/>
              <w:rPr>
                <w:sz w:val="20"/>
                <w:szCs w:val="20"/>
                <w:color w:val="auto"/>
              </w:rPr>
            </w:pPr>
            <w:r>
              <w:rPr>
                <w:rFonts w:ascii="Verdana" w:cs="Verdana" w:eastAsia="Verdana" w:hAnsi="Verdana"/>
                <w:sz w:val="13"/>
                <w:szCs w:val="13"/>
                <w:b w:val="1"/>
                <w:bCs w:val="1"/>
                <w:color w:val="auto"/>
                <w:w w:val="98"/>
              </w:rPr>
              <w:t>60-89 Days</w:t>
            </w:r>
          </w:p>
        </w:tc>
        <w:tc>
          <w:tcPr>
            <w:tcW w:w="320" w:type="dxa"/>
            <w:vAlign w:val="bottom"/>
          </w:tcPr>
          <w:p>
            <w:pPr>
              <w:spacing w:after="0"/>
              <w:rPr>
                <w:sz w:val="2"/>
                <w:szCs w:val="2"/>
                <w:color w:val="auto"/>
              </w:rPr>
            </w:pPr>
          </w:p>
        </w:tc>
        <w:tc>
          <w:tcPr>
            <w:tcW w:w="128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90+Days</w:t>
            </w:r>
          </w:p>
        </w:tc>
        <w:tc>
          <w:tcPr>
            <w:tcW w:w="22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5"/>
              <w:spacing w:after="0"/>
              <w:rPr>
                <w:sz w:val="20"/>
                <w:szCs w:val="20"/>
                <w:color w:val="auto"/>
              </w:rPr>
            </w:pPr>
            <w:r>
              <w:rPr>
                <w:rFonts w:ascii="Verdana" w:cs="Verdana" w:eastAsia="Verdana" w:hAnsi="Verdana"/>
                <w:sz w:val="13"/>
                <w:szCs w:val="13"/>
                <w:b w:val="1"/>
                <w:bCs w:val="1"/>
                <w:color w:val="auto"/>
                <w:w w:val="97"/>
              </w:rPr>
              <w:t>Loans</w:t>
            </w:r>
          </w:p>
        </w:tc>
        <w:tc>
          <w:tcPr>
            <w:tcW w:w="0" w:type="dxa"/>
            <w:vAlign w:val="bottom"/>
          </w:tcPr>
          <w:p>
            <w:pPr>
              <w:spacing w:after="0"/>
              <w:rPr>
                <w:sz w:val="1"/>
                <w:szCs w:val="1"/>
                <w:color w:val="auto"/>
              </w:rPr>
            </w:pP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Past due and non-accrual loans</w:t>
            </w: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Commercial loans: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C&amp;I and other commercial</w:t>
            </w: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43</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13,346</w:t>
            </w:r>
          </w:p>
        </w:tc>
        <w:tc>
          <w:tcPr>
            <w:tcW w:w="0" w:type="dxa"/>
            <w:vAlign w:val="bottom"/>
          </w:tcPr>
          <w:p>
            <w:pPr>
              <w:spacing w:after="0"/>
              <w:rPr>
                <w:sz w:val="1"/>
                <w:szCs w:val="1"/>
                <w:color w:val="auto"/>
              </w:rPr>
            </w:pPr>
          </w:p>
        </w:tc>
      </w:tr>
      <w:tr>
        <w:trPr>
          <w:trHeight w:val="263"/>
        </w:trPr>
        <w:tc>
          <w:tcPr>
            <w:tcW w:w="4980" w:type="dxa"/>
            <w:vAlign w:val="bottom"/>
          </w:tcPr>
          <w:p>
            <w:pPr>
              <w:ind w:left="360"/>
              <w:spacing w:after="0"/>
              <w:rPr>
                <w:sz w:val="20"/>
                <w:szCs w:val="20"/>
                <w:color w:val="auto"/>
              </w:rPr>
            </w:pPr>
            <w:r>
              <w:rPr>
                <w:rFonts w:ascii="Verdana" w:cs="Verdana" w:eastAsia="Verdana" w:hAnsi="Verdana"/>
                <w:sz w:val="18"/>
                <w:szCs w:val="18"/>
                <w:color w:val="auto"/>
              </w:rPr>
              <w:t>Commercial real estate</w:t>
            </w: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3,174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338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64</w:t>
            </w:r>
          </w:p>
        </w:tc>
        <w:tc>
          <w:tcPr>
            <w:tcW w:w="0" w:type="dxa"/>
            <w:vAlign w:val="bottom"/>
          </w:tcPr>
          <w:p>
            <w:pPr>
              <w:spacing w:after="0"/>
              <w:rPr>
                <w:sz w:val="1"/>
                <w:szCs w:val="1"/>
                <w:color w:val="auto"/>
              </w:rPr>
            </w:pPr>
          </w:p>
        </w:tc>
      </w:tr>
      <w:tr>
        <w:trPr>
          <w:trHeight w:val="270"/>
        </w:trPr>
        <w:tc>
          <w:tcPr>
            <w:tcW w:w="49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 estate construction</w:t>
            </w: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244</w:t>
            </w:r>
          </w:p>
        </w:tc>
        <w:tc>
          <w:tcPr>
            <w:tcW w:w="0" w:type="dxa"/>
            <w:vAlign w:val="bottom"/>
          </w:tcPr>
          <w:p>
            <w:pPr>
              <w:spacing w:after="0"/>
              <w:rPr>
                <w:sz w:val="1"/>
                <w:szCs w:val="1"/>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Past due and non-accrual commercial loans</w:t>
            </w: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3,217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338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13,654</w:t>
            </w:r>
          </w:p>
        </w:tc>
        <w:tc>
          <w:tcPr>
            <w:tcW w:w="0" w:type="dxa"/>
            <w:vAlign w:val="bottom"/>
          </w:tcPr>
          <w:p>
            <w:pPr>
              <w:spacing w:after="0"/>
              <w:rPr>
                <w:sz w:val="1"/>
                <w:szCs w:val="1"/>
                <w:color w:val="auto"/>
              </w:rPr>
            </w:pPr>
          </w:p>
        </w:tc>
      </w:tr>
      <w:tr>
        <w:trPr>
          <w:trHeight w:val="257"/>
        </w:trPr>
        <w:tc>
          <w:tcPr>
            <w:tcW w:w="4980" w:type="dxa"/>
            <w:vAlign w:val="bottom"/>
            <w:tcBorders>
              <w:top w:val="single" w:sz="8" w:color="E0E7ED"/>
            </w:tcBorders>
            <w:shd w:val="clear" w:color="auto" w:fill="E0E7ED"/>
          </w:tcPr>
          <w:p>
            <w:pPr>
              <w:ind w:left="180"/>
              <w:spacing w:after="0"/>
              <w:rPr>
                <w:sz w:val="20"/>
                <w:szCs w:val="20"/>
                <w:color w:val="auto"/>
              </w:rPr>
            </w:pPr>
            <w:r>
              <w:rPr>
                <w:rFonts w:ascii="Verdana" w:cs="Verdana" w:eastAsia="Verdana" w:hAnsi="Verdana"/>
                <w:sz w:val="18"/>
                <w:szCs w:val="18"/>
                <w:color w:val="auto"/>
              </w:rPr>
              <w:t>Retail loans:</w:t>
            </w: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360"/>
              <w:spacing w:after="0"/>
              <w:rPr>
                <w:sz w:val="20"/>
                <w:szCs w:val="20"/>
                <w:color w:val="auto"/>
              </w:rPr>
            </w:pPr>
            <w:r>
              <w:rPr>
                <w:rFonts w:ascii="Verdana" w:cs="Verdana" w:eastAsia="Verdana" w:hAnsi="Verdana"/>
                <w:sz w:val="18"/>
                <w:szCs w:val="18"/>
                <w:color w:val="auto"/>
              </w:rPr>
              <w:t>Retail real estate</w:t>
            </w: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2,869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385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77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5"/>
              <w:spacing w:after="0"/>
              <w:rPr>
                <w:sz w:val="20"/>
                <w:szCs w:val="20"/>
                <w:color w:val="auto"/>
              </w:rPr>
            </w:pPr>
            <w:r>
              <w:rPr>
                <w:rFonts w:ascii="Verdana" w:cs="Verdana" w:eastAsia="Verdana" w:hAnsi="Verdana"/>
                <w:sz w:val="18"/>
                <w:szCs w:val="18"/>
                <w:color w:val="auto"/>
              </w:rPr>
              <w:t>3,668</w:t>
            </w:r>
          </w:p>
        </w:tc>
        <w:tc>
          <w:tcPr>
            <w:tcW w:w="0" w:type="dxa"/>
            <w:vAlign w:val="bottom"/>
          </w:tcPr>
          <w:p>
            <w:pPr>
              <w:spacing w:after="0"/>
              <w:rPr>
                <w:sz w:val="1"/>
                <w:szCs w:val="1"/>
                <w:color w:val="auto"/>
              </w:rPr>
            </w:pPr>
          </w:p>
        </w:tc>
      </w:tr>
      <w:tr>
        <w:trPr>
          <w:trHeight w:val="270"/>
        </w:trPr>
        <w:tc>
          <w:tcPr>
            <w:tcW w:w="49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Retail other</w:t>
            </w: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530</w:t>
            </w: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102</w:t>
            </w:r>
          </w:p>
        </w:tc>
        <w:tc>
          <w:tcPr>
            <w:tcW w:w="8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143</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Past due and non-accrual retail loans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3,399</w:t>
            </w: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487</w:t>
            </w:r>
          </w:p>
        </w:tc>
        <w:tc>
          <w:tcPr>
            <w:tcW w:w="8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88</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3,811</w:t>
            </w:r>
          </w:p>
        </w:tc>
        <w:tc>
          <w:tcPr>
            <w:tcW w:w="0" w:type="dxa"/>
            <w:vAlign w:val="bottom"/>
          </w:tcPr>
          <w:p>
            <w:pPr>
              <w:spacing w:after="0"/>
              <w:rPr>
                <w:sz w:val="1"/>
                <w:szCs w:val="1"/>
                <w:color w:val="auto"/>
              </w:rPr>
            </w:pPr>
          </w:p>
        </w:tc>
      </w:tr>
      <w:tr>
        <w:trPr>
          <w:trHeight w:val="295"/>
        </w:trPr>
        <w:tc>
          <w:tcPr>
            <w:tcW w:w="49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past due and non-accrual loans</w:t>
            </w:r>
          </w:p>
        </w:tc>
        <w:tc>
          <w:tcPr>
            <w:tcW w:w="2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6,616</w:t>
            </w: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825</w:t>
            </w:r>
          </w:p>
        </w:tc>
        <w:tc>
          <w:tcPr>
            <w:tcW w:w="8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88</w:t>
            </w:r>
          </w:p>
        </w:tc>
        <w:tc>
          <w:tcPr>
            <w:tcW w:w="100" w:type="dxa"/>
            <w:vAlign w:val="bottom"/>
            <w:tcBorders>
              <w:bottom w:val="single" w:sz="8" w:color="E0E7ED"/>
            </w:tcBorders>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17,465</w:t>
            </w:r>
          </w:p>
        </w:tc>
        <w:tc>
          <w:tcPr>
            <w:tcW w:w="0" w:type="dxa"/>
            <w:vAlign w:val="bottom"/>
          </w:tcPr>
          <w:p>
            <w:pPr>
              <w:spacing w:after="0"/>
              <w:rPr>
                <w:sz w:val="1"/>
                <w:szCs w:val="1"/>
                <w:color w:val="auto"/>
              </w:rPr>
            </w:pPr>
          </w:p>
        </w:tc>
      </w:tr>
      <w:tr>
        <w:trPr>
          <w:trHeight w:val="20"/>
        </w:trPr>
        <w:tc>
          <w:tcPr>
            <w:tcW w:w="49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00" w:type="dxa"/>
            <w:vAlign w:val="bottom"/>
            <w:tcBorders>
              <w:top w:val="single" w:sz="8" w:color="E0E7ED"/>
              <w:bottom w:val="single" w:sz="8" w:color="auto"/>
            </w:tcBorders>
            <w:gridSpan w:val="2"/>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320"/>
              <w:spacing w:after="0"/>
              <w:rPr>
                <w:sz w:val="20"/>
                <w:szCs w:val="20"/>
                <w:color w:val="auto"/>
              </w:rPr>
            </w:pPr>
            <w:r>
              <w:rPr>
                <w:rFonts w:ascii="Verdana" w:cs="Verdana" w:eastAsia="Verdana" w:hAnsi="Verdana"/>
                <w:sz w:val="13"/>
                <w:szCs w:val="13"/>
                <w:b w:val="1"/>
                <w:bCs w:val="1"/>
                <w:color w:val="auto"/>
                <w:w w:val="96"/>
              </w:rPr>
              <w:t>As of December 31, 2023</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6"/>
          </w:tcPr>
          <w:p>
            <w:pPr>
              <w:jc w:val="center"/>
              <w:ind w:left="875"/>
              <w:spacing w:after="0"/>
              <w:rPr>
                <w:sz w:val="20"/>
                <w:szCs w:val="20"/>
                <w:color w:val="auto"/>
              </w:rPr>
            </w:pPr>
            <w:r>
              <w:rPr>
                <w:rFonts w:ascii="Verdana" w:cs="Verdana" w:eastAsia="Verdana" w:hAnsi="Verdana"/>
                <w:sz w:val="13"/>
                <w:szCs w:val="13"/>
                <w:b w:val="1"/>
                <w:bCs w:val="1"/>
                <w:color w:val="auto"/>
                <w:w w:val="97"/>
              </w:rPr>
              <w:t>Loans past due, still accruing</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restart"/>
          </w:tcPr>
          <w:p>
            <w:pPr>
              <w:jc w:val="center"/>
              <w:ind w:right="135"/>
              <w:spacing w:after="0"/>
              <w:rPr>
                <w:sz w:val="20"/>
                <w:szCs w:val="20"/>
                <w:color w:val="auto"/>
              </w:rPr>
            </w:pPr>
            <w:r>
              <w:rPr>
                <w:rFonts w:ascii="Verdana" w:cs="Verdana" w:eastAsia="Verdana" w:hAnsi="Verdana"/>
                <w:sz w:val="13"/>
                <w:szCs w:val="13"/>
                <w:b w:val="1"/>
                <w:bCs w:val="1"/>
                <w:color w:val="auto"/>
                <w:w w:val="97"/>
              </w:rPr>
              <w:t>Non-accrual</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vMerge w:val="restart"/>
          </w:tcPr>
          <w:p>
            <w:pPr>
              <w:ind w:left="100"/>
              <w:spacing w:after="0"/>
              <w:rPr>
                <w:sz w:val="20"/>
                <w:szCs w:val="20"/>
                <w:color w:val="auto"/>
              </w:rPr>
            </w:pPr>
            <w:r>
              <w:rPr>
                <w:rFonts w:ascii="Verdana" w:cs="Verdana" w:eastAsia="Verdana" w:hAnsi="Verdana"/>
                <w:sz w:val="13"/>
                <w:szCs w:val="13"/>
                <w:b w:val="1"/>
                <w:bCs w:val="1"/>
                <w:color w:val="auto"/>
              </w:rPr>
              <w:t>30-59 Days</w:t>
            </w:r>
          </w:p>
        </w:tc>
        <w:tc>
          <w:tcPr>
            <w:tcW w:w="240" w:type="dxa"/>
            <w:vAlign w:val="bottom"/>
          </w:tcPr>
          <w:p>
            <w:pPr>
              <w:spacing w:after="0"/>
              <w:rPr>
                <w:sz w:val="2"/>
                <w:szCs w:val="2"/>
                <w:color w:val="auto"/>
              </w:rPr>
            </w:pPr>
          </w:p>
        </w:tc>
        <w:tc>
          <w:tcPr>
            <w:tcW w:w="1340" w:type="dxa"/>
            <w:vAlign w:val="bottom"/>
            <w:gridSpan w:val="2"/>
            <w:vMerge w:val="restart"/>
          </w:tcPr>
          <w:p>
            <w:pPr>
              <w:jc w:val="center"/>
              <w:ind w:right="320"/>
              <w:spacing w:after="0"/>
              <w:rPr>
                <w:sz w:val="20"/>
                <w:szCs w:val="20"/>
                <w:color w:val="auto"/>
              </w:rPr>
            </w:pPr>
            <w:r>
              <w:rPr>
                <w:rFonts w:ascii="Verdana" w:cs="Verdana" w:eastAsia="Verdana" w:hAnsi="Verdana"/>
                <w:sz w:val="13"/>
                <w:szCs w:val="13"/>
                <w:b w:val="1"/>
                <w:bCs w:val="1"/>
                <w:color w:val="auto"/>
                <w:w w:val="98"/>
              </w:rPr>
              <w:t>60-89 Days</w:t>
            </w:r>
          </w:p>
        </w:tc>
        <w:tc>
          <w:tcPr>
            <w:tcW w:w="320" w:type="dxa"/>
            <w:vAlign w:val="bottom"/>
          </w:tcPr>
          <w:p>
            <w:pPr>
              <w:spacing w:after="0"/>
              <w:rPr>
                <w:sz w:val="2"/>
                <w:szCs w:val="2"/>
                <w:color w:val="auto"/>
              </w:rPr>
            </w:pPr>
          </w:p>
        </w:tc>
        <w:tc>
          <w:tcPr>
            <w:tcW w:w="128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90+Days</w:t>
            </w:r>
          </w:p>
        </w:tc>
        <w:tc>
          <w:tcPr>
            <w:tcW w:w="22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5"/>
              <w:spacing w:after="0"/>
              <w:rPr>
                <w:sz w:val="20"/>
                <w:szCs w:val="20"/>
                <w:color w:val="auto"/>
              </w:rPr>
            </w:pPr>
            <w:r>
              <w:rPr>
                <w:rFonts w:ascii="Verdana" w:cs="Verdana" w:eastAsia="Verdana" w:hAnsi="Verdana"/>
                <w:sz w:val="13"/>
                <w:szCs w:val="13"/>
                <w:b w:val="1"/>
                <w:bCs w:val="1"/>
                <w:color w:val="auto"/>
                <w:w w:val="97"/>
              </w:rPr>
              <w:t>Loans</w:t>
            </w:r>
          </w:p>
        </w:tc>
        <w:tc>
          <w:tcPr>
            <w:tcW w:w="0" w:type="dxa"/>
            <w:vAlign w:val="bottom"/>
          </w:tcPr>
          <w:p>
            <w:pPr>
              <w:spacing w:after="0"/>
              <w:rPr>
                <w:sz w:val="1"/>
                <w:szCs w:val="1"/>
                <w:color w:val="auto"/>
              </w:rPr>
            </w:pP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Past due and non-accrual loans</w:t>
            </w: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Commercial loans: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C&amp;I and other commercial</w:t>
            </w: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214</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2,602</w:t>
            </w:r>
          </w:p>
        </w:tc>
        <w:tc>
          <w:tcPr>
            <w:tcW w:w="0" w:type="dxa"/>
            <w:vAlign w:val="bottom"/>
          </w:tcPr>
          <w:p>
            <w:pPr>
              <w:spacing w:after="0"/>
              <w:rPr>
                <w:sz w:val="1"/>
                <w:szCs w:val="1"/>
                <w:color w:val="auto"/>
              </w:rPr>
            </w:pPr>
          </w:p>
        </w:tc>
      </w:tr>
      <w:tr>
        <w:trPr>
          <w:trHeight w:val="263"/>
        </w:trPr>
        <w:tc>
          <w:tcPr>
            <w:tcW w:w="4980" w:type="dxa"/>
            <w:vAlign w:val="bottom"/>
          </w:tcPr>
          <w:p>
            <w:pPr>
              <w:ind w:left="360"/>
              <w:spacing w:after="0"/>
              <w:rPr>
                <w:sz w:val="20"/>
                <w:szCs w:val="20"/>
                <w:color w:val="auto"/>
              </w:rPr>
            </w:pPr>
            <w:r>
              <w:rPr>
                <w:rFonts w:ascii="Verdana" w:cs="Verdana" w:eastAsia="Verdana" w:hAnsi="Verdana"/>
                <w:sz w:val="18"/>
                <w:szCs w:val="18"/>
                <w:color w:val="auto"/>
              </w:rPr>
              <w:t>Commercial real estate</w:t>
            </w: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752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843</w:t>
            </w:r>
          </w:p>
        </w:tc>
        <w:tc>
          <w:tcPr>
            <w:tcW w:w="0" w:type="dxa"/>
            <w:vAlign w:val="bottom"/>
          </w:tcPr>
          <w:p>
            <w:pPr>
              <w:spacing w:after="0"/>
              <w:rPr>
                <w:sz w:val="1"/>
                <w:szCs w:val="1"/>
                <w:color w:val="auto"/>
              </w:rPr>
            </w:pPr>
          </w:p>
        </w:tc>
      </w:tr>
      <w:tr>
        <w:trPr>
          <w:trHeight w:val="270"/>
        </w:trPr>
        <w:tc>
          <w:tcPr>
            <w:tcW w:w="49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 estate construction</w:t>
            </w: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24</w:t>
            </w: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244</w:t>
            </w:r>
          </w:p>
        </w:tc>
        <w:tc>
          <w:tcPr>
            <w:tcW w:w="0" w:type="dxa"/>
            <w:vAlign w:val="bottom"/>
          </w:tcPr>
          <w:p>
            <w:pPr>
              <w:spacing w:after="0"/>
              <w:rPr>
                <w:sz w:val="1"/>
                <w:szCs w:val="1"/>
                <w:color w:val="auto"/>
              </w:rPr>
            </w:pPr>
          </w:p>
        </w:tc>
      </w:tr>
      <w:tr>
        <w:trPr>
          <w:trHeight w:val="264"/>
        </w:trPr>
        <w:tc>
          <w:tcPr>
            <w:tcW w:w="4980" w:type="dxa"/>
            <w:vAlign w:val="bottom"/>
          </w:tcPr>
          <w:p>
            <w:pPr>
              <w:ind w:left="180"/>
              <w:spacing w:after="0"/>
              <w:rPr>
                <w:sz w:val="20"/>
                <w:szCs w:val="20"/>
                <w:color w:val="auto"/>
              </w:rPr>
            </w:pPr>
            <w:r>
              <w:rPr>
                <w:rFonts w:ascii="Verdana" w:cs="Verdana" w:eastAsia="Verdana" w:hAnsi="Verdana"/>
                <w:sz w:val="18"/>
                <w:szCs w:val="18"/>
                <w:color w:val="auto"/>
              </w:rPr>
              <w:t>Past due and non-accrual commercial loans</w:t>
            </w: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776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214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80" w:type="dxa"/>
            <w:vAlign w:val="bottom"/>
          </w:tcPr>
          <w:p>
            <w:pPr>
              <w:jc w:val="right"/>
              <w:ind w:right="15"/>
              <w:spacing w:after="0"/>
              <w:rPr>
                <w:sz w:val="20"/>
                <w:szCs w:val="20"/>
                <w:color w:val="auto"/>
              </w:rPr>
            </w:pPr>
            <w:r>
              <w:rPr>
                <w:rFonts w:ascii="Verdana" w:cs="Verdana" w:eastAsia="Verdana" w:hAnsi="Verdana"/>
                <w:sz w:val="18"/>
                <w:szCs w:val="18"/>
                <w:color w:val="auto"/>
              </w:rPr>
              <w:t>3,689</w:t>
            </w:r>
          </w:p>
        </w:tc>
        <w:tc>
          <w:tcPr>
            <w:tcW w:w="0" w:type="dxa"/>
            <w:vAlign w:val="bottom"/>
          </w:tcPr>
          <w:p>
            <w:pPr>
              <w:spacing w:after="0"/>
              <w:rPr>
                <w:sz w:val="1"/>
                <w:szCs w:val="1"/>
                <w:color w:val="auto"/>
              </w:rPr>
            </w:pPr>
          </w:p>
        </w:tc>
      </w:tr>
      <w:tr>
        <w:trPr>
          <w:trHeight w:val="256"/>
        </w:trPr>
        <w:tc>
          <w:tcPr>
            <w:tcW w:w="4980" w:type="dxa"/>
            <w:vAlign w:val="bottom"/>
            <w:tcBorders>
              <w:top w:val="single" w:sz="8" w:color="E0E7ED"/>
            </w:tcBorders>
            <w:shd w:val="clear" w:color="auto" w:fill="E0E7ED"/>
          </w:tcPr>
          <w:p>
            <w:pPr>
              <w:ind w:left="180"/>
              <w:spacing w:after="0"/>
              <w:rPr>
                <w:sz w:val="20"/>
                <w:szCs w:val="20"/>
                <w:color w:val="auto"/>
              </w:rPr>
            </w:pPr>
            <w:r>
              <w:rPr>
                <w:rFonts w:ascii="Verdana" w:cs="Verdana" w:eastAsia="Verdana" w:hAnsi="Verdana"/>
                <w:sz w:val="18"/>
                <w:szCs w:val="18"/>
                <w:color w:val="auto"/>
              </w:rPr>
              <w:t>Retail loans:</w:t>
            </w: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360"/>
              <w:spacing w:after="0"/>
              <w:rPr>
                <w:sz w:val="20"/>
                <w:szCs w:val="20"/>
                <w:color w:val="auto"/>
              </w:rPr>
            </w:pPr>
            <w:r>
              <w:rPr>
                <w:rFonts w:ascii="Verdana" w:cs="Verdana" w:eastAsia="Verdana" w:hAnsi="Verdana"/>
                <w:sz w:val="18"/>
                <w:szCs w:val="18"/>
                <w:color w:val="auto"/>
              </w:rPr>
              <w:t>Retail real estate</w:t>
            </w: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2,781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927</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366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5"/>
              <w:spacing w:after="0"/>
              <w:rPr>
                <w:sz w:val="20"/>
                <w:szCs w:val="20"/>
                <w:color w:val="auto"/>
              </w:rPr>
            </w:pPr>
            <w:r>
              <w:rPr>
                <w:rFonts w:ascii="Verdana" w:cs="Verdana" w:eastAsia="Verdana" w:hAnsi="Verdana"/>
                <w:sz w:val="18"/>
                <w:szCs w:val="18"/>
                <w:color w:val="auto"/>
              </w:rPr>
              <w:t>3,595</w:t>
            </w:r>
          </w:p>
        </w:tc>
        <w:tc>
          <w:tcPr>
            <w:tcW w:w="0" w:type="dxa"/>
            <w:vAlign w:val="bottom"/>
          </w:tcPr>
          <w:p>
            <w:pPr>
              <w:spacing w:after="0"/>
              <w:rPr>
                <w:sz w:val="1"/>
                <w:szCs w:val="1"/>
                <w:color w:val="auto"/>
              </w:rPr>
            </w:pPr>
          </w:p>
        </w:tc>
      </w:tr>
      <w:tr>
        <w:trPr>
          <w:trHeight w:val="270"/>
        </w:trPr>
        <w:tc>
          <w:tcPr>
            <w:tcW w:w="49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Retail other</w:t>
            </w: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886</w:t>
            </w: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195</w:t>
            </w:r>
          </w:p>
        </w:tc>
        <w:tc>
          <w:tcPr>
            <w:tcW w:w="8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157</w:t>
            </w:r>
          </w:p>
        </w:tc>
        <w:tc>
          <w:tcPr>
            <w:tcW w:w="0" w:type="dxa"/>
            <w:vAlign w:val="bottom"/>
          </w:tcPr>
          <w:p>
            <w:pPr>
              <w:spacing w:after="0"/>
              <w:rPr>
                <w:sz w:val="1"/>
                <w:szCs w:val="1"/>
                <w:color w:val="auto"/>
              </w:rPr>
            </w:pPr>
          </w:p>
        </w:tc>
      </w:tr>
      <w:tr>
        <w:trPr>
          <w:trHeight w:val="264"/>
        </w:trPr>
        <w:tc>
          <w:tcPr>
            <w:tcW w:w="49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Past due and non-accrual retail loans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3,667</w:t>
            </w: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1,122</w:t>
            </w:r>
          </w:p>
        </w:tc>
        <w:tc>
          <w:tcPr>
            <w:tcW w:w="8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375</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3,752</w:t>
            </w:r>
          </w:p>
        </w:tc>
        <w:tc>
          <w:tcPr>
            <w:tcW w:w="0" w:type="dxa"/>
            <w:vAlign w:val="bottom"/>
          </w:tcPr>
          <w:p>
            <w:pPr>
              <w:spacing w:after="0"/>
              <w:rPr>
                <w:sz w:val="1"/>
                <w:szCs w:val="1"/>
                <w:color w:val="auto"/>
              </w:rPr>
            </w:pPr>
          </w:p>
        </w:tc>
      </w:tr>
      <w:tr>
        <w:trPr>
          <w:trHeight w:val="295"/>
        </w:trPr>
        <w:tc>
          <w:tcPr>
            <w:tcW w:w="49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past due and non-accrual loans</w:t>
            </w:r>
          </w:p>
        </w:tc>
        <w:tc>
          <w:tcPr>
            <w:tcW w:w="2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4,443</w:t>
            </w: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1,336</w:t>
            </w:r>
          </w:p>
        </w:tc>
        <w:tc>
          <w:tcPr>
            <w:tcW w:w="8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375</w:t>
            </w:r>
          </w:p>
        </w:tc>
        <w:tc>
          <w:tcPr>
            <w:tcW w:w="100" w:type="dxa"/>
            <w:vAlign w:val="bottom"/>
            <w:tcBorders>
              <w:bottom w:val="single" w:sz="8" w:color="E0E7ED"/>
            </w:tcBorders>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7,441</w:t>
            </w:r>
          </w:p>
        </w:tc>
        <w:tc>
          <w:tcPr>
            <w:tcW w:w="0" w:type="dxa"/>
            <w:vAlign w:val="bottom"/>
          </w:tcPr>
          <w:p>
            <w:pPr>
              <w:spacing w:after="0"/>
              <w:rPr>
                <w:sz w:val="1"/>
                <w:szCs w:val="1"/>
                <w:color w:val="auto"/>
              </w:rPr>
            </w:pPr>
          </w:p>
        </w:tc>
      </w:tr>
      <w:tr>
        <w:trPr>
          <w:trHeight w:val="20"/>
        </w:trPr>
        <w:tc>
          <w:tcPr>
            <w:tcW w:w="49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Gross interest income recorded on 90+ days past due loans, and that would have been recorded on non-accrual loans if they had been accruing interest in accordance with their original terms, was $0.3 million for the three months ended March 31, 2024, and was $0.4 million for the three months ended March 31, 2023. The amount of interest collected on those loans and recognized on a cash basis that was included in interest income was immaterial for the three months ended March 31, 2024 and 2023.</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6" w:name="page27"/>
    <w:bookmarkEnd w:id="2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Loan Modifications for Borrowers Experiencing Financial Difficulty</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The following tables present the amortized cost basis of loans that were modified—specifically in the form of (1) principal forgiveness, (2) an interest rate reduction, (3) an other-than-insignificant payment deferral, and/or (4) a term extension— for borrowers experiencing financial difficulty during the periods indicated, disaggregated by class of financing receivable and type of concession granted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137"/>
              <w:spacing w:after="0"/>
              <w:rPr>
                <w:sz w:val="20"/>
                <w:szCs w:val="20"/>
                <w:color w:val="auto"/>
              </w:rPr>
            </w:pPr>
            <w:r>
              <w:rPr>
                <w:rFonts w:ascii="Verdana" w:cs="Verdana" w:eastAsia="Verdana" w:hAnsi="Verdana"/>
                <w:sz w:val="13"/>
                <w:szCs w:val="13"/>
                <w:b w:val="1"/>
                <w:bCs w:val="1"/>
                <w:color w:val="auto"/>
              </w:rPr>
              <w:t>Three Months Ended March 31, 2024</w:t>
            </w: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780" w:type="dxa"/>
            <w:vAlign w:val="bottom"/>
          </w:tcPr>
          <w:p>
            <w:pPr>
              <w:spacing w:after="0"/>
              <w:rPr>
                <w:sz w:val="10"/>
                <w:szCs w:val="10"/>
                <w:color w:val="auto"/>
              </w:rPr>
            </w:pPr>
          </w:p>
        </w:tc>
        <w:tc>
          <w:tcPr>
            <w:tcW w:w="1460" w:type="dxa"/>
            <w:vAlign w:val="bottom"/>
            <w:gridSpan w:val="2"/>
            <w:vMerge w:val="restart"/>
          </w:tcPr>
          <w:p>
            <w:pPr>
              <w:jc w:val="right"/>
              <w:spacing w:after="0"/>
              <w:rPr>
                <w:sz w:val="20"/>
                <w:szCs w:val="20"/>
                <w:color w:val="auto"/>
              </w:rPr>
            </w:pPr>
            <w:r>
              <w:rPr>
                <w:rFonts w:ascii="Verdana" w:cs="Verdana" w:eastAsia="Verdana" w:hAnsi="Verdana"/>
                <w:sz w:val="13"/>
                <w:szCs w:val="13"/>
                <w:b w:val="1"/>
                <w:bCs w:val="1"/>
                <w:color w:val="auto"/>
              </w:rPr>
              <w:t>Payment Deferral</w:t>
            </w:r>
            <w:r>
              <w:rPr>
                <w:rFonts w:ascii="Verdana" w:cs="Verdana" w:eastAsia="Verdana" w:hAnsi="Verdana"/>
                <w:sz w:val="16"/>
                <w:szCs w:val="16"/>
                <w:b w:val="1"/>
                <w:bCs w:val="1"/>
                <w:color w:val="auto"/>
                <w:vertAlign w:val="superscript"/>
              </w:rPr>
              <w:t>1</w:t>
            </w:r>
          </w:p>
        </w:tc>
        <w:tc>
          <w:tcPr>
            <w:tcW w:w="80" w:type="dxa"/>
            <w:vAlign w:val="bottom"/>
          </w:tcPr>
          <w:p>
            <w:pPr>
              <w:spacing w:after="0"/>
              <w:rPr>
                <w:sz w:val="10"/>
                <w:szCs w:val="10"/>
                <w:color w:val="auto"/>
              </w:rPr>
            </w:pPr>
          </w:p>
        </w:tc>
        <w:tc>
          <w:tcPr>
            <w:tcW w:w="174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7"/>
              </w:rPr>
              <w:t>% of Total Class of</w:t>
            </w:r>
          </w:p>
        </w:tc>
        <w:tc>
          <w:tcPr>
            <w:tcW w:w="140" w:type="dxa"/>
            <w:vAlign w:val="bottom"/>
          </w:tcPr>
          <w:p>
            <w:pPr>
              <w:spacing w:after="0"/>
              <w:rPr>
                <w:sz w:val="10"/>
                <w:szCs w:val="10"/>
                <w:color w:val="auto"/>
              </w:rPr>
            </w:pPr>
          </w:p>
        </w:tc>
        <w:tc>
          <w:tcPr>
            <w:tcW w:w="1320" w:type="dxa"/>
            <w:vAlign w:val="bottom"/>
            <w:vMerge w:val="restart"/>
          </w:tcPr>
          <w:p>
            <w:pPr>
              <w:jc w:val="right"/>
              <w:ind w:right="77"/>
              <w:spacing w:after="0"/>
              <w:rPr>
                <w:sz w:val="20"/>
                <w:szCs w:val="20"/>
                <w:color w:val="auto"/>
              </w:rPr>
            </w:pPr>
            <w:r>
              <w:rPr>
                <w:rFonts w:ascii="Verdana" w:cs="Verdana" w:eastAsia="Verdana" w:hAnsi="Verdana"/>
                <w:sz w:val="13"/>
                <w:szCs w:val="13"/>
                <w:b w:val="1"/>
                <w:bCs w:val="1"/>
                <w:color w:val="auto"/>
                <w:w w:val="93"/>
              </w:rPr>
              <w:t>Term Extension</w:t>
            </w:r>
            <w:r>
              <w:rPr>
                <w:rFonts w:ascii="Verdana" w:cs="Verdana" w:eastAsia="Verdana" w:hAnsi="Verdana"/>
                <w:sz w:val="16"/>
                <w:szCs w:val="16"/>
                <w:b w:val="1"/>
                <w:bCs w:val="1"/>
                <w:color w:val="auto"/>
                <w:w w:val="93"/>
                <w:vertAlign w:val="superscript"/>
              </w:rPr>
              <w:t>2</w:t>
            </w:r>
          </w:p>
        </w:tc>
        <w:tc>
          <w:tcPr>
            <w:tcW w:w="80" w:type="dxa"/>
            <w:vAlign w:val="bottom"/>
          </w:tcPr>
          <w:p>
            <w:pPr>
              <w:spacing w:after="0"/>
              <w:rPr>
                <w:sz w:val="10"/>
                <w:szCs w:val="10"/>
                <w:color w:val="auto"/>
              </w:rPr>
            </w:pPr>
          </w:p>
        </w:tc>
        <w:tc>
          <w:tcPr>
            <w:tcW w:w="1640" w:type="dxa"/>
            <w:vAlign w:val="bottom"/>
          </w:tcPr>
          <w:p>
            <w:pPr>
              <w:jc w:val="right"/>
              <w:ind w:right="77"/>
              <w:spacing w:after="0" w:line="122" w:lineRule="exact"/>
              <w:rPr>
                <w:sz w:val="20"/>
                <w:szCs w:val="20"/>
                <w:color w:val="auto"/>
              </w:rPr>
            </w:pPr>
            <w:r>
              <w:rPr>
                <w:rFonts w:ascii="Verdana" w:cs="Verdana" w:eastAsia="Verdana" w:hAnsi="Verdana"/>
                <w:sz w:val="13"/>
                <w:szCs w:val="13"/>
                <w:b w:val="1"/>
                <w:bCs w:val="1"/>
                <w:color w:val="auto"/>
              </w:rPr>
              <w:t>% of Total Class of</w:t>
            </w: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100"/>
              <w:spacing w:after="0"/>
              <w:rPr>
                <w:sz w:val="20"/>
                <w:szCs w:val="20"/>
                <w:color w:val="auto"/>
              </w:rPr>
            </w:pPr>
            <w:r>
              <w:rPr>
                <w:rFonts w:ascii="Verdana" w:cs="Verdana" w:eastAsia="Verdana" w:hAnsi="Verdana"/>
                <w:sz w:val="13"/>
                <w:szCs w:val="13"/>
                <w:b w:val="1"/>
                <w:bCs w:val="1"/>
                <w:color w:val="auto"/>
                <w:w w:val="96"/>
              </w:rPr>
              <w:t>Financing Receivable</w:t>
            </w:r>
          </w:p>
        </w:tc>
        <w:tc>
          <w:tcPr>
            <w:tcW w:w="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right"/>
              <w:ind w:right="17"/>
              <w:spacing w:after="0"/>
              <w:rPr>
                <w:sz w:val="20"/>
                <w:szCs w:val="20"/>
                <w:color w:val="auto"/>
              </w:rPr>
            </w:pPr>
            <w:r>
              <w:rPr>
                <w:rFonts w:ascii="Verdana" w:cs="Verdana" w:eastAsia="Verdana" w:hAnsi="Verdana"/>
                <w:sz w:val="13"/>
                <w:szCs w:val="13"/>
                <w:b w:val="1"/>
                <w:bCs w:val="1"/>
                <w:color w:val="auto"/>
              </w:rPr>
              <w:t>Financing Receivable</w:t>
            </w:r>
          </w:p>
        </w:tc>
        <w:tc>
          <w:tcPr>
            <w:tcW w:w="0" w:type="dxa"/>
            <w:vAlign w:val="bottom"/>
          </w:tcPr>
          <w:p>
            <w:pPr>
              <w:spacing w:after="0"/>
              <w:rPr>
                <w:sz w:val="1"/>
                <w:szCs w:val="1"/>
                <w:color w:val="auto"/>
              </w:rPr>
            </w:pPr>
          </w:p>
        </w:tc>
      </w:tr>
      <w:tr>
        <w:trPr>
          <w:trHeight w:val="250"/>
        </w:trPr>
        <w:tc>
          <w:tcPr>
            <w:tcW w:w="4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Modified Loans</w:t>
            </w:r>
          </w:p>
        </w:tc>
        <w:tc>
          <w:tcPr>
            <w:tcW w:w="420" w:type="dxa"/>
            <w:vAlign w:val="bottom"/>
            <w:tcBorders>
              <w:top w:val="single" w:sz="8" w:color="auto"/>
            </w:tcBorders>
            <w:shd w:val="clear" w:color="auto" w:fill="E0E7ED"/>
          </w:tcPr>
          <w:p>
            <w:pPr>
              <w:spacing w:after="0"/>
              <w:rPr>
                <w:sz w:val="21"/>
                <w:szCs w:val="21"/>
                <w:color w:val="auto"/>
              </w:rPr>
            </w:pPr>
          </w:p>
        </w:tc>
        <w:tc>
          <w:tcPr>
            <w:tcW w:w="104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4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132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4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420" w:type="dxa"/>
            <w:vAlign w:val="bottom"/>
          </w:tcPr>
          <w:p>
            <w:pPr>
              <w:jc w:val="right"/>
              <w:ind w:right="219"/>
              <w:spacing w:after="0"/>
              <w:rPr>
                <w:sz w:val="20"/>
                <w:szCs w:val="20"/>
                <w:color w:val="auto"/>
              </w:rPr>
            </w:pPr>
            <w:r>
              <w:rPr>
                <w:rFonts w:ascii="Verdana" w:cs="Verdana" w:eastAsia="Verdana" w:hAnsi="Verdana"/>
                <w:sz w:val="18"/>
                <w:szCs w:val="18"/>
                <w:color w:val="auto"/>
                <w:w w:val="86"/>
              </w:rPr>
              <w:t>$</w:t>
            </w:r>
          </w:p>
        </w:tc>
        <w:tc>
          <w:tcPr>
            <w:tcW w:w="1040" w:type="dxa"/>
            <w:vAlign w:val="bottom"/>
          </w:tcPr>
          <w:p>
            <w:pPr>
              <w:jc w:val="right"/>
              <w:ind w:right="10"/>
              <w:spacing w:after="0"/>
              <w:rPr>
                <w:sz w:val="20"/>
                <w:szCs w:val="20"/>
                <w:color w:val="auto"/>
              </w:rPr>
            </w:pPr>
            <w:r>
              <w:rPr>
                <w:rFonts w:ascii="Verdana" w:cs="Verdana" w:eastAsia="Verdana" w:hAnsi="Verdana"/>
                <w:sz w:val="18"/>
                <w:szCs w:val="18"/>
                <w:color w:val="auto"/>
              </w:rPr>
              <w:t>10,000</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0.5 %</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7"/>
              <w:spacing w:after="0"/>
              <w:rPr>
                <w:sz w:val="20"/>
                <w:szCs w:val="20"/>
                <w:color w:val="auto"/>
              </w:rPr>
            </w:pPr>
            <w:r>
              <w:rPr>
                <w:rFonts w:ascii="Verdana" w:cs="Verdana" w:eastAsia="Verdana" w:hAnsi="Verdana"/>
                <w:sz w:val="18"/>
                <w:szCs w:val="18"/>
                <w:color w:val="auto"/>
              </w:rPr>
              <w:t>17,155</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0.9 %</w:t>
            </w:r>
          </w:p>
        </w:tc>
        <w:tc>
          <w:tcPr>
            <w:tcW w:w="0" w:type="dxa"/>
            <w:vAlign w:val="bottom"/>
          </w:tcPr>
          <w:p>
            <w:pPr>
              <w:spacing w:after="0"/>
              <w:rPr>
                <w:sz w:val="1"/>
                <w:szCs w:val="1"/>
                <w:color w:val="auto"/>
              </w:rPr>
            </w:pPr>
          </w:p>
        </w:tc>
      </w:tr>
      <w:tr>
        <w:trPr>
          <w:trHeight w:val="270"/>
        </w:trPr>
        <w:tc>
          <w:tcPr>
            <w:tcW w:w="47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420" w:type="dxa"/>
            <w:vAlign w:val="bottom"/>
            <w:tcBorders>
              <w:bottom w:val="single" w:sz="8" w:color="auto"/>
            </w:tcBorders>
            <w:shd w:val="clear" w:color="auto" w:fill="E0E7ED"/>
          </w:tcPr>
          <w:p>
            <w:pPr>
              <w:spacing w:after="0"/>
              <w:rPr>
                <w:sz w:val="23"/>
                <w:szCs w:val="23"/>
                <w:color w:val="auto"/>
              </w:rPr>
            </w:pPr>
          </w:p>
        </w:tc>
        <w:tc>
          <w:tcPr>
            <w:tcW w:w="10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3"/>
                <w:szCs w:val="23"/>
                <w:color w:val="auto"/>
              </w:rPr>
            </w:pPr>
          </w:p>
        </w:tc>
        <w:tc>
          <w:tcPr>
            <w:tcW w:w="17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 %</w:t>
            </w:r>
          </w:p>
        </w:tc>
        <w:tc>
          <w:tcPr>
            <w:tcW w:w="14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1,705</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0.1 %</w:t>
            </w:r>
          </w:p>
        </w:tc>
        <w:tc>
          <w:tcPr>
            <w:tcW w:w="0" w:type="dxa"/>
            <w:vAlign w:val="bottom"/>
          </w:tcPr>
          <w:p>
            <w:pPr>
              <w:spacing w:after="0"/>
              <w:rPr>
                <w:sz w:val="1"/>
                <w:szCs w:val="1"/>
                <w:color w:val="auto"/>
              </w:rPr>
            </w:pPr>
          </w:p>
        </w:tc>
      </w:tr>
      <w:tr>
        <w:trPr>
          <w:trHeight w:val="270"/>
        </w:trPr>
        <w:tc>
          <w:tcPr>
            <w:tcW w:w="4780" w:type="dxa"/>
            <w:vAlign w:val="bottom"/>
          </w:tcPr>
          <w:p>
            <w:pPr>
              <w:ind w:left="20"/>
              <w:spacing w:after="0"/>
              <w:rPr>
                <w:sz w:val="20"/>
                <w:szCs w:val="20"/>
                <w:color w:val="auto"/>
              </w:rPr>
            </w:pPr>
            <w:r>
              <w:rPr>
                <w:rFonts w:ascii="Verdana" w:cs="Verdana" w:eastAsia="Verdana" w:hAnsi="Verdana"/>
                <w:sz w:val="18"/>
                <w:szCs w:val="18"/>
                <w:color w:val="auto"/>
              </w:rPr>
              <w:t>Total of loans modified during the period</w:t>
            </w:r>
          </w:p>
        </w:tc>
        <w:tc>
          <w:tcPr>
            <w:tcW w:w="420" w:type="dxa"/>
            <w:vAlign w:val="bottom"/>
            <w:tcBorders>
              <w:bottom w:val="single" w:sz="8" w:color="auto"/>
            </w:tcBorders>
          </w:tcPr>
          <w:p>
            <w:pPr>
              <w:jc w:val="right"/>
              <w:ind w:right="219"/>
              <w:spacing w:after="0"/>
              <w:rPr>
                <w:sz w:val="20"/>
                <w:szCs w:val="20"/>
                <w:color w:val="auto"/>
              </w:rPr>
            </w:pPr>
            <w:r>
              <w:rPr>
                <w:rFonts w:ascii="Verdana" w:cs="Verdana" w:eastAsia="Verdana" w:hAnsi="Verdana"/>
                <w:sz w:val="18"/>
                <w:szCs w:val="18"/>
                <w:color w:val="auto"/>
                <w:w w:val="86"/>
              </w:rPr>
              <w:t>$</w:t>
            </w:r>
          </w:p>
        </w:tc>
        <w:tc>
          <w:tcPr>
            <w:tcW w:w="10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10,000</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0.1 %</w:t>
            </w:r>
          </w:p>
        </w:tc>
        <w:tc>
          <w:tcPr>
            <w:tcW w:w="10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18,860</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0.2 %</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8"/>
        </w:numPr>
        <w:rPr>
          <w:rFonts w:ascii="Verdana" w:cs="Verdana" w:eastAsia="Verdana" w:hAnsi="Verdana"/>
          <w:sz w:val="13"/>
          <w:szCs w:val="13"/>
          <w:color w:val="auto"/>
        </w:rPr>
      </w:pPr>
      <w:r>
        <w:rPr>
          <w:rFonts w:ascii="Verdana" w:cs="Verdana" w:eastAsia="Verdana" w:hAnsi="Verdana"/>
          <w:sz w:val="13"/>
          <w:szCs w:val="13"/>
          <w:color w:val="auto"/>
        </w:rPr>
        <w:t>One loan was modified and classified as non-accrual during the three months ended March 31, 2024.</w:t>
      </w:r>
    </w:p>
    <w:p>
      <w:pPr>
        <w:ind w:left="500" w:hanging="330"/>
        <w:spacing w:after="0" w:line="256" w:lineRule="auto"/>
        <w:tabs>
          <w:tab w:leader="none" w:pos="491" w:val="left"/>
        </w:tabs>
        <w:numPr>
          <w:ilvl w:val="0"/>
          <w:numId w:val="8"/>
        </w:numPr>
        <w:rPr>
          <w:rFonts w:ascii="Verdana" w:cs="Verdana" w:eastAsia="Verdana" w:hAnsi="Verdana"/>
          <w:sz w:val="13"/>
          <w:szCs w:val="13"/>
          <w:color w:val="auto"/>
        </w:rPr>
      </w:pPr>
      <w:r>
        <w:rPr>
          <w:rFonts w:ascii="Verdana" w:cs="Verdana" w:eastAsia="Verdana" w:hAnsi="Verdana"/>
          <w:sz w:val="13"/>
          <w:szCs w:val="13"/>
          <w:color w:val="auto"/>
        </w:rPr>
        <w:t>Modifications to extend loan terms also included, in some cases, interest rate increases during the extension period. All modifications were for loans classified as substandard.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137"/>
              <w:spacing w:after="0"/>
              <w:rPr>
                <w:sz w:val="20"/>
                <w:szCs w:val="20"/>
                <w:color w:val="auto"/>
              </w:rPr>
            </w:pPr>
            <w:r>
              <w:rPr>
                <w:rFonts w:ascii="Verdana" w:cs="Verdana" w:eastAsia="Verdana" w:hAnsi="Verdana"/>
                <w:sz w:val="13"/>
                <w:szCs w:val="13"/>
                <w:b w:val="1"/>
                <w:bCs w:val="1"/>
                <w:color w:val="auto"/>
              </w:rPr>
              <w:t>Three Months Ended March 31, 2023</w:t>
            </w: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780" w:type="dxa"/>
            <w:vAlign w:val="bottom"/>
          </w:tcPr>
          <w:p>
            <w:pPr>
              <w:spacing w:after="0"/>
              <w:rPr>
                <w:sz w:val="10"/>
                <w:szCs w:val="10"/>
                <w:color w:val="auto"/>
              </w:rPr>
            </w:pPr>
          </w:p>
        </w:tc>
        <w:tc>
          <w:tcPr>
            <w:tcW w:w="1460" w:type="dxa"/>
            <w:vAlign w:val="bottom"/>
            <w:gridSpan w:val="2"/>
            <w:vMerge w:val="restart"/>
          </w:tcPr>
          <w:p>
            <w:pPr>
              <w:jc w:val="right"/>
              <w:spacing w:after="0"/>
              <w:rPr>
                <w:sz w:val="20"/>
                <w:szCs w:val="20"/>
                <w:color w:val="auto"/>
              </w:rPr>
            </w:pPr>
            <w:r>
              <w:rPr>
                <w:rFonts w:ascii="Verdana" w:cs="Verdana" w:eastAsia="Verdana" w:hAnsi="Verdana"/>
                <w:sz w:val="13"/>
                <w:szCs w:val="13"/>
                <w:b w:val="1"/>
                <w:bCs w:val="1"/>
                <w:color w:val="auto"/>
              </w:rPr>
              <w:t>Payment Deferral</w:t>
            </w:r>
            <w:r>
              <w:rPr>
                <w:rFonts w:ascii="Verdana" w:cs="Verdana" w:eastAsia="Verdana" w:hAnsi="Verdana"/>
                <w:sz w:val="16"/>
                <w:szCs w:val="16"/>
                <w:b w:val="1"/>
                <w:bCs w:val="1"/>
                <w:color w:val="auto"/>
                <w:vertAlign w:val="superscript"/>
              </w:rPr>
              <w:t>1</w:t>
            </w:r>
          </w:p>
        </w:tc>
        <w:tc>
          <w:tcPr>
            <w:tcW w:w="80" w:type="dxa"/>
            <w:vAlign w:val="bottom"/>
          </w:tcPr>
          <w:p>
            <w:pPr>
              <w:spacing w:after="0"/>
              <w:rPr>
                <w:sz w:val="10"/>
                <w:szCs w:val="10"/>
                <w:color w:val="auto"/>
              </w:rPr>
            </w:pPr>
          </w:p>
        </w:tc>
        <w:tc>
          <w:tcPr>
            <w:tcW w:w="174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7"/>
              </w:rPr>
              <w:t>% of Total Class of</w:t>
            </w:r>
          </w:p>
        </w:tc>
        <w:tc>
          <w:tcPr>
            <w:tcW w:w="140" w:type="dxa"/>
            <w:vAlign w:val="bottom"/>
          </w:tcPr>
          <w:p>
            <w:pPr>
              <w:spacing w:after="0"/>
              <w:rPr>
                <w:sz w:val="10"/>
                <w:szCs w:val="10"/>
                <w:color w:val="auto"/>
              </w:rPr>
            </w:pPr>
          </w:p>
        </w:tc>
        <w:tc>
          <w:tcPr>
            <w:tcW w:w="1320" w:type="dxa"/>
            <w:vAlign w:val="bottom"/>
            <w:vMerge w:val="restart"/>
          </w:tcPr>
          <w:p>
            <w:pPr>
              <w:jc w:val="right"/>
              <w:ind w:right="77"/>
              <w:spacing w:after="0"/>
              <w:rPr>
                <w:sz w:val="20"/>
                <w:szCs w:val="20"/>
                <w:color w:val="auto"/>
              </w:rPr>
            </w:pPr>
            <w:r>
              <w:rPr>
                <w:rFonts w:ascii="Verdana" w:cs="Verdana" w:eastAsia="Verdana" w:hAnsi="Verdana"/>
                <w:sz w:val="13"/>
                <w:szCs w:val="13"/>
                <w:b w:val="1"/>
                <w:bCs w:val="1"/>
                <w:color w:val="auto"/>
                <w:w w:val="93"/>
              </w:rPr>
              <w:t>Term Extension</w:t>
            </w:r>
            <w:r>
              <w:rPr>
                <w:rFonts w:ascii="Verdana" w:cs="Verdana" w:eastAsia="Verdana" w:hAnsi="Verdana"/>
                <w:sz w:val="16"/>
                <w:szCs w:val="16"/>
                <w:b w:val="1"/>
                <w:bCs w:val="1"/>
                <w:color w:val="auto"/>
                <w:w w:val="93"/>
                <w:vertAlign w:val="superscript"/>
              </w:rPr>
              <w:t>3</w:t>
            </w:r>
          </w:p>
        </w:tc>
        <w:tc>
          <w:tcPr>
            <w:tcW w:w="80" w:type="dxa"/>
            <w:vAlign w:val="bottom"/>
          </w:tcPr>
          <w:p>
            <w:pPr>
              <w:spacing w:after="0"/>
              <w:rPr>
                <w:sz w:val="10"/>
                <w:szCs w:val="10"/>
                <w:color w:val="auto"/>
              </w:rPr>
            </w:pPr>
          </w:p>
        </w:tc>
        <w:tc>
          <w:tcPr>
            <w:tcW w:w="1640" w:type="dxa"/>
            <w:vAlign w:val="bottom"/>
          </w:tcPr>
          <w:p>
            <w:pPr>
              <w:jc w:val="right"/>
              <w:ind w:right="77"/>
              <w:spacing w:after="0" w:line="122" w:lineRule="exact"/>
              <w:rPr>
                <w:sz w:val="20"/>
                <w:szCs w:val="20"/>
                <w:color w:val="auto"/>
              </w:rPr>
            </w:pPr>
            <w:r>
              <w:rPr>
                <w:rFonts w:ascii="Verdana" w:cs="Verdana" w:eastAsia="Verdana" w:hAnsi="Verdana"/>
                <w:sz w:val="13"/>
                <w:szCs w:val="13"/>
                <w:b w:val="1"/>
                <w:bCs w:val="1"/>
                <w:color w:val="auto"/>
              </w:rPr>
              <w:t>% of Total Class of</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100"/>
              <w:spacing w:after="0" w:line="176" w:lineRule="exact"/>
              <w:rPr>
                <w:sz w:val="20"/>
                <w:szCs w:val="20"/>
                <w:color w:val="auto"/>
              </w:rPr>
            </w:pPr>
            <w:r>
              <w:rPr>
                <w:rFonts w:ascii="Verdana" w:cs="Verdana" w:eastAsia="Verdana" w:hAnsi="Verdana"/>
                <w:sz w:val="13"/>
                <w:szCs w:val="13"/>
                <w:b w:val="1"/>
                <w:bCs w:val="1"/>
                <w:color w:val="auto"/>
                <w:w w:val="96"/>
              </w:rPr>
              <w:t>Financing Receivable</w:t>
            </w:r>
            <w:r>
              <w:rPr>
                <w:rFonts w:ascii="Verdana" w:cs="Verdana" w:eastAsia="Verdana" w:hAnsi="Verdana"/>
                <w:sz w:val="16"/>
                <w:szCs w:val="16"/>
                <w:b w:val="1"/>
                <w:bCs w:val="1"/>
                <w:color w:val="auto"/>
                <w:w w:val="96"/>
                <w:vertAlign w:val="superscript"/>
              </w:rPr>
              <w:t>2</w:t>
            </w:r>
          </w:p>
        </w:tc>
        <w:tc>
          <w:tcPr>
            <w:tcW w:w="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right"/>
              <w:ind w:right="17"/>
              <w:spacing w:after="0"/>
              <w:rPr>
                <w:sz w:val="20"/>
                <w:szCs w:val="20"/>
                <w:color w:val="auto"/>
              </w:rPr>
            </w:pPr>
            <w:r>
              <w:rPr>
                <w:rFonts w:ascii="Verdana" w:cs="Verdana" w:eastAsia="Verdana" w:hAnsi="Verdana"/>
                <w:sz w:val="13"/>
                <w:szCs w:val="13"/>
                <w:b w:val="1"/>
                <w:bCs w:val="1"/>
                <w:color w:val="auto"/>
              </w:rPr>
              <w:t>Financing Receivable</w:t>
            </w:r>
          </w:p>
        </w:tc>
        <w:tc>
          <w:tcPr>
            <w:tcW w:w="0" w:type="dxa"/>
            <w:vAlign w:val="bottom"/>
          </w:tcPr>
          <w:p>
            <w:pPr>
              <w:spacing w:after="0"/>
              <w:rPr>
                <w:sz w:val="1"/>
                <w:szCs w:val="1"/>
                <w:color w:val="auto"/>
              </w:rPr>
            </w:pPr>
          </w:p>
        </w:tc>
      </w:tr>
      <w:tr>
        <w:trPr>
          <w:trHeight w:val="250"/>
        </w:trPr>
        <w:tc>
          <w:tcPr>
            <w:tcW w:w="4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Modified Loans</w:t>
            </w:r>
          </w:p>
        </w:tc>
        <w:tc>
          <w:tcPr>
            <w:tcW w:w="58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4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132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4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580" w:type="dxa"/>
            <w:vAlign w:val="bottom"/>
          </w:tcPr>
          <w:p>
            <w:pPr>
              <w:jc w:val="right"/>
              <w:ind w:right="379"/>
              <w:spacing w:after="0"/>
              <w:rPr>
                <w:sz w:val="20"/>
                <w:szCs w:val="20"/>
                <w:color w:val="auto"/>
              </w:rPr>
            </w:pPr>
            <w:r>
              <w:rPr>
                <w:rFonts w:ascii="Verdana" w:cs="Verdana" w:eastAsia="Verdana" w:hAnsi="Verdana"/>
                <w:sz w:val="18"/>
                <w:szCs w:val="18"/>
                <w:color w:val="auto"/>
                <w:w w:val="86"/>
              </w:rPr>
              <w:t>$</w:t>
            </w:r>
          </w:p>
        </w:tc>
        <w:tc>
          <w:tcPr>
            <w:tcW w:w="880" w:type="dxa"/>
            <w:vAlign w:val="bottom"/>
          </w:tcPr>
          <w:p>
            <w:pPr>
              <w:jc w:val="right"/>
              <w:ind w:right="10"/>
              <w:spacing w:after="0"/>
              <w:rPr>
                <w:sz w:val="20"/>
                <w:szCs w:val="20"/>
                <w:color w:val="auto"/>
              </w:rPr>
            </w:pPr>
            <w:r>
              <w:rPr>
                <w:rFonts w:ascii="Verdana" w:cs="Verdana" w:eastAsia="Verdana" w:hAnsi="Verdana"/>
                <w:sz w:val="18"/>
                <w:szCs w:val="18"/>
                <w:color w:val="auto"/>
              </w:rPr>
              <w:t>489</w:t>
            </w:r>
          </w:p>
        </w:tc>
        <w:tc>
          <w:tcPr>
            <w:tcW w:w="80" w:type="dxa"/>
            <w:vAlign w:val="bottom"/>
          </w:tcPr>
          <w:p>
            <w:pPr>
              <w:spacing w:after="0"/>
              <w:rPr>
                <w:sz w:val="22"/>
                <w:szCs w:val="22"/>
                <w:color w:val="auto"/>
              </w:rPr>
            </w:pPr>
          </w:p>
        </w:tc>
        <w:tc>
          <w:tcPr>
            <w:tcW w:w="1740" w:type="dxa"/>
            <w:vAlign w:val="bottom"/>
            <w:gridSpan w:val="2"/>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7"/>
              <w:spacing w:after="0"/>
              <w:rPr>
                <w:sz w:val="20"/>
                <w:szCs w:val="20"/>
                <w:color w:val="auto"/>
              </w:rPr>
            </w:pPr>
            <w:r>
              <w:rPr>
                <w:rFonts w:ascii="Verdana" w:cs="Verdana" w:eastAsia="Verdana" w:hAnsi="Verdana"/>
                <w:sz w:val="18"/>
                <w:szCs w:val="18"/>
                <w:color w:val="auto"/>
              </w:rPr>
              <w:t>25,155</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1.3 %</w:t>
            </w:r>
          </w:p>
        </w:tc>
        <w:tc>
          <w:tcPr>
            <w:tcW w:w="0" w:type="dxa"/>
            <w:vAlign w:val="bottom"/>
          </w:tcPr>
          <w:p>
            <w:pPr>
              <w:spacing w:after="0"/>
              <w:rPr>
                <w:sz w:val="1"/>
                <w:szCs w:val="1"/>
                <w:color w:val="auto"/>
              </w:rPr>
            </w:pPr>
          </w:p>
        </w:tc>
      </w:tr>
      <w:tr>
        <w:trPr>
          <w:trHeight w:val="270"/>
        </w:trPr>
        <w:tc>
          <w:tcPr>
            <w:tcW w:w="47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580" w:type="dxa"/>
            <w:vAlign w:val="bottom"/>
            <w:tcBorders>
              <w:bottom w:val="single" w:sz="8" w:color="auto"/>
            </w:tcBorders>
            <w:shd w:val="clear" w:color="auto" w:fill="E0E7ED"/>
          </w:tcPr>
          <w:p>
            <w:pPr>
              <w:spacing w:after="0"/>
              <w:rPr>
                <w:sz w:val="23"/>
                <w:szCs w:val="23"/>
                <w:color w:val="auto"/>
              </w:rPr>
            </w:pPr>
          </w:p>
        </w:tc>
        <w:tc>
          <w:tcPr>
            <w:tcW w:w="88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3"/>
                <w:szCs w:val="23"/>
                <w:color w:val="auto"/>
              </w:rPr>
            </w:pPr>
          </w:p>
        </w:tc>
        <w:tc>
          <w:tcPr>
            <w:tcW w:w="1740" w:type="dxa"/>
            <w:vAlign w:val="bottom"/>
            <w:gridSpan w:val="2"/>
            <w:shd w:val="clear" w:color="auto" w:fill="E0E7ED"/>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12,698</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0.4 %</w:t>
            </w:r>
          </w:p>
        </w:tc>
        <w:tc>
          <w:tcPr>
            <w:tcW w:w="0" w:type="dxa"/>
            <w:vAlign w:val="bottom"/>
          </w:tcPr>
          <w:p>
            <w:pPr>
              <w:spacing w:after="0"/>
              <w:rPr>
                <w:sz w:val="1"/>
                <w:szCs w:val="1"/>
                <w:color w:val="auto"/>
              </w:rPr>
            </w:pPr>
          </w:p>
        </w:tc>
      </w:tr>
      <w:tr>
        <w:trPr>
          <w:trHeight w:val="270"/>
        </w:trPr>
        <w:tc>
          <w:tcPr>
            <w:tcW w:w="4780" w:type="dxa"/>
            <w:vAlign w:val="bottom"/>
          </w:tcPr>
          <w:p>
            <w:pPr>
              <w:ind w:left="20"/>
              <w:spacing w:after="0" w:line="270" w:lineRule="exact"/>
              <w:rPr>
                <w:sz w:val="20"/>
                <w:szCs w:val="20"/>
                <w:color w:val="auto"/>
              </w:rPr>
            </w:pPr>
            <w:r>
              <w:rPr>
                <w:rFonts w:ascii="Verdana" w:cs="Verdana" w:eastAsia="Verdana" w:hAnsi="Verdana"/>
                <w:sz w:val="18"/>
                <w:szCs w:val="18"/>
                <w:color w:val="auto"/>
              </w:rPr>
              <w:t>Total of loans modified during the period</w:t>
            </w:r>
            <w:r>
              <w:rPr>
                <w:rFonts w:ascii="Verdana" w:cs="Verdana" w:eastAsia="Verdana" w:hAnsi="Verdana"/>
                <w:sz w:val="23"/>
                <w:szCs w:val="23"/>
                <w:color w:val="auto"/>
                <w:vertAlign w:val="superscript"/>
              </w:rPr>
              <w:t>4</w:t>
            </w:r>
          </w:p>
        </w:tc>
        <w:tc>
          <w:tcPr>
            <w:tcW w:w="580" w:type="dxa"/>
            <w:vAlign w:val="bottom"/>
            <w:tcBorders>
              <w:bottom w:val="single" w:sz="8" w:color="auto"/>
            </w:tcBorders>
          </w:tcPr>
          <w:p>
            <w:pPr>
              <w:jc w:val="right"/>
              <w:ind w:right="379"/>
              <w:spacing w:after="0"/>
              <w:rPr>
                <w:sz w:val="20"/>
                <w:szCs w:val="20"/>
                <w:color w:val="auto"/>
              </w:rPr>
            </w:pPr>
            <w:r>
              <w:rPr>
                <w:rFonts w:ascii="Verdana" w:cs="Verdana" w:eastAsia="Verdana" w:hAnsi="Verdana"/>
                <w:sz w:val="18"/>
                <w:szCs w:val="18"/>
                <w:color w:val="auto"/>
                <w:w w:val="86"/>
              </w:rPr>
              <w:t>$</w:t>
            </w:r>
          </w:p>
        </w:tc>
        <w:tc>
          <w:tcPr>
            <w:tcW w:w="88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489</w:t>
            </w:r>
          </w:p>
        </w:tc>
        <w:tc>
          <w:tcPr>
            <w:tcW w:w="80" w:type="dxa"/>
            <w:vAlign w:val="bottom"/>
          </w:tcPr>
          <w:p>
            <w:pPr>
              <w:spacing w:after="0"/>
              <w:rPr>
                <w:sz w:val="23"/>
                <w:szCs w:val="23"/>
                <w:color w:val="auto"/>
              </w:rPr>
            </w:pPr>
          </w:p>
        </w:tc>
        <w:tc>
          <w:tcPr>
            <w:tcW w:w="1740" w:type="dxa"/>
            <w:vAlign w:val="bottom"/>
            <w:gridSpan w:val="2"/>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37,853</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0.5 %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80" w:type="dxa"/>
            <w:vAlign w:val="bottom"/>
            <w:gridSpan w:val="2"/>
          </w:tcPr>
          <w:p>
            <w:pPr>
              <w:spacing w:after="0"/>
              <w:rPr>
                <w:sz w:val="20"/>
                <w:szCs w:val="20"/>
                <w:color w:val="auto"/>
              </w:rPr>
            </w:pPr>
            <w:r>
              <w:rPr>
                <w:rFonts w:ascii="Verdana" w:cs="Verdana" w:eastAsia="Verdana" w:hAnsi="Verdana"/>
                <w:sz w:val="13"/>
                <w:szCs w:val="13"/>
                <w:color w:val="auto"/>
              </w:rPr>
              <w:t>___________________________________________</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0" w:type="dxa"/>
            <w:vAlign w:val="bottom"/>
          </w:tcPr>
          <w:p>
            <w:pPr>
              <w:ind w:left="180"/>
              <w:spacing w:after="0" w:line="122" w:lineRule="exact"/>
              <w:rPr>
                <w:sz w:val="20"/>
                <w:szCs w:val="20"/>
                <w:color w:val="auto"/>
              </w:rPr>
            </w:pPr>
            <w:r>
              <w:rPr>
                <w:rFonts w:ascii="Verdana" w:cs="Verdana" w:eastAsia="Verdana" w:hAnsi="Verdana"/>
                <w:sz w:val="13"/>
                <w:szCs w:val="13"/>
                <w:color w:val="auto"/>
              </w:rPr>
              <w:t>1.</w:t>
            </w:r>
          </w:p>
        </w:tc>
        <w:tc>
          <w:tcPr>
            <w:tcW w:w="10840" w:type="dxa"/>
            <w:vAlign w:val="bottom"/>
            <w:gridSpan w:val="4"/>
          </w:tcPr>
          <w:p>
            <w:pPr>
              <w:ind w:left="80"/>
              <w:spacing w:after="0" w:line="122" w:lineRule="exact"/>
              <w:rPr>
                <w:sz w:val="20"/>
                <w:szCs w:val="20"/>
                <w:color w:val="auto"/>
              </w:rPr>
            </w:pPr>
            <w:r>
              <w:rPr>
                <w:rFonts w:ascii="Verdana" w:cs="Verdana" w:eastAsia="Verdana" w:hAnsi="Verdana"/>
                <w:sz w:val="13"/>
                <w:szCs w:val="13"/>
                <w:color w:val="auto"/>
                <w:w w:val="98"/>
              </w:rPr>
              <w:t>Loans with payment deferrals were modified to defer all principal payments until the end of the loan terms, which were shortened. Regular interest payments continue</w:t>
            </w:r>
          </w:p>
        </w:tc>
        <w:tc>
          <w:tcPr>
            <w:tcW w:w="0" w:type="dxa"/>
            <w:vAlign w:val="bottom"/>
          </w:tcPr>
          <w:p>
            <w:pPr>
              <w:spacing w:after="0"/>
              <w:rPr>
                <w:sz w:val="1"/>
                <w:szCs w:val="1"/>
                <w:color w:val="auto"/>
              </w:rPr>
            </w:pPr>
          </w:p>
        </w:tc>
      </w:tr>
      <w:tr>
        <w:trPr>
          <w:trHeight w:val="121"/>
        </w:trPr>
        <w:tc>
          <w:tcPr>
            <w:tcW w:w="400" w:type="dxa"/>
            <w:vAlign w:val="bottom"/>
            <w:vMerge w:val="restart"/>
          </w:tcPr>
          <w:p>
            <w:pPr>
              <w:ind w:left="180"/>
              <w:spacing w:after="0"/>
              <w:rPr>
                <w:sz w:val="20"/>
                <w:szCs w:val="20"/>
                <w:color w:val="auto"/>
              </w:rPr>
            </w:pPr>
            <w:r>
              <w:rPr>
                <w:rFonts w:ascii="Verdana" w:cs="Verdana" w:eastAsia="Verdana" w:hAnsi="Verdana"/>
                <w:sz w:val="13"/>
                <w:szCs w:val="13"/>
                <w:color w:val="auto"/>
              </w:rPr>
              <w:t>2.</w:t>
            </w:r>
          </w:p>
        </w:tc>
        <w:tc>
          <w:tcPr>
            <w:tcW w:w="7780" w:type="dxa"/>
            <w:vAlign w:val="bottom"/>
          </w:tcPr>
          <w:p>
            <w:pPr>
              <w:ind w:left="100"/>
              <w:spacing w:after="0" w:line="122" w:lineRule="exact"/>
              <w:rPr>
                <w:sz w:val="20"/>
                <w:szCs w:val="20"/>
                <w:color w:val="auto"/>
              </w:rPr>
            </w:pPr>
            <w:r>
              <w:rPr>
                <w:rFonts w:ascii="Verdana" w:cs="Verdana" w:eastAsia="Verdana" w:hAnsi="Verdana"/>
                <w:sz w:val="13"/>
                <w:szCs w:val="13"/>
                <w:color w:val="auto"/>
              </w:rPr>
              <w:t>to be required during the deferral period.</w:t>
            </w: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 w:type="dxa"/>
            <w:vAlign w:val="bottom"/>
            <w:vMerge w:val="continue"/>
          </w:tcPr>
          <w:p>
            <w:pPr>
              <w:spacing w:after="0"/>
              <w:rPr>
                <w:sz w:val="10"/>
                <w:szCs w:val="10"/>
                <w:color w:val="auto"/>
              </w:rPr>
            </w:pPr>
          </w:p>
        </w:tc>
        <w:tc>
          <w:tcPr>
            <w:tcW w:w="9360" w:type="dxa"/>
            <w:vAlign w:val="bottom"/>
            <w:gridSpan w:val="3"/>
          </w:tcPr>
          <w:p>
            <w:pPr>
              <w:ind w:left="80"/>
              <w:spacing w:after="0" w:line="122" w:lineRule="exact"/>
              <w:rPr>
                <w:sz w:val="20"/>
                <w:szCs w:val="20"/>
                <w:color w:val="auto"/>
              </w:rPr>
            </w:pPr>
            <w:r>
              <w:rPr>
                <w:rFonts w:ascii="Verdana" w:cs="Verdana" w:eastAsia="Verdana" w:hAnsi="Verdana"/>
                <w:sz w:val="13"/>
                <w:szCs w:val="13"/>
                <w:color w:val="auto"/>
              </w:rPr>
              <w:t>Loans with payment deferrals represent an insignificant portion of commercial loans and total loans, rounding to zero percent.</w:t>
            </w: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0" w:type="dxa"/>
            <w:vAlign w:val="bottom"/>
          </w:tcPr>
          <w:p>
            <w:pPr>
              <w:ind w:left="180"/>
              <w:spacing w:after="0" w:line="122" w:lineRule="exact"/>
              <w:rPr>
                <w:sz w:val="20"/>
                <w:szCs w:val="20"/>
                <w:color w:val="auto"/>
              </w:rPr>
            </w:pPr>
            <w:r>
              <w:rPr>
                <w:rFonts w:ascii="Verdana" w:cs="Verdana" w:eastAsia="Verdana" w:hAnsi="Verdana"/>
                <w:sz w:val="13"/>
                <w:szCs w:val="13"/>
                <w:color w:val="auto"/>
              </w:rPr>
              <w:t>3.</w:t>
            </w:r>
          </w:p>
        </w:tc>
        <w:tc>
          <w:tcPr>
            <w:tcW w:w="7780" w:type="dxa"/>
            <w:vAlign w:val="bottom"/>
          </w:tcPr>
          <w:p>
            <w:pPr>
              <w:ind w:left="80"/>
              <w:spacing w:after="0" w:line="122" w:lineRule="exact"/>
              <w:rPr>
                <w:sz w:val="20"/>
                <w:szCs w:val="20"/>
                <w:color w:val="auto"/>
              </w:rPr>
            </w:pPr>
            <w:r>
              <w:rPr>
                <w:rFonts w:ascii="Verdana" w:cs="Verdana" w:eastAsia="Verdana" w:hAnsi="Verdana"/>
                <w:sz w:val="13"/>
                <w:szCs w:val="13"/>
                <w:color w:val="auto"/>
              </w:rPr>
              <w:t>Modifications to extend loan terms also included, in most cases, interest rate increases during the extension period.</w:t>
            </w: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00" w:type="dxa"/>
            <w:vAlign w:val="bottom"/>
          </w:tcPr>
          <w:p>
            <w:pPr>
              <w:ind w:left="180"/>
              <w:spacing w:after="0"/>
              <w:rPr>
                <w:sz w:val="20"/>
                <w:szCs w:val="20"/>
                <w:color w:val="auto"/>
              </w:rPr>
            </w:pPr>
            <w:r>
              <w:rPr>
                <w:rFonts w:ascii="Verdana" w:cs="Verdana" w:eastAsia="Verdana" w:hAnsi="Verdana"/>
                <w:sz w:val="13"/>
                <w:szCs w:val="13"/>
                <w:color w:val="auto"/>
              </w:rPr>
              <w:t>4.</w:t>
            </w:r>
          </w:p>
        </w:tc>
        <w:tc>
          <w:tcPr>
            <w:tcW w:w="7780" w:type="dxa"/>
            <w:vAlign w:val="bottom"/>
          </w:tcPr>
          <w:p>
            <w:pPr>
              <w:ind w:left="80"/>
              <w:spacing w:after="0"/>
              <w:rPr>
                <w:sz w:val="20"/>
                <w:szCs w:val="20"/>
                <w:color w:val="auto"/>
              </w:rPr>
            </w:pPr>
            <w:r>
              <w:rPr>
                <w:rFonts w:ascii="Verdana" w:cs="Verdana" w:eastAsia="Verdana" w:hAnsi="Verdana"/>
                <w:sz w:val="13"/>
                <w:szCs w:val="13"/>
                <w:color w:val="auto"/>
              </w:rPr>
              <w:t>All modifications were for loans classified as substandard.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4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3060" w:type="dxa"/>
            <w:vAlign w:val="bottom"/>
            <w:tcBorders>
              <w:bottom w:val="single" w:sz="8" w:color="auto"/>
            </w:tcBorders>
            <w:gridSpan w:val="3"/>
          </w:tcPr>
          <w:p>
            <w:pPr>
              <w:jc w:val="right"/>
              <w:ind w:right="364"/>
              <w:spacing w:after="0"/>
              <w:rPr>
                <w:sz w:val="20"/>
                <w:szCs w:val="20"/>
                <w:color w:val="auto"/>
              </w:rPr>
            </w:pPr>
            <w:r>
              <w:rPr>
                <w:rFonts w:ascii="Verdana" w:cs="Verdana" w:eastAsia="Verdana" w:hAnsi="Verdana"/>
                <w:sz w:val="13"/>
                <w:szCs w:val="13"/>
                <w:b w:val="1"/>
                <w:bCs w:val="1"/>
                <w:color w:val="auto"/>
              </w:rPr>
              <w:t>Three Months Ended March 31,</w:t>
            </w:r>
          </w:p>
        </w:tc>
        <w:tc>
          <w:tcPr>
            <w:tcW w:w="0" w:type="dxa"/>
            <w:vAlign w:val="bottom"/>
          </w:tcPr>
          <w:p>
            <w:pPr>
              <w:spacing w:after="0"/>
              <w:rPr>
                <w:sz w:val="1"/>
                <w:szCs w:val="1"/>
                <w:color w:val="auto"/>
              </w:rPr>
            </w:pPr>
          </w:p>
        </w:tc>
      </w:tr>
      <w:tr>
        <w:trPr>
          <w:trHeight w:val="170"/>
        </w:trPr>
        <w:tc>
          <w:tcPr>
            <w:tcW w:w="40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2024</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right"/>
              <w:ind w:right="544"/>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120"/>
        </w:trPr>
        <w:tc>
          <w:tcPr>
            <w:tcW w:w="40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1480" w:type="dxa"/>
            <w:vAlign w:val="bottom"/>
          </w:tcPr>
          <w:p>
            <w:pPr>
              <w:jc w:val="center"/>
              <w:spacing w:after="0" w:line="120" w:lineRule="exact"/>
              <w:rPr>
                <w:sz w:val="20"/>
                <w:szCs w:val="20"/>
                <w:color w:val="auto"/>
              </w:rPr>
            </w:pPr>
            <w:r>
              <w:rPr>
                <w:rFonts w:ascii="Verdana" w:cs="Verdana" w:eastAsia="Verdana" w:hAnsi="Verdana"/>
                <w:sz w:val="13"/>
                <w:szCs w:val="13"/>
                <w:b w:val="1"/>
                <w:bCs w:val="1"/>
                <w:color w:val="auto"/>
                <w:w w:val="96"/>
              </w:rPr>
              <w:t>Weighted Average</w:t>
            </w:r>
          </w:p>
        </w:tc>
        <w:tc>
          <w:tcPr>
            <w:tcW w:w="100" w:type="dxa"/>
            <w:vAlign w:val="bottom"/>
          </w:tcPr>
          <w:p>
            <w:pPr>
              <w:spacing w:after="0"/>
              <w:rPr>
                <w:sz w:val="10"/>
                <w:szCs w:val="10"/>
                <w:color w:val="auto"/>
              </w:rPr>
            </w:pPr>
          </w:p>
        </w:tc>
        <w:tc>
          <w:tcPr>
            <w:tcW w:w="1480" w:type="dxa"/>
            <w:vAlign w:val="bottom"/>
          </w:tcPr>
          <w:p>
            <w:pPr>
              <w:jc w:val="center"/>
              <w:spacing w:after="0" w:line="120" w:lineRule="exact"/>
              <w:rPr>
                <w:sz w:val="20"/>
                <w:szCs w:val="20"/>
                <w:color w:val="auto"/>
              </w:rPr>
            </w:pPr>
            <w:r>
              <w:rPr>
                <w:rFonts w:ascii="Verdana" w:cs="Verdana" w:eastAsia="Verdana" w:hAnsi="Verdana"/>
                <w:sz w:val="13"/>
                <w:szCs w:val="13"/>
                <w:b w:val="1"/>
                <w:bCs w:val="1"/>
                <w:color w:val="auto"/>
                <w:w w:val="96"/>
              </w:rPr>
              <w:t>Weighted Average</w:t>
            </w:r>
          </w:p>
        </w:tc>
        <w:tc>
          <w:tcPr>
            <w:tcW w:w="0" w:type="dxa"/>
            <w:vAlign w:val="bottom"/>
          </w:tcPr>
          <w:p>
            <w:pPr>
              <w:spacing w:after="0"/>
              <w:rPr>
                <w:sz w:val="1"/>
                <w:szCs w:val="1"/>
                <w:color w:val="auto"/>
              </w:rPr>
            </w:pPr>
          </w:p>
        </w:tc>
      </w:tr>
      <w:tr>
        <w:trPr>
          <w:trHeight w:val="170"/>
        </w:trPr>
        <w:tc>
          <w:tcPr>
            <w:tcW w:w="40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Verdana" w:cs="Verdana" w:eastAsia="Verdana" w:hAnsi="Verdana"/>
                <w:sz w:val="13"/>
                <w:szCs w:val="13"/>
                <w:b w:val="1"/>
                <w:bCs w:val="1"/>
                <w:color w:val="auto"/>
                <w:w w:val="96"/>
              </w:rPr>
              <w:t>Term Extension</w:t>
            </w:r>
          </w:p>
        </w:tc>
        <w:tc>
          <w:tcPr>
            <w:tcW w:w="1480" w:type="dxa"/>
            <w:vAlign w:val="bottom"/>
          </w:tcPr>
          <w:p>
            <w:pPr>
              <w:jc w:val="center"/>
              <w:spacing w:after="0"/>
              <w:rPr>
                <w:sz w:val="20"/>
                <w:szCs w:val="20"/>
                <w:color w:val="auto"/>
              </w:rPr>
            </w:pPr>
            <w:r>
              <w:rPr>
                <w:rFonts w:ascii="Verdana" w:cs="Verdana" w:eastAsia="Verdana" w:hAnsi="Verdana"/>
                <w:sz w:val="13"/>
                <w:szCs w:val="13"/>
                <w:b w:val="1"/>
                <w:bCs w:val="1"/>
                <w:color w:val="auto"/>
                <w:w w:val="96"/>
              </w:rPr>
              <w:t>Term Extension</w:t>
            </w:r>
          </w:p>
        </w:tc>
        <w:tc>
          <w:tcPr>
            <w:tcW w:w="0" w:type="dxa"/>
            <w:vAlign w:val="bottom"/>
          </w:tcPr>
          <w:p>
            <w:pPr>
              <w:spacing w:after="0"/>
              <w:rPr>
                <w:sz w:val="1"/>
                <w:szCs w:val="1"/>
                <w:color w:val="auto"/>
              </w:rPr>
            </w:pPr>
          </w:p>
        </w:tc>
      </w:tr>
      <w:tr>
        <w:trPr>
          <w:trHeight w:val="255"/>
        </w:trPr>
        <w:tc>
          <w:tcPr>
            <w:tcW w:w="818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8"/>
                <w:szCs w:val="18"/>
                <w:b w:val="1"/>
                <w:bCs w:val="1"/>
                <w:color w:val="auto"/>
              </w:rPr>
              <w:t>Effects of Loan Modifications</w:t>
            </w:r>
          </w:p>
        </w:tc>
        <w:tc>
          <w:tcPr>
            <w:tcW w:w="14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4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80" w:type="dxa"/>
            <w:vAlign w:val="bottom"/>
            <w:gridSpan w:val="2"/>
          </w:tcPr>
          <w:p>
            <w:pPr>
              <w:ind w:left="180"/>
              <w:spacing w:after="0"/>
              <w:rPr>
                <w:sz w:val="20"/>
                <w:szCs w:val="20"/>
                <w:color w:val="auto"/>
              </w:rPr>
            </w:pPr>
            <w:r>
              <w:rPr>
                <w:rFonts w:ascii="Verdana" w:cs="Verdana" w:eastAsia="Verdana" w:hAnsi="Verdana"/>
                <w:sz w:val="18"/>
                <w:szCs w:val="18"/>
                <w:color w:val="auto"/>
              </w:rPr>
              <w:t>C&amp;I and other commercial</w:t>
            </w:r>
          </w:p>
        </w:tc>
        <w:tc>
          <w:tcPr>
            <w:tcW w:w="158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19.1 months</w:t>
            </w:r>
          </w:p>
        </w:tc>
        <w:tc>
          <w:tcPr>
            <w:tcW w:w="1480" w:type="dxa"/>
            <w:vAlign w:val="bottom"/>
          </w:tcPr>
          <w:p>
            <w:pPr>
              <w:ind w:left="420"/>
              <w:spacing w:after="0"/>
              <w:rPr>
                <w:sz w:val="20"/>
                <w:szCs w:val="20"/>
                <w:color w:val="auto"/>
              </w:rPr>
            </w:pPr>
            <w:r>
              <w:rPr>
                <w:rFonts w:ascii="Verdana" w:cs="Verdana" w:eastAsia="Verdana" w:hAnsi="Verdana"/>
                <w:sz w:val="18"/>
                <w:szCs w:val="18"/>
                <w:color w:val="auto"/>
              </w:rPr>
              <w:t>9.1 months</w:t>
            </w:r>
          </w:p>
        </w:tc>
        <w:tc>
          <w:tcPr>
            <w:tcW w:w="0" w:type="dxa"/>
            <w:vAlign w:val="bottom"/>
          </w:tcPr>
          <w:p>
            <w:pPr>
              <w:spacing w:after="0"/>
              <w:rPr>
                <w:sz w:val="1"/>
                <w:szCs w:val="1"/>
                <w:color w:val="auto"/>
              </w:rPr>
            </w:pPr>
          </w:p>
        </w:tc>
      </w:tr>
      <w:tr>
        <w:trPr>
          <w:trHeight w:val="277"/>
        </w:trPr>
        <w:tc>
          <w:tcPr>
            <w:tcW w:w="818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 months</w:t>
            </w:r>
          </w:p>
        </w:tc>
        <w:tc>
          <w:tcPr>
            <w:tcW w:w="100" w:type="dxa"/>
            <w:vAlign w:val="bottom"/>
            <w:shd w:val="clear" w:color="auto" w:fill="E0E7ED"/>
          </w:tcPr>
          <w:p>
            <w:pPr>
              <w:spacing w:after="0"/>
              <w:rPr>
                <w:sz w:val="24"/>
                <w:szCs w:val="24"/>
                <w:color w:val="auto"/>
              </w:rPr>
            </w:pPr>
          </w:p>
        </w:tc>
        <w:tc>
          <w:tcPr>
            <w:tcW w:w="1480" w:type="dxa"/>
            <w:vAlign w:val="bottom"/>
            <w:tcBorders>
              <w:bottom w:val="single" w:sz="8" w:color="auto"/>
            </w:tcBorders>
            <w:shd w:val="clear" w:color="auto" w:fill="E0E7ED"/>
          </w:tcPr>
          <w:p>
            <w:pPr>
              <w:ind w:left="420"/>
              <w:spacing w:after="0"/>
              <w:rPr>
                <w:sz w:val="20"/>
                <w:szCs w:val="20"/>
                <w:color w:val="auto"/>
              </w:rPr>
            </w:pPr>
            <w:r>
              <w:rPr>
                <w:rFonts w:ascii="Verdana" w:cs="Verdana" w:eastAsia="Verdana" w:hAnsi="Verdana"/>
                <w:sz w:val="18"/>
                <w:szCs w:val="18"/>
                <w:color w:val="auto"/>
              </w:rPr>
              <w:t>5.8 months</w:t>
            </w:r>
          </w:p>
        </w:tc>
        <w:tc>
          <w:tcPr>
            <w:tcW w:w="0" w:type="dxa"/>
            <w:vAlign w:val="bottom"/>
          </w:tcPr>
          <w:p>
            <w:pPr>
              <w:spacing w:after="0"/>
              <w:rPr>
                <w:sz w:val="1"/>
                <w:szCs w:val="1"/>
                <w:color w:val="auto"/>
              </w:rPr>
            </w:pPr>
          </w:p>
        </w:tc>
      </w:tr>
      <w:tr>
        <w:trPr>
          <w:trHeight w:val="257"/>
        </w:trPr>
        <w:tc>
          <w:tcPr>
            <w:tcW w:w="8180" w:type="dxa"/>
            <w:vAlign w:val="bottom"/>
            <w:gridSpan w:val="2"/>
          </w:tcPr>
          <w:p>
            <w:pPr>
              <w:ind w:left="20"/>
              <w:spacing w:after="0"/>
              <w:rPr>
                <w:sz w:val="20"/>
                <w:szCs w:val="20"/>
                <w:color w:val="auto"/>
              </w:rPr>
            </w:pPr>
            <w:r>
              <w:rPr>
                <w:rFonts w:ascii="Verdana" w:cs="Verdana" w:eastAsia="Verdana" w:hAnsi="Verdana"/>
                <w:sz w:val="18"/>
                <w:szCs w:val="18"/>
                <w:color w:val="auto"/>
              </w:rPr>
              <w:t>Total effect</w:t>
            </w: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17.6 months</w:t>
            </w:r>
          </w:p>
        </w:tc>
        <w:tc>
          <w:tcPr>
            <w:tcW w:w="100" w:type="dxa"/>
            <w:vAlign w:val="bottom"/>
          </w:tcPr>
          <w:p>
            <w:pPr>
              <w:spacing w:after="0"/>
              <w:rPr>
                <w:sz w:val="22"/>
                <w:szCs w:val="22"/>
                <w:color w:val="auto"/>
              </w:rPr>
            </w:pPr>
          </w:p>
        </w:tc>
        <w:tc>
          <w:tcPr>
            <w:tcW w:w="1480" w:type="dxa"/>
            <w:vAlign w:val="bottom"/>
            <w:tcBorders>
              <w:bottom w:val="single" w:sz="8" w:color="auto"/>
            </w:tcBorders>
          </w:tcPr>
          <w:p>
            <w:pPr>
              <w:ind w:left="420"/>
              <w:spacing w:after="0"/>
              <w:rPr>
                <w:sz w:val="20"/>
                <w:szCs w:val="20"/>
                <w:color w:val="auto"/>
              </w:rPr>
            </w:pPr>
            <w:r>
              <w:rPr>
                <w:rFonts w:ascii="Verdana" w:cs="Verdana" w:eastAsia="Verdana" w:hAnsi="Verdana"/>
                <w:sz w:val="18"/>
                <w:szCs w:val="18"/>
                <w:color w:val="auto"/>
              </w:rPr>
              <w:t>8.0 months</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No loans to borrowers experiencing financial difficulty had a payment default during the three months ended March 31, 2024 or 2023, after having been modified during the 12 months before that default. A default occurs when a loan is 90 days or more past due or transferred to non-accrual status.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7" w:name="page28"/>
    <w:bookmarkEnd w:id="2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closely monitors the performance of the loans that are modified to borrowers experiencing financial difficulty to understand the effectiveness of its modification efforts. The following table depicts the payment performance of loans modified during the last twelve months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540"/>
              <w:spacing w:after="0"/>
              <w:rPr>
                <w:sz w:val="20"/>
                <w:szCs w:val="20"/>
                <w:color w:val="auto"/>
              </w:rPr>
            </w:pPr>
            <w:r>
              <w:rPr>
                <w:rFonts w:ascii="Verdana" w:cs="Verdana" w:eastAsia="Verdana" w:hAnsi="Verdana"/>
                <w:sz w:val="13"/>
                <w:szCs w:val="13"/>
                <w:b w:val="1"/>
                <w:bCs w:val="1"/>
                <w:color w:val="auto"/>
              </w:rPr>
              <w:t>As of March 31, 2024</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70"/>
        </w:trPr>
        <w:tc>
          <w:tcPr>
            <w:tcW w:w="4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Current</w:t>
            </w:r>
          </w:p>
        </w:tc>
        <w:tc>
          <w:tcPr>
            <w:tcW w:w="24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30-89 Days</w:t>
            </w:r>
          </w:p>
        </w:tc>
        <w:tc>
          <w:tcPr>
            <w:tcW w:w="1140" w:type="dxa"/>
            <w:vAlign w:val="bottom"/>
          </w:tcPr>
          <w:p>
            <w:pPr>
              <w:jc w:val="right"/>
              <w:spacing w:after="0"/>
              <w:rPr>
                <w:sz w:val="20"/>
                <w:szCs w:val="20"/>
                <w:color w:val="auto"/>
              </w:rPr>
            </w:pPr>
            <w:r>
              <w:rPr>
                <w:rFonts w:ascii="Verdana" w:cs="Verdana" w:eastAsia="Verdana" w:hAnsi="Verdana"/>
                <w:sz w:val="13"/>
                <w:szCs w:val="13"/>
                <w:b w:val="1"/>
                <w:bCs w:val="1"/>
                <w:color w:val="auto"/>
              </w:rPr>
              <w:t>90+ Days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235"/>
              <w:spacing w:after="0"/>
              <w:rPr>
                <w:sz w:val="20"/>
                <w:szCs w:val="20"/>
                <w:color w:val="auto"/>
              </w:rPr>
            </w:pPr>
            <w:r>
              <w:rPr>
                <w:rFonts w:ascii="Verdana" w:cs="Verdana" w:eastAsia="Verdana" w:hAnsi="Verdana"/>
                <w:sz w:val="13"/>
                <w:szCs w:val="13"/>
                <w:b w:val="1"/>
                <w:bCs w:val="1"/>
                <w:color w:val="auto"/>
              </w:rPr>
              <w:t>Non-accrual</w:t>
            </w: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Modified Loans</w:t>
            </w: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140" w:type="dxa"/>
            <w:vAlign w:val="bottom"/>
            <w:tcBorders>
              <w:top w:val="single" w:sz="8" w:color="auto"/>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21,641</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2"/>
          </w:tcPr>
          <w:p>
            <w:pPr>
              <w:ind w:left="98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ind w:right="919"/>
              <w:spacing w:after="0"/>
              <w:rPr>
                <w:sz w:val="20"/>
                <w:szCs w:val="20"/>
                <w:color w:val="auto"/>
              </w:rPr>
            </w:pPr>
            <w:r>
              <w:rPr>
                <w:rFonts w:ascii="Verdana" w:cs="Verdana" w:eastAsia="Verdana" w:hAnsi="Verdana"/>
                <w:sz w:val="18"/>
                <w:szCs w:val="18"/>
                <w:color w:val="auto"/>
              </w:rPr>
              <w:t>$</w:t>
            </w:r>
          </w:p>
        </w:tc>
        <w:tc>
          <w:tcPr>
            <w:tcW w:w="440" w:type="dxa"/>
            <w:vAlign w:val="bottom"/>
            <w:gridSpan w:val="2"/>
          </w:tcPr>
          <w:p>
            <w:pPr>
              <w:ind w:left="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10,000</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3,009</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340" w:type="dxa"/>
            <w:vAlign w:val="bottom"/>
            <w:gridSpan w:val="2"/>
            <w:shd w:val="clear" w:color="auto" w:fill="E0E7ED"/>
          </w:tcPr>
          <w:p>
            <w:pPr>
              <w:ind w:left="98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spacing w:after="0"/>
              <w:rPr>
                <w:sz w:val="24"/>
                <w:szCs w:val="24"/>
                <w:color w:val="auto"/>
              </w:rPr>
            </w:pPr>
          </w:p>
        </w:tc>
        <w:tc>
          <w:tcPr>
            <w:tcW w:w="440" w:type="dxa"/>
            <w:vAlign w:val="bottom"/>
            <w:gridSpan w:val="2"/>
            <w:shd w:val="clear" w:color="auto" w:fill="E0E7ED"/>
          </w:tcPr>
          <w:p>
            <w:pPr>
              <w:ind w:left="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r>
      <w:tr>
        <w:trPr>
          <w:trHeight w:val="263"/>
        </w:trPr>
        <w:tc>
          <w:tcPr>
            <w:tcW w:w="49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5,301</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980"/>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80"/>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r>
      <w:tr>
        <w:trPr>
          <w:trHeight w:val="290"/>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Amortized cost of modified loans</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29,951</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2"/>
            <w:shd w:val="clear" w:color="auto" w:fill="E0E7ED"/>
          </w:tcPr>
          <w:p>
            <w:pPr>
              <w:ind w:left="98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ind w:right="919"/>
              <w:spacing w:after="0"/>
              <w:rPr>
                <w:sz w:val="20"/>
                <w:szCs w:val="20"/>
                <w:color w:val="auto"/>
              </w:rPr>
            </w:pPr>
            <w:r>
              <w:rPr>
                <w:rFonts w:ascii="Verdana" w:cs="Verdana" w:eastAsia="Verdana" w:hAnsi="Verdana"/>
                <w:sz w:val="18"/>
                <w:szCs w:val="18"/>
                <w:color w:val="auto"/>
              </w:rPr>
              <w:t>$</w:t>
            </w:r>
          </w:p>
        </w:tc>
        <w:tc>
          <w:tcPr>
            <w:tcW w:w="440" w:type="dxa"/>
            <w:vAlign w:val="bottom"/>
            <w:gridSpan w:val="2"/>
            <w:shd w:val="clear" w:color="auto" w:fill="E0E7ED"/>
          </w:tcPr>
          <w:p>
            <w:pPr>
              <w:ind w:left="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10,000</w:t>
            </w:r>
          </w:p>
        </w:tc>
      </w:tr>
      <w:tr>
        <w:trPr>
          <w:trHeight w:val="20"/>
        </w:trPr>
        <w:tc>
          <w:tcPr>
            <w:tcW w:w="49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Collateral Dependent Loans</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operation or sale of the underlying collateral and there are no other available and reliable sources of repayment. Loans are written down to the lower of cost or fair value of the underlying collateral, less estimated costs to sell. Busey had $14.2 million and $6.1 million of collateral dependent loans secured by real estate or business assets as of March 31, 2024, and December 31, 2023, respectively.</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Foreclosures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 of March 31, 2024, Busey had $0.9 million of residential real estate loans in the process of foreclosure. Busey follows Federal Housing Finance Agency guidelines on single-family foreclosures and real estate owned evictions on portfolio loans.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8" w:name="page29"/>
    <w:bookmarkEnd w:id="2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Loans Evaluated Individually</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Busey evaluates loans with disparate risk characteristics on an individual basis. The following tables provide details of loans evaluated individually, segregated by loan category and class. The unpaid principal balance represents customer outstanding contractual principal balances excluding any partial charge-offs. Recorded investment represents the amortized cost of customer balances net of any partial charge-offs recognized on the loan. Average recorded investment is calculated using the most recent four quarters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ind w:left="520"/>
              <w:spacing w:after="0"/>
              <w:rPr>
                <w:sz w:val="20"/>
                <w:szCs w:val="20"/>
                <w:color w:val="auto"/>
              </w:rPr>
            </w:pPr>
            <w:r>
              <w:rPr>
                <w:rFonts w:ascii="Verdana" w:cs="Verdana" w:eastAsia="Verdana" w:hAnsi="Verdana"/>
                <w:sz w:val="13"/>
                <w:szCs w:val="13"/>
                <w:b w:val="1"/>
                <w:bCs w:val="1"/>
                <w:color w:val="auto"/>
              </w:rPr>
              <w:t>As of March 31, 2024</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3"/>
              </w:rPr>
              <w:t>Unpaid</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Verdana" w:cs="Verdana" w:eastAsia="Verdana" w:hAnsi="Verdana"/>
                <w:sz w:val="13"/>
                <w:szCs w:val="13"/>
                <w:b w:val="1"/>
                <w:bCs w:val="1"/>
                <w:color w:val="auto"/>
                <w:w w:val="97"/>
              </w:rPr>
              <w:t>Recorded Investment</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ind w:right="139"/>
              <w:spacing w:after="0"/>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Verdana" w:cs="Verdana" w:eastAsia="Verdana" w:hAnsi="Verdana"/>
                <w:sz w:val="13"/>
                <w:szCs w:val="13"/>
                <w:b w:val="1"/>
                <w:bCs w:val="1"/>
                <w:color w:val="auto"/>
                <w:w w:val="96"/>
              </w:rPr>
              <w:t>Principal</w:t>
            </w:r>
          </w:p>
        </w:tc>
        <w:tc>
          <w:tcPr>
            <w:tcW w:w="240" w:type="dxa"/>
            <w:vAlign w:val="bottom"/>
          </w:tcPr>
          <w:p>
            <w:pPr>
              <w:spacing w:after="0"/>
              <w:rPr>
                <w:sz w:val="11"/>
                <w:szCs w:val="11"/>
                <w:color w:val="auto"/>
              </w:rPr>
            </w:pPr>
          </w:p>
        </w:tc>
        <w:tc>
          <w:tcPr>
            <w:tcW w:w="1200" w:type="dxa"/>
            <w:vAlign w:val="bottom"/>
          </w:tcPr>
          <w:p>
            <w:pPr>
              <w:jc w:val="right"/>
              <w:ind w:right="357"/>
              <w:spacing w:after="0" w:line="135" w:lineRule="exact"/>
              <w:rPr>
                <w:sz w:val="20"/>
                <w:szCs w:val="20"/>
                <w:color w:val="auto"/>
              </w:rPr>
            </w:pPr>
            <w:r>
              <w:rPr>
                <w:rFonts w:ascii="Verdana" w:cs="Verdana" w:eastAsia="Verdana" w:hAnsi="Verdana"/>
                <w:sz w:val="13"/>
                <w:szCs w:val="13"/>
                <w:b w:val="1"/>
                <w:bCs w:val="1"/>
                <w:color w:val="auto"/>
              </w:rPr>
              <w:t>With No</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Verdana" w:cs="Verdana" w:eastAsia="Verdana" w:hAnsi="Verdana"/>
                <w:sz w:val="13"/>
                <w:szCs w:val="13"/>
                <w:b w:val="1"/>
                <w:bCs w:val="1"/>
                <w:color w:val="auto"/>
                <w:w w:val="92"/>
              </w:rPr>
              <w:t>With</w:t>
            </w:r>
          </w:p>
        </w:tc>
        <w:tc>
          <w:tcPr>
            <w:tcW w:w="34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Verdana" w:cs="Verdana" w:eastAsia="Verdana" w:hAnsi="Verdana"/>
                <w:sz w:val="13"/>
                <w:szCs w:val="13"/>
                <w:b w:val="1"/>
                <w:bCs w:val="1"/>
                <w:color w:val="auto"/>
              </w:rPr>
              <w:t>Total</w:t>
            </w:r>
          </w:p>
        </w:tc>
        <w:tc>
          <w:tcPr>
            <w:tcW w:w="26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Verdana" w:cs="Verdana" w:eastAsia="Verdana" w:hAnsi="Verdana"/>
                <w:sz w:val="13"/>
                <w:szCs w:val="13"/>
                <w:b w:val="1"/>
                <w:bCs w:val="1"/>
                <w:color w:val="auto"/>
                <w:w w:val="96"/>
              </w:rPr>
              <w:t>Related</w:t>
            </w:r>
          </w:p>
        </w:tc>
        <w:tc>
          <w:tcPr>
            <w:tcW w:w="220" w:type="dxa"/>
            <w:vAlign w:val="bottom"/>
          </w:tcPr>
          <w:p>
            <w:pPr>
              <w:spacing w:after="0"/>
              <w:rPr>
                <w:sz w:val="11"/>
                <w:szCs w:val="11"/>
                <w:color w:val="auto"/>
              </w:rPr>
            </w:pPr>
          </w:p>
        </w:tc>
        <w:tc>
          <w:tcPr>
            <w:tcW w:w="1240" w:type="dxa"/>
            <w:vAlign w:val="bottom"/>
          </w:tcPr>
          <w:p>
            <w:pPr>
              <w:jc w:val="center"/>
              <w:ind w:right="139"/>
              <w:spacing w:after="0" w:line="135" w:lineRule="exact"/>
              <w:rPr>
                <w:sz w:val="20"/>
                <w:szCs w:val="20"/>
                <w:color w:val="auto"/>
              </w:rPr>
            </w:pPr>
            <w:r>
              <w:rPr>
                <w:rFonts w:ascii="Verdana" w:cs="Verdana" w:eastAsia="Verdana" w:hAnsi="Verdana"/>
                <w:sz w:val="13"/>
                <w:szCs w:val="13"/>
                <w:b w:val="1"/>
                <w:bCs w:val="1"/>
                <w:color w:val="auto"/>
                <w:w w:val="95"/>
              </w:rPr>
              <w:t>Recorded</w:t>
            </w:r>
          </w:p>
        </w:tc>
        <w:tc>
          <w:tcPr>
            <w:tcW w:w="0" w:type="dxa"/>
            <w:vAlign w:val="bottom"/>
          </w:tcPr>
          <w:p>
            <w:pPr>
              <w:spacing w:after="0"/>
              <w:rPr>
                <w:sz w:val="1"/>
                <w:szCs w:val="1"/>
                <w:color w:val="auto"/>
              </w:rPr>
            </w:pPr>
          </w:p>
        </w:tc>
      </w:tr>
      <w:tr>
        <w:trPr>
          <w:trHeight w:val="170"/>
        </w:trPr>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7"/>
              </w:rPr>
              <w:t>Balance</w:t>
            </w:r>
          </w:p>
        </w:tc>
        <w:tc>
          <w:tcPr>
            <w:tcW w:w="240" w:type="dxa"/>
            <w:vAlign w:val="bottom"/>
          </w:tcPr>
          <w:p>
            <w:pPr>
              <w:spacing w:after="0"/>
              <w:rPr>
                <w:sz w:val="14"/>
                <w:szCs w:val="14"/>
                <w:color w:val="auto"/>
              </w:rPr>
            </w:pPr>
          </w:p>
        </w:tc>
        <w:tc>
          <w:tcPr>
            <w:tcW w:w="1200" w:type="dxa"/>
            <w:vAlign w:val="bottom"/>
          </w:tcPr>
          <w:p>
            <w:pPr>
              <w:jc w:val="right"/>
              <w:ind w:right="277"/>
              <w:spacing w:after="0"/>
              <w:rPr>
                <w:sz w:val="20"/>
                <w:szCs w:val="20"/>
                <w:color w:val="auto"/>
              </w:rPr>
            </w:pPr>
            <w:r>
              <w:rPr>
                <w:rFonts w:ascii="Verdana" w:cs="Verdana" w:eastAsia="Verdana" w:hAnsi="Verdana"/>
                <w:sz w:val="13"/>
                <w:szCs w:val="13"/>
                <w:b w:val="1"/>
                <w:bCs w:val="1"/>
                <w:color w:val="auto"/>
              </w:rPr>
              <w:t>Allowance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6"/>
              </w:rPr>
              <w:t>Allowance</w:t>
            </w:r>
          </w:p>
        </w:tc>
        <w:tc>
          <w:tcPr>
            <w:tcW w:w="3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6"/>
              </w:rPr>
              <w:t>Allowance</w:t>
            </w:r>
          </w:p>
        </w:tc>
        <w:tc>
          <w:tcPr>
            <w:tcW w:w="220" w:type="dxa"/>
            <w:vAlign w:val="bottom"/>
          </w:tcPr>
          <w:p>
            <w:pPr>
              <w:spacing w:after="0"/>
              <w:rPr>
                <w:sz w:val="14"/>
                <w:szCs w:val="14"/>
                <w:color w:val="auto"/>
              </w:rPr>
            </w:pPr>
          </w:p>
        </w:tc>
        <w:tc>
          <w:tcPr>
            <w:tcW w:w="1240" w:type="dxa"/>
            <w:vAlign w:val="bottom"/>
          </w:tcPr>
          <w:p>
            <w:pPr>
              <w:jc w:val="center"/>
              <w:ind w:right="139"/>
              <w:spacing w:after="0"/>
              <w:rPr>
                <w:sz w:val="20"/>
                <w:szCs w:val="20"/>
                <w:color w:val="auto"/>
              </w:rPr>
            </w:pPr>
            <w:r>
              <w:rPr>
                <w:rFonts w:ascii="Verdana" w:cs="Verdana" w:eastAsia="Verdana" w:hAnsi="Verdana"/>
                <w:sz w:val="13"/>
                <w:szCs w:val="13"/>
                <w:b w:val="1"/>
                <w:bCs w:val="1"/>
                <w:color w:val="auto"/>
                <w:w w:val="96"/>
              </w:rPr>
              <w:t>Investment</w:t>
            </w:r>
          </w:p>
        </w:tc>
        <w:tc>
          <w:tcPr>
            <w:tcW w:w="0" w:type="dxa"/>
            <w:vAlign w:val="bottom"/>
          </w:tcPr>
          <w:p>
            <w:pPr>
              <w:spacing w:after="0"/>
              <w:rPr>
                <w:sz w:val="1"/>
                <w:szCs w:val="1"/>
                <w:color w:val="auto"/>
              </w:rPr>
            </w:pPr>
          </w:p>
        </w:tc>
      </w:tr>
      <w:tr>
        <w:trPr>
          <w:trHeight w:val="223"/>
        </w:trPr>
        <w:tc>
          <w:tcPr>
            <w:tcW w:w="20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Loans evaluated</w:t>
            </w:r>
          </w:p>
        </w:tc>
        <w:tc>
          <w:tcPr>
            <w:tcW w:w="280" w:type="dxa"/>
            <w:vAlign w:val="bottom"/>
            <w:tcBorders>
              <w:top w:val="single" w:sz="8" w:color="auto"/>
            </w:tcBorders>
            <w:shd w:val="clear" w:color="auto" w:fill="E0E7ED"/>
          </w:tcPr>
          <w:p>
            <w:pPr>
              <w:spacing w:after="0"/>
              <w:rPr>
                <w:sz w:val="19"/>
                <w:szCs w:val="19"/>
                <w:color w:val="auto"/>
              </w:rPr>
            </w:pPr>
          </w:p>
        </w:tc>
        <w:tc>
          <w:tcPr>
            <w:tcW w:w="11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individually</w:t>
            </w: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60" w:type="dxa"/>
            <w:vAlign w:val="bottom"/>
          </w:tcPr>
          <w:p>
            <w:pPr>
              <w:ind w:left="180"/>
              <w:spacing w:after="0"/>
              <w:rPr>
                <w:sz w:val="20"/>
                <w:szCs w:val="20"/>
                <w:color w:val="auto"/>
              </w:rPr>
            </w:pPr>
            <w:r>
              <w:rPr>
                <w:rFonts w:ascii="Verdana" w:cs="Verdana" w:eastAsia="Verdana" w:hAnsi="Verdana"/>
                <w:sz w:val="18"/>
                <w:szCs w:val="18"/>
                <w:color w:val="auto"/>
              </w:rPr>
              <w:t>Commercial loans:</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C&amp;I and other</w:t>
            </w: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commercial</w:t>
            </w: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20,372</w:t>
            </w: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2,197</w:t>
            </w:r>
          </w:p>
        </w:tc>
        <w:tc>
          <w:tcPr>
            <w:tcW w:w="34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10,920</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2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13,117</w:t>
            </w: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7,498</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6,553</w:t>
            </w:r>
          </w:p>
        </w:tc>
        <w:tc>
          <w:tcPr>
            <w:tcW w:w="0" w:type="dxa"/>
            <w:vAlign w:val="bottom"/>
          </w:tcPr>
          <w:p>
            <w:pPr>
              <w:spacing w:after="0"/>
              <w:rPr>
                <w:sz w:val="1"/>
                <w:szCs w:val="1"/>
                <w:color w:val="auto"/>
              </w:rPr>
            </w:pPr>
          </w:p>
        </w:tc>
      </w:tr>
      <w:tr>
        <w:trPr>
          <w:trHeight w:val="238"/>
        </w:trPr>
        <w:tc>
          <w:tcPr>
            <w:tcW w:w="2060" w:type="dxa"/>
            <w:vAlign w:val="bottom"/>
          </w:tcPr>
          <w:p>
            <w:pPr>
              <w:ind w:left="360"/>
              <w:spacing w:after="0"/>
              <w:rPr>
                <w:sz w:val="20"/>
                <w:szCs w:val="20"/>
                <w:color w:val="auto"/>
              </w:rPr>
            </w:pPr>
            <w:r>
              <w:rPr>
                <w:rFonts w:ascii="Verdana" w:cs="Verdana" w:eastAsia="Verdana" w:hAnsi="Verdana"/>
                <w:sz w:val="18"/>
                <w:szCs w:val="18"/>
                <w:color w:val="auto"/>
              </w:rPr>
              <w:t>Commercial real</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60" w:type="dxa"/>
            <w:vAlign w:val="bottom"/>
          </w:tcPr>
          <w:p>
            <w:pPr>
              <w:ind w:left="360"/>
              <w:spacing w:after="0"/>
              <w:rPr>
                <w:sz w:val="20"/>
                <w:szCs w:val="20"/>
                <w:color w:val="auto"/>
              </w:rPr>
            </w:pPr>
            <w:r>
              <w:rPr>
                <w:rFonts w:ascii="Verdana" w:cs="Verdana" w:eastAsia="Verdana" w:hAnsi="Verdana"/>
                <w:sz w:val="18"/>
                <w:szCs w:val="18"/>
                <w:color w:val="auto"/>
              </w:rPr>
              <w:t>estate</w:t>
            </w: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Verdana" w:cs="Verdana" w:eastAsia="Verdana" w:hAnsi="Verdana"/>
                <w:sz w:val="18"/>
                <w:szCs w:val="18"/>
                <w:color w:val="auto"/>
              </w:rPr>
              <w:t>2,618</w:t>
            </w:r>
          </w:p>
        </w:tc>
        <w:tc>
          <w:tcPr>
            <w:tcW w:w="0" w:type="dxa"/>
            <w:vAlign w:val="bottom"/>
          </w:tcPr>
          <w:p>
            <w:pPr>
              <w:spacing w:after="0"/>
              <w:rPr>
                <w:sz w:val="1"/>
                <w:szCs w:val="1"/>
                <w:color w:val="auto"/>
              </w:rPr>
            </w:pPr>
          </w:p>
        </w:tc>
      </w:tr>
      <w:tr>
        <w:trPr>
          <w:trHeight w:val="224"/>
        </w:trPr>
        <w:tc>
          <w:tcPr>
            <w:tcW w:w="2060" w:type="dxa"/>
            <w:vAlign w:val="bottom"/>
            <w:tcBorders>
              <w:top w:val="single" w:sz="8" w:color="E0E7ED"/>
            </w:tcBorders>
            <w:shd w:val="clear" w:color="auto" w:fill="E0E7ED"/>
          </w:tcPr>
          <w:p>
            <w:pPr>
              <w:ind w:left="180"/>
              <w:spacing w:after="0"/>
              <w:rPr>
                <w:sz w:val="20"/>
                <w:szCs w:val="20"/>
                <w:color w:val="auto"/>
              </w:rPr>
            </w:pPr>
            <w:r>
              <w:rPr>
                <w:rFonts w:ascii="Verdana" w:cs="Verdana" w:eastAsia="Verdana" w:hAnsi="Verdana"/>
                <w:sz w:val="18"/>
                <w:szCs w:val="18"/>
                <w:color w:val="auto"/>
              </w:rPr>
              <w:t>Commercial loans</w:t>
            </w:r>
          </w:p>
        </w:tc>
        <w:tc>
          <w:tcPr>
            <w:tcW w:w="280" w:type="dxa"/>
            <w:vAlign w:val="bottom"/>
            <w:tcBorders>
              <w:top w:val="single" w:sz="8" w:color="auto"/>
            </w:tcBorders>
            <w:shd w:val="clear" w:color="auto" w:fill="E0E7ED"/>
          </w:tcPr>
          <w:p>
            <w:pPr>
              <w:spacing w:after="0"/>
              <w:rPr>
                <w:sz w:val="19"/>
                <w:szCs w:val="19"/>
                <w:color w:val="auto"/>
              </w:rPr>
            </w:pPr>
          </w:p>
        </w:tc>
        <w:tc>
          <w:tcPr>
            <w:tcW w:w="11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E0E7ED"/>
          </w:tcPr>
          <w:p>
            <w:pPr>
              <w:ind w:left="180"/>
              <w:spacing w:after="0" w:line="216" w:lineRule="exact"/>
              <w:rPr>
                <w:sz w:val="20"/>
                <w:szCs w:val="20"/>
                <w:color w:val="auto"/>
              </w:rPr>
            </w:pPr>
            <w:r>
              <w:rPr>
                <w:rFonts w:ascii="Verdana" w:cs="Verdana" w:eastAsia="Verdana" w:hAnsi="Verdana"/>
                <w:sz w:val="18"/>
                <w:szCs w:val="18"/>
                <w:color w:val="auto"/>
              </w:rPr>
              <w:t>evaluated</w:t>
            </w:r>
          </w:p>
        </w:tc>
        <w:tc>
          <w:tcPr>
            <w:tcW w:w="28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individually</w:t>
            </w:r>
          </w:p>
        </w:tc>
        <w:tc>
          <w:tcPr>
            <w:tcW w:w="280" w:type="dxa"/>
            <w:vAlign w:val="bottom"/>
            <w:tcBorders>
              <w:bottom w:val="single" w:sz="8" w:color="auto"/>
            </w:tcBorders>
            <w:shd w:val="clear" w:color="auto" w:fill="E0E7ED"/>
          </w:tcPr>
          <w:p>
            <w:pPr>
              <w:spacing w:after="0"/>
              <w:rPr>
                <w:sz w:val="21"/>
                <w:szCs w:val="21"/>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20,372</w:t>
            </w:r>
          </w:p>
        </w:tc>
        <w:tc>
          <w:tcPr>
            <w:tcW w:w="100" w:type="dxa"/>
            <w:vAlign w:val="bottom"/>
            <w:shd w:val="clear" w:color="auto" w:fill="E0E7ED"/>
          </w:tcPr>
          <w:p>
            <w:pPr>
              <w:spacing w:after="0"/>
              <w:rPr>
                <w:sz w:val="21"/>
                <w:szCs w:val="21"/>
                <w:color w:val="auto"/>
              </w:rPr>
            </w:pPr>
          </w:p>
        </w:tc>
        <w:tc>
          <w:tcPr>
            <w:tcW w:w="24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2,197</w:t>
            </w:r>
          </w:p>
        </w:tc>
        <w:tc>
          <w:tcPr>
            <w:tcW w:w="100" w:type="dxa"/>
            <w:vAlign w:val="bottom"/>
            <w:shd w:val="clear" w:color="auto" w:fill="E0E7ED"/>
          </w:tcPr>
          <w:p>
            <w:pPr>
              <w:spacing w:after="0"/>
              <w:rPr>
                <w:sz w:val="21"/>
                <w:szCs w:val="21"/>
                <w:color w:val="auto"/>
              </w:rPr>
            </w:pPr>
          </w:p>
        </w:tc>
        <w:tc>
          <w:tcPr>
            <w:tcW w:w="24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10,920</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2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13,117</w:t>
            </w:r>
          </w:p>
        </w:tc>
        <w:tc>
          <w:tcPr>
            <w:tcW w:w="80" w:type="dxa"/>
            <w:vAlign w:val="bottom"/>
            <w:shd w:val="clear" w:color="auto" w:fill="E0E7ED"/>
          </w:tcPr>
          <w:p>
            <w:pPr>
              <w:spacing w:after="0"/>
              <w:rPr>
                <w:sz w:val="21"/>
                <w:szCs w:val="21"/>
                <w:color w:val="auto"/>
              </w:rPr>
            </w:pPr>
          </w:p>
        </w:tc>
        <w:tc>
          <w:tcPr>
            <w:tcW w:w="26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7,498</w:t>
            </w:r>
          </w:p>
        </w:tc>
        <w:tc>
          <w:tcPr>
            <w:tcW w:w="10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4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9,171</w:t>
            </w:r>
          </w:p>
        </w:tc>
        <w:tc>
          <w:tcPr>
            <w:tcW w:w="0" w:type="dxa"/>
            <w:vAlign w:val="bottom"/>
          </w:tcPr>
          <w:p>
            <w:pPr>
              <w:spacing w:after="0"/>
              <w:rPr>
                <w:sz w:val="1"/>
                <w:szCs w:val="1"/>
                <w:color w:val="auto"/>
              </w:rPr>
            </w:pPr>
          </w:p>
        </w:tc>
      </w:tr>
      <w:tr>
        <w:trPr>
          <w:trHeight w:val="243"/>
        </w:trPr>
        <w:tc>
          <w:tcPr>
            <w:tcW w:w="2060" w:type="dxa"/>
            <w:vAlign w:val="bottom"/>
          </w:tcPr>
          <w:p>
            <w:pPr>
              <w:ind w:left="180"/>
              <w:spacing w:after="0"/>
              <w:rPr>
                <w:sz w:val="20"/>
                <w:szCs w:val="20"/>
                <w:color w:val="auto"/>
              </w:rPr>
            </w:pPr>
            <w:r>
              <w:rPr>
                <w:rFonts w:ascii="Verdana" w:cs="Verdana" w:eastAsia="Verdana" w:hAnsi="Verdana"/>
                <w:sz w:val="18"/>
                <w:szCs w:val="18"/>
                <w:color w:val="auto"/>
              </w:rPr>
              <w:t>Retail loans: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Retail real estate</w:t>
            </w:r>
          </w:p>
        </w:tc>
        <w:tc>
          <w:tcPr>
            <w:tcW w:w="280" w:type="dxa"/>
            <w:vAlign w:val="bottom"/>
            <w:tcBorders>
              <w:bottom w:val="single" w:sz="8" w:color="auto"/>
            </w:tcBorders>
            <w:shd w:val="clear" w:color="auto" w:fill="E0E7ED"/>
          </w:tcPr>
          <w:p>
            <w:pPr>
              <w:spacing w:after="0"/>
              <w:rPr>
                <w:sz w:val="24"/>
                <w:szCs w:val="24"/>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213</w:t>
            </w:r>
          </w:p>
        </w:tc>
        <w:tc>
          <w:tcPr>
            <w:tcW w:w="100" w:type="dxa"/>
            <w:vAlign w:val="bottom"/>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spacing w:after="0"/>
              <w:rPr>
                <w:sz w:val="24"/>
                <w:szCs w:val="24"/>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61</w:t>
            </w:r>
          </w:p>
        </w:tc>
        <w:tc>
          <w:tcPr>
            <w:tcW w:w="100" w:type="dxa"/>
            <w:vAlign w:val="bottom"/>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spacing w:after="0"/>
              <w:rPr>
                <w:sz w:val="24"/>
                <w:szCs w:val="24"/>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spacing w:after="0"/>
              <w:rPr>
                <w:sz w:val="24"/>
                <w:szCs w:val="24"/>
                <w:color w:val="auto"/>
              </w:rPr>
            </w:pPr>
          </w:p>
        </w:tc>
        <w:tc>
          <w:tcPr>
            <w:tcW w:w="112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86</w:t>
            </w:r>
          </w:p>
        </w:tc>
        <w:tc>
          <w:tcPr>
            <w:tcW w:w="80" w:type="dxa"/>
            <w:vAlign w:val="bottom"/>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spacing w:after="0"/>
              <w:rPr>
                <w:sz w:val="24"/>
                <w:szCs w:val="24"/>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289</w:t>
            </w:r>
          </w:p>
        </w:tc>
        <w:tc>
          <w:tcPr>
            <w:tcW w:w="0" w:type="dxa"/>
            <w:vAlign w:val="bottom"/>
          </w:tcPr>
          <w:p>
            <w:pPr>
              <w:spacing w:after="0"/>
              <w:rPr>
                <w:sz w:val="1"/>
                <w:szCs w:val="1"/>
                <w:color w:val="auto"/>
              </w:rPr>
            </w:pPr>
          </w:p>
        </w:tc>
      </w:tr>
      <w:tr>
        <w:trPr>
          <w:trHeight w:val="218"/>
        </w:trPr>
        <w:tc>
          <w:tcPr>
            <w:tcW w:w="2060" w:type="dxa"/>
            <w:vAlign w:val="bottom"/>
          </w:tcPr>
          <w:p>
            <w:pPr>
              <w:ind w:left="180"/>
              <w:spacing w:after="0" w:line="217" w:lineRule="exact"/>
              <w:rPr>
                <w:sz w:val="20"/>
                <w:szCs w:val="20"/>
                <w:color w:val="auto"/>
              </w:rPr>
            </w:pPr>
            <w:r>
              <w:rPr>
                <w:rFonts w:ascii="Verdana" w:cs="Verdana" w:eastAsia="Verdana" w:hAnsi="Verdana"/>
                <w:sz w:val="18"/>
                <w:szCs w:val="18"/>
                <w:color w:val="auto"/>
              </w:rPr>
              <w:t>Retail loans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line="216" w:lineRule="exact"/>
              <w:rPr>
                <w:sz w:val="20"/>
                <w:szCs w:val="20"/>
                <w:color w:val="auto"/>
              </w:rPr>
            </w:pPr>
            <w:r>
              <w:rPr>
                <w:rFonts w:ascii="Verdana" w:cs="Verdana" w:eastAsia="Verdana" w:hAnsi="Verdana"/>
                <w:sz w:val="18"/>
                <w:szCs w:val="18"/>
                <w:color w:val="auto"/>
              </w:rPr>
              <w:t>evaluated</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individually</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213</w:t>
            </w:r>
          </w:p>
        </w:tc>
        <w:tc>
          <w:tcPr>
            <w:tcW w:w="10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61</w:t>
            </w:r>
          </w:p>
        </w:tc>
        <w:tc>
          <w:tcPr>
            <w:tcW w:w="10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tcBorders>
              <w:bottom w:val="single" w:sz="8" w:color="E0E7ED"/>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86</w:t>
            </w:r>
          </w:p>
        </w:tc>
        <w:tc>
          <w:tcPr>
            <w:tcW w:w="80" w:type="dxa"/>
            <w:vAlign w:val="bottom"/>
            <w:tcBorders>
              <w:bottom w:val="single" w:sz="8" w:color="E0E7ED"/>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tcBorders>
              <w:bottom w:val="single" w:sz="8" w:color="E0E7ED"/>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289</w:t>
            </w:r>
          </w:p>
        </w:tc>
        <w:tc>
          <w:tcPr>
            <w:tcW w:w="0" w:type="dxa"/>
            <w:vAlign w:val="bottom"/>
          </w:tcPr>
          <w:p>
            <w:pPr>
              <w:spacing w:after="0"/>
              <w:rPr>
                <w:sz w:val="1"/>
                <w:szCs w:val="1"/>
                <w:color w:val="auto"/>
              </w:rPr>
            </w:pPr>
          </w:p>
        </w:tc>
      </w:tr>
      <w:tr>
        <w:trPr>
          <w:trHeight w:val="224"/>
        </w:trPr>
        <w:tc>
          <w:tcPr>
            <w:tcW w:w="2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loans evaluated</w:t>
            </w:r>
          </w:p>
        </w:tc>
        <w:tc>
          <w:tcPr>
            <w:tcW w:w="280" w:type="dxa"/>
            <w:vAlign w:val="bottom"/>
            <w:vMerge w:val="restart"/>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20,585</w:t>
            </w:r>
          </w:p>
        </w:tc>
        <w:tc>
          <w:tcPr>
            <w:tcW w:w="100" w:type="dxa"/>
            <w:vAlign w:val="bottom"/>
            <w:shd w:val="clear" w:color="auto" w:fill="E0E7ED"/>
          </w:tcPr>
          <w:p>
            <w:pPr>
              <w:spacing w:after="0"/>
              <w:rPr>
                <w:sz w:val="19"/>
                <w:szCs w:val="19"/>
                <w:color w:val="auto"/>
              </w:rPr>
            </w:pPr>
          </w:p>
        </w:tc>
        <w:tc>
          <w:tcPr>
            <w:tcW w:w="24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2,258</w:t>
            </w:r>
          </w:p>
        </w:tc>
        <w:tc>
          <w:tcPr>
            <w:tcW w:w="340" w:type="dxa"/>
            <w:vAlign w:val="bottom"/>
            <w:gridSpan w:val="2"/>
            <w:vMerge w:val="restart"/>
            <w:shd w:val="clear" w:color="auto" w:fill="E0E7ED"/>
          </w:tcPr>
          <w:p>
            <w:pPr>
              <w:jc w:val="right"/>
              <w:ind w:right="100"/>
              <w:spacing w:after="0"/>
              <w:rPr>
                <w:sz w:val="20"/>
                <w:szCs w:val="20"/>
                <w:color w:val="auto"/>
              </w:rPr>
            </w:pPr>
            <w:r>
              <w:rPr>
                <w:rFonts w:ascii="Verdana" w:cs="Verdana" w:eastAsia="Verdana" w:hAnsi="Verdana"/>
                <w:sz w:val="18"/>
                <w:szCs w:val="18"/>
                <w:color w:val="auto"/>
              </w:rPr>
              <w:t>$</w:t>
            </w:r>
          </w:p>
        </w:tc>
        <w:tc>
          <w:tcPr>
            <w:tcW w:w="1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10,945</w:t>
            </w:r>
          </w:p>
        </w:tc>
        <w:tc>
          <w:tcPr>
            <w:tcW w:w="100" w:type="dxa"/>
            <w:vAlign w:val="bottom"/>
            <w:shd w:val="clear" w:color="auto" w:fill="E0E7ED"/>
          </w:tcPr>
          <w:p>
            <w:pPr>
              <w:spacing w:after="0"/>
              <w:rPr>
                <w:sz w:val="19"/>
                <w:szCs w:val="19"/>
                <w:color w:val="auto"/>
              </w:rPr>
            </w:pPr>
          </w:p>
        </w:tc>
        <w:tc>
          <w:tcPr>
            <w:tcW w:w="340" w:type="dxa"/>
            <w:vAlign w:val="bottom"/>
            <w:vMerge w:val="restart"/>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20" w:type="dxa"/>
            <w:vAlign w:val="bottom"/>
            <w:vMerge w:val="restart"/>
            <w:shd w:val="clear" w:color="auto" w:fill="E0E7ED"/>
          </w:tcPr>
          <w:p>
            <w:pPr>
              <w:jc w:val="right"/>
              <w:ind w:right="14"/>
              <w:spacing w:after="0"/>
              <w:rPr>
                <w:sz w:val="20"/>
                <w:szCs w:val="20"/>
                <w:color w:val="auto"/>
              </w:rPr>
            </w:pPr>
            <w:r>
              <w:rPr>
                <w:rFonts w:ascii="Verdana" w:cs="Verdana" w:eastAsia="Verdana" w:hAnsi="Verdana"/>
                <w:sz w:val="18"/>
                <w:szCs w:val="18"/>
                <w:color w:val="auto"/>
              </w:rPr>
              <w:t>13,203</w:t>
            </w:r>
          </w:p>
        </w:tc>
        <w:tc>
          <w:tcPr>
            <w:tcW w:w="80" w:type="dxa"/>
            <w:vAlign w:val="bottom"/>
            <w:shd w:val="clear" w:color="auto" w:fill="E0E7ED"/>
          </w:tcPr>
          <w:p>
            <w:pPr>
              <w:spacing w:after="0"/>
              <w:rPr>
                <w:sz w:val="19"/>
                <w:szCs w:val="19"/>
                <w:color w:val="auto"/>
              </w:rPr>
            </w:pPr>
          </w:p>
        </w:tc>
        <w:tc>
          <w:tcPr>
            <w:tcW w:w="260" w:type="dxa"/>
            <w:vAlign w:val="bottom"/>
            <w:vMerge w:val="restart"/>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7,523</w:t>
            </w:r>
          </w:p>
        </w:tc>
        <w:tc>
          <w:tcPr>
            <w:tcW w:w="10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vMerge w:val="restart"/>
            <w:shd w:val="clear" w:color="auto" w:fill="E0E7ED"/>
          </w:tcPr>
          <w:p>
            <w:pPr>
              <w:jc w:val="right"/>
              <w:ind w:right="19"/>
              <w:spacing w:after="0"/>
              <w:rPr>
                <w:sz w:val="20"/>
                <w:szCs w:val="20"/>
                <w:color w:val="auto"/>
              </w:rPr>
            </w:pPr>
            <w:r>
              <w:rPr>
                <w:rFonts w:ascii="Verdana" w:cs="Verdana" w:eastAsia="Verdana" w:hAnsi="Verdana"/>
                <w:sz w:val="18"/>
                <w:szCs w:val="18"/>
                <w:color w:val="auto"/>
              </w:rPr>
              <w:t>9,460</w:t>
            </w:r>
          </w:p>
        </w:tc>
        <w:tc>
          <w:tcPr>
            <w:tcW w:w="0" w:type="dxa"/>
            <w:vAlign w:val="bottom"/>
          </w:tcPr>
          <w:p>
            <w:pPr>
              <w:spacing w:after="0"/>
              <w:rPr>
                <w:sz w:val="1"/>
                <w:szCs w:val="1"/>
                <w:color w:val="auto"/>
              </w:rPr>
            </w:pPr>
          </w:p>
        </w:tc>
      </w:tr>
      <w:tr>
        <w:trPr>
          <w:trHeight w:val="241"/>
        </w:trPr>
        <w:tc>
          <w:tcPr>
            <w:tcW w:w="2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individually</w:t>
            </w:r>
          </w:p>
        </w:tc>
        <w:tc>
          <w:tcPr>
            <w:tcW w:w="280" w:type="dxa"/>
            <w:vAlign w:val="bottom"/>
            <w:vMerge w:val="continue"/>
            <w:shd w:val="clear" w:color="auto" w:fill="E0E7ED"/>
          </w:tcPr>
          <w:p>
            <w:pPr>
              <w:spacing w:after="0"/>
              <w:rPr>
                <w:sz w:val="20"/>
                <w:szCs w:val="20"/>
                <w:color w:val="auto"/>
              </w:rPr>
            </w:pPr>
          </w:p>
        </w:tc>
        <w:tc>
          <w:tcPr>
            <w:tcW w:w="116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vMerge w:val="continue"/>
            <w:shd w:val="clear" w:color="auto" w:fill="E0E7ED"/>
          </w:tcPr>
          <w:p>
            <w:pPr>
              <w:spacing w:after="0"/>
              <w:rPr>
                <w:sz w:val="20"/>
                <w:szCs w:val="20"/>
                <w:color w:val="auto"/>
              </w:rPr>
            </w:pPr>
          </w:p>
        </w:tc>
        <w:tc>
          <w:tcPr>
            <w:tcW w:w="1200" w:type="dxa"/>
            <w:vAlign w:val="bottom"/>
            <w:vMerge w:val="continue"/>
            <w:shd w:val="clear" w:color="auto" w:fill="E0E7ED"/>
          </w:tcPr>
          <w:p>
            <w:pPr>
              <w:spacing w:after="0"/>
              <w:rPr>
                <w:sz w:val="20"/>
                <w:szCs w:val="20"/>
                <w:color w:val="auto"/>
              </w:rPr>
            </w:pPr>
          </w:p>
        </w:tc>
        <w:tc>
          <w:tcPr>
            <w:tcW w:w="340" w:type="dxa"/>
            <w:vAlign w:val="bottom"/>
            <w:gridSpan w:val="2"/>
            <w:vMerge w:val="continue"/>
            <w:shd w:val="clear" w:color="auto" w:fill="E0E7ED"/>
          </w:tcPr>
          <w:p>
            <w:pPr>
              <w:spacing w:after="0"/>
              <w:rPr>
                <w:sz w:val="20"/>
                <w:szCs w:val="20"/>
                <w:color w:val="auto"/>
              </w:rPr>
            </w:pPr>
          </w:p>
        </w:tc>
        <w:tc>
          <w:tcPr>
            <w:tcW w:w="120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vMerge w:val="continue"/>
            <w:shd w:val="clear" w:color="auto" w:fill="E0E7ED"/>
          </w:tcPr>
          <w:p>
            <w:pPr>
              <w:spacing w:after="0"/>
              <w:rPr>
                <w:sz w:val="20"/>
                <w:szCs w:val="20"/>
                <w:color w:val="auto"/>
              </w:rPr>
            </w:pPr>
          </w:p>
        </w:tc>
        <w:tc>
          <w:tcPr>
            <w:tcW w:w="1120" w:type="dxa"/>
            <w:vAlign w:val="bottom"/>
            <w:vMerge w:val="continue"/>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60" w:type="dxa"/>
            <w:vAlign w:val="bottom"/>
            <w:vMerge w:val="continue"/>
            <w:shd w:val="clear" w:color="auto" w:fill="E0E7ED"/>
          </w:tcPr>
          <w:p>
            <w:pPr>
              <w:spacing w:after="0"/>
              <w:rPr>
                <w:sz w:val="20"/>
                <w:szCs w:val="20"/>
                <w:color w:val="auto"/>
              </w:rPr>
            </w:pPr>
          </w:p>
        </w:tc>
        <w:tc>
          <w:tcPr>
            <w:tcW w:w="120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vMerge w:val="continue"/>
            <w:shd w:val="clear" w:color="auto" w:fill="E0E7ED"/>
          </w:tcPr>
          <w:p>
            <w:pPr>
              <w:spacing w:after="0"/>
              <w:rPr>
                <w:sz w:val="20"/>
                <w:szCs w:val="20"/>
                <w:color w:val="auto"/>
              </w:rPr>
            </w:pPr>
          </w:p>
        </w:tc>
        <w:tc>
          <w:tcPr>
            <w:tcW w:w="1240" w:type="dxa"/>
            <w:vAlign w:val="bottom"/>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758"/>
              <w:spacing w:after="0"/>
              <w:rPr>
                <w:sz w:val="20"/>
                <w:szCs w:val="20"/>
                <w:color w:val="auto"/>
              </w:rPr>
            </w:pPr>
            <w:r>
              <w:rPr>
                <w:rFonts w:ascii="Verdana" w:cs="Verdana" w:eastAsia="Verdana" w:hAnsi="Verdana"/>
                <w:sz w:val="18"/>
                <w:szCs w:val="18"/>
                <w:color w:val="auto"/>
              </w:rPr>
              <w:t>29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9" w:name="page30"/>
    <w:bookmarkEnd w:id="29"/>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ind w:left="380"/>
              <w:spacing w:after="0"/>
              <w:rPr>
                <w:sz w:val="20"/>
                <w:szCs w:val="20"/>
                <w:color w:val="auto"/>
              </w:rPr>
            </w:pPr>
            <w:r>
              <w:rPr>
                <w:rFonts w:ascii="Verdana" w:cs="Verdana" w:eastAsia="Verdana" w:hAnsi="Verdana"/>
                <w:sz w:val="13"/>
                <w:szCs w:val="13"/>
                <w:b w:val="1"/>
                <w:bCs w:val="1"/>
                <w:color w:val="auto"/>
              </w:rPr>
              <w:t>As of December 31, 2023</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7"/>
              </w:rPr>
              <w:t>Unpaid</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Verdana" w:cs="Verdana" w:eastAsia="Verdana" w:hAnsi="Verdana"/>
                <w:sz w:val="13"/>
                <w:szCs w:val="13"/>
                <w:b w:val="1"/>
                <w:bCs w:val="1"/>
                <w:color w:val="auto"/>
                <w:w w:val="97"/>
              </w:rPr>
              <w:t>Recorded Investment</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38"/>
              <w:spacing w:after="0"/>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380"/>
              <w:spacing w:after="0" w:line="135" w:lineRule="exact"/>
              <w:rPr>
                <w:sz w:val="20"/>
                <w:szCs w:val="20"/>
                <w:color w:val="auto"/>
              </w:rPr>
            </w:pPr>
            <w:r>
              <w:rPr>
                <w:rFonts w:ascii="Verdana" w:cs="Verdana" w:eastAsia="Verdana" w:hAnsi="Verdana"/>
                <w:sz w:val="13"/>
                <w:szCs w:val="13"/>
                <w:b w:val="1"/>
                <w:bCs w:val="1"/>
                <w:color w:val="auto"/>
                <w:w w:val="96"/>
              </w:rPr>
              <w:t>Principal</w:t>
            </w:r>
          </w:p>
        </w:tc>
        <w:tc>
          <w:tcPr>
            <w:tcW w:w="260" w:type="dxa"/>
            <w:vAlign w:val="bottom"/>
          </w:tcPr>
          <w:p>
            <w:pPr>
              <w:spacing w:after="0"/>
              <w:rPr>
                <w:sz w:val="11"/>
                <w:szCs w:val="11"/>
                <w:color w:val="auto"/>
              </w:rPr>
            </w:pPr>
          </w:p>
        </w:tc>
        <w:tc>
          <w:tcPr>
            <w:tcW w:w="1200" w:type="dxa"/>
            <w:vAlign w:val="bottom"/>
          </w:tcPr>
          <w:p>
            <w:pPr>
              <w:jc w:val="right"/>
              <w:ind w:right="356"/>
              <w:spacing w:after="0" w:line="135" w:lineRule="exact"/>
              <w:rPr>
                <w:sz w:val="20"/>
                <w:szCs w:val="20"/>
                <w:color w:val="auto"/>
              </w:rPr>
            </w:pPr>
            <w:r>
              <w:rPr>
                <w:rFonts w:ascii="Verdana" w:cs="Verdana" w:eastAsia="Verdana" w:hAnsi="Verdana"/>
                <w:sz w:val="13"/>
                <w:szCs w:val="13"/>
                <w:b w:val="1"/>
                <w:bCs w:val="1"/>
                <w:color w:val="auto"/>
              </w:rPr>
              <w:t>With No</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Verdana" w:cs="Verdana" w:eastAsia="Verdana" w:hAnsi="Verdana"/>
                <w:sz w:val="13"/>
                <w:szCs w:val="13"/>
                <w:b w:val="1"/>
                <w:bCs w:val="1"/>
                <w:color w:val="auto"/>
                <w:w w:val="92"/>
              </w:rPr>
              <w:t>With</w:t>
            </w:r>
          </w:p>
        </w:tc>
        <w:tc>
          <w:tcPr>
            <w:tcW w:w="36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Verdana" w:cs="Verdana" w:eastAsia="Verdana" w:hAnsi="Verdana"/>
                <w:sz w:val="13"/>
                <w:szCs w:val="13"/>
                <w:b w:val="1"/>
                <w:bCs w:val="1"/>
                <w:color w:val="auto"/>
              </w:rPr>
              <w:t>Total</w:t>
            </w:r>
          </w:p>
        </w:tc>
        <w:tc>
          <w:tcPr>
            <w:tcW w:w="26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Verdana" w:cs="Verdana" w:eastAsia="Verdana" w:hAnsi="Verdana"/>
                <w:sz w:val="13"/>
                <w:szCs w:val="13"/>
                <w:b w:val="1"/>
                <w:bCs w:val="1"/>
                <w:color w:val="auto"/>
                <w:w w:val="96"/>
              </w:rPr>
              <w:t>Related</w:t>
            </w:r>
          </w:p>
        </w:tc>
        <w:tc>
          <w:tcPr>
            <w:tcW w:w="240" w:type="dxa"/>
            <w:vAlign w:val="bottom"/>
          </w:tcPr>
          <w:p>
            <w:pPr>
              <w:spacing w:after="0"/>
              <w:rPr>
                <w:sz w:val="11"/>
                <w:szCs w:val="11"/>
                <w:color w:val="auto"/>
              </w:rPr>
            </w:pPr>
          </w:p>
        </w:tc>
        <w:tc>
          <w:tcPr>
            <w:tcW w:w="1240" w:type="dxa"/>
            <w:vAlign w:val="bottom"/>
          </w:tcPr>
          <w:p>
            <w:pPr>
              <w:jc w:val="center"/>
              <w:ind w:right="138"/>
              <w:spacing w:after="0" w:line="135" w:lineRule="exact"/>
              <w:rPr>
                <w:sz w:val="20"/>
                <w:szCs w:val="20"/>
                <w:color w:val="auto"/>
              </w:rPr>
            </w:pPr>
            <w:r>
              <w:rPr>
                <w:rFonts w:ascii="Verdana" w:cs="Verdana" w:eastAsia="Verdana" w:hAnsi="Verdana"/>
                <w:sz w:val="13"/>
                <w:szCs w:val="13"/>
                <w:b w:val="1"/>
                <w:bCs w:val="1"/>
                <w:color w:val="auto"/>
                <w:w w:val="95"/>
              </w:rPr>
              <w:t>Recorded</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Verdana" w:cs="Verdana" w:eastAsia="Verdana" w:hAnsi="Verdana"/>
                <w:sz w:val="13"/>
                <w:szCs w:val="13"/>
                <w:b w:val="1"/>
                <w:bCs w:val="1"/>
                <w:color w:val="auto"/>
                <w:w w:val="97"/>
              </w:rPr>
              <w:t>Balance</w:t>
            </w:r>
          </w:p>
        </w:tc>
        <w:tc>
          <w:tcPr>
            <w:tcW w:w="260" w:type="dxa"/>
            <w:vAlign w:val="bottom"/>
          </w:tcPr>
          <w:p>
            <w:pPr>
              <w:spacing w:after="0"/>
              <w:rPr>
                <w:sz w:val="14"/>
                <w:szCs w:val="14"/>
                <w:color w:val="auto"/>
              </w:rPr>
            </w:pPr>
          </w:p>
        </w:tc>
        <w:tc>
          <w:tcPr>
            <w:tcW w:w="1200" w:type="dxa"/>
            <w:vAlign w:val="bottom"/>
          </w:tcPr>
          <w:p>
            <w:pPr>
              <w:jc w:val="right"/>
              <w:ind w:right="276"/>
              <w:spacing w:after="0"/>
              <w:rPr>
                <w:sz w:val="20"/>
                <w:szCs w:val="20"/>
                <w:color w:val="auto"/>
              </w:rPr>
            </w:pPr>
            <w:r>
              <w:rPr>
                <w:rFonts w:ascii="Verdana" w:cs="Verdana" w:eastAsia="Verdana" w:hAnsi="Verdana"/>
                <w:sz w:val="13"/>
                <w:szCs w:val="13"/>
                <w:b w:val="1"/>
                <w:bCs w:val="1"/>
                <w:color w:val="auto"/>
              </w:rPr>
              <w:t>Allowance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6"/>
              </w:rPr>
              <w:t>Allowance</w:t>
            </w:r>
          </w:p>
        </w:tc>
        <w:tc>
          <w:tcPr>
            <w:tcW w:w="3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6"/>
              </w:rPr>
              <w:t>Allowance</w:t>
            </w:r>
          </w:p>
        </w:tc>
        <w:tc>
          <w:tcPr>
            <w:tcW w:w="240" w:type="dxa"/>
            <w:vAlign w:val="bottom"/>
          </w:tcPr>
          <w:p>
            <w:pPr>
              <w:spacing w:after="0"/>
              <w:rPr>
                <w:sz w:val="14"/>
                <w:szCs w:val="14"/>
                <w:color w:val="auto"/>
              </w:rPr>
            </w:pPr>
          </w:p>
        </w:tc>
        <w:tc>
          <w:tcPr>
            <w:tcW w:w="1240" w:type="dxa"/>
            <w:vAlign w:val="bottom"/>
          </w:tcPr>
          <w:p>
            <w:pPr>
              <w:jc w:val="center"/>
              <w:ind w:right="138"/>
              <w:spacing w:after="0"/>
              <w:rPr>
                <w:sz w:val="20"/>
                <w:szCs w:val="20"/>
                <w:color w:val="auto"/>
              </w:rPr>
            </w:pPr>
            <w:r>
              <w:rPr>
                <w:rFonts w:ascii="Verdana" w:cs="Verdana" w:eastAsia="Verdana" w:hAnsi="Verdana"/>
                <w:sz w:val="13"/>
                <w:szCs w:val="13"/>
                <w:b w:val="1"/>
                <w:bCs w:val="1"/>
                <w:color w:val="auto"/>
                <w:w w:val="96"/>
              </w:rPr>
              <w:t>Investment</w:t>
            </w:r>
          </w:p>
        </w:tc>
        <w:tc>
          <w:tcPr>
            <w:tcW w:w="0" w:type="dxa"/>
            <w:vAlign w:val="bottom"/>
          </w:tcPr>
          <w:p>
            <w:pPr>
              <w:spacing w:after="0"/>
              <w:rPr>
                <w:sz w:val="1"/>
                <w:szCs w:val="1"/>
                <w:color w:val="auto"/>
              </w:rPr>
            </w:pPr>
          </w:p>
        </w:tc>
      </w:tr>
      <w:tr>
        <w:trPr>
          <w:trHeight w:val="223"/>
        </w:trPr>
        <w:tc>
          <w:tcPr>
            <w:tcW w:w="1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Loans evaluated</w:t>
            </w:r>
          </w:p>
        </w:tc>
        <w:tc>
          <w:tcPr>
            <w:tcW w:w="280" w:type="dxa"/>
            <w:vAlign w:val="bottom"/>
            <w:tcBorders>
              <w:top w:val="single" w:sz="8" w:color="auto"/>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60" w:type="dxa"/>
            <w:vAlign w:val="bottom"/>
            <w:tcBorders>
              <w:top w:val="single" w:sz="8" w:color="auto"/>
            </w:tcBorders>
            <w:shd w:val="clear" w:color="auto" w:fill="E0E7ED"/>
          </w:tcPr>
          <w:p>
            <w:pPr>
              <w:spacing w:after="0"/>
              <w:rPr>
                <w:sz w:val="19"/>
                <w:szCs w:val="19"/>
                <w:color w:val="auto"/>
              </w:rPr>
            </w:pPr>
          </w:p>
        </w:tc>
        <w:tc>
          <w:tcPr>
            <w:tcW w:w="11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individually</w:t>
            </w:r>
          </w:p>
        </w:tc>
        <w:tc>
          <w:tcPr>
            <w:tcW w:w="28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60" w:type="dxa"/>
            <w:vAlign w:val="bottom"/>
          </w:tcPr>
          <w:p>
            <w:pPr>
              <w:ind w:left="180"/>
              <w:spacing w:after="0"/>
              <w:rPr>
                <w:sz w:val="20"/>
                <w:szCs w:val="20"/>
                <w:color w:val="auto"/>
              </w:rPr>
            </w:pPr>
            <w:r>
              <w:rPr>
                <w:rFonts w:ascii="Verdana" w:cs="Verdana" w:eastAsia="Verdana" w:hAnsi="Verdana"/>
                <w:sz w:val="18"/>
                <w:szCs w:val="18"/>
                <w:color w:val="auto"/>
              </w:rPr>
              <w:t>Commercial loans: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C&amp;I and other</w:t>
            </w:r>
          </w:p>
        </w:tc>
        <w:tc>
          <w:tcPr>
            <w:tcW w:w="28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commercial</w:t>
            </w: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7,283</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585</w:t>
            </w:r>
          </w:p>
        </w:tc>
        <w:tc>
          <w:tcPr>
            <w:tcW w:w="36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1,785</w:t>
            </w: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2,370</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785</w:t>
            </w: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5,244</w:t>
            </w:r>
          </w:p>
        </w:tc>
        <w:tc>
          <w:tcPr>
            <w:tcW w:w="0" w:type="dxa"/>
            <w:vAlign w:val="bottom"/>
          </w:tcPr>
          <w:p>
            <w:pPr>
              <w:spacing w:after="0"/>
              <w:rPr>
                <w:sz w:val="1"/>
                <w:szCs w:val="1"/>
                <w:color w:val="auto"/>
              </w:rPr>
            </w:pPr>
          </w:p>
        </w:tc>
      </w:tr>
      <w:tr>
        <w:trPr>
          <w:trHeight w:val="238"/>
        </w:trPr>
        <w:tc>
          <w:tcPr>
            <w:tcW w:w="1960" w:type="dxa"/>
            <w:vAlign w:val="bottom"/>
          </w:tcPr>
          <w:p>
            <w:pPr>
              <w:ind w:left="360"/>
              <w:spacing w:after="0"/>
              <w:rPr>
                <w:sz w:val="20"/>
                <w:szCs w:val="20"/>
                <w:color w:val="auto"/>
              </w:rPr>
            </w:pPr>
            <w:r>
              <w:rPr>
                <w:rFonts w:ascii="Verdana" w:cs="Verdana" w:eastAsia="Verdana" w:hAnsi="Verdana"/>
                <w:sz w:val="18"/>
                <w:szCs w:val="18"/>
                <w:color w:val="auto"/>
              </w:rPr>
              <w:t>Commercial real</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60" w:type="dxa"/>
            <w:vAlign w:val="bottom"/>
          </w:tcPr>
          <w:p>
            <w:pPr>
              <w:ind w:left="360"/>
              <w:spacing w:after="0"/>
              <w:rPr>
                <w:sz w:val="20"/>
                <w:szCs w:val="20"/>
                <w:color w:val="auto"/>
              </w:rPr>
            </w:pPr>
            <w:r>
              <w:rPr>
                <w:rFonts w:ascii="Verdana" w:cs="Verdana" w:eastAsia="Verdana" w:hAnsi="Verdana"/>
                <w:sz w:val="18"/>
                <w:szCs w:val="18"/>
                <w:color w:val="auto"/>
              </w:rPr>
              <w:t>estate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610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Verdana" w:cs="Verdana" w:eastAsia="Verdana" w:hAnsi="Verdana"/>
                <w:sz w:val="18"/>
                <w:szCs w:val="18"/>
                <w:color w:val="auto"/>
              </w:rPr>
              <w:t>85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Verdana" w:cs="Verdana" w:eastAsia="Verdana" w:hAnsi="Verdana"/>
                <w:sz w:val="18"/>
                <w:szCs w:val="18"/>
                <w:color w:val="auto"/>
              </w:rPr>
              <w:t>695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Verdana" w:cs="Verdana" w:eastAsia="Verdana" w:hAnsi="Verdana"/>
                <w:sz w:val="18"/>
                <w:szCs w:val="18"/>
                <w:color w:val="auto"/>
              </w:rPr>
              <w:t>85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Verdana" w:cs="Verdana" w:eastAsia="Verdana" w:hAnsi="Verdana"/>
                <w:sz w:val="18"/>
                <w:szCs w:val="18"/>
                <w:color w:val="auto"/>
              </w:rPr>
              <w:t>3,865</w:t>
            </w:r>
          </w:p>
        </w:tc>
        <w:tc>
          <w:tcPr>
            <w:tcW w:w="0" w:type="dxa"/>
            <w:vAlign w:val="bottom"/>
          </w:tcPr>
          <w:p>
            <w:pPr>
              <w:spacing w:after="0"/>
              <w:rPr>
                <w:sz w:val="1"/>
                <w:szCs w:val="1"/>
                <w:color w:val="auto"/>
              </w:rPr>
            </w:pPr>
          </w:p>
        </w:tc>
      </w:tr>
      <w:tr>
        <w:trPr>
          <w:trHeight w:val="244"/>
        </w:trPr>
        <w:tc>
          <w:tcPr>
            <w:tcW w:w="1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 estate</w:t>
            </w:r>
          </w:p>
        </w:tc>
        <w:tc>
          <w:tcPr>
            <w:tcW w:w="28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construction</w:t>
            </w:r>
          </w:p>
        </w:tc>
        <w:tc>
          <w:tcPr>
            <w:tcW w:w="280" w:type="dxa"/>
            <w:vAlign w:val="bottom"/>
            <w:shd w:val="clear" w:color="auto" w:fill="E0E7ED"/>
          </w:tcPr>
          <w:p>
            <w:pPr>
              <w:spacing w:after="0"/>
              <w:rPr>
                <w:sz w:val="21"/>
                <w:szCs w:val="21"/>
                <w:color w:val="auto"/>
              </w:rPr>
            </w:pPr>
          </w:p>
        </w:tc>
        <w:tc>
          <w:tcPr>
            <w:tcW w:w="12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1"/>
                <w:szCs w:val="21"/>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3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60" w:type="dxa"/>
            <w:vAlign w:val="bottom"/>
            <w:shd w:val="clear" w:color="auto" w:fill="E0E7ED"/>
          </w:tcPr>
          <w:p>
            <w:pPr>
              <w:spacing w:after="0"/>
              <w:rPr>
                <w:sz w:val="21"/>
                <w:szCs w:val="21"/>
                <w:color w:val="auto"/>
              </w:rPr>
            </w:pPr>
          </w:p>
        </w:tc>
        <w:tc>
          <w:tcPr>
            <w:tcW w:w="12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1"/>
                <w:szCs w:val="21"/>
                <w:color w:val="auto"/>
              </w:rPr>
            </w:pPr>
          </w:p>
        </w:tc>
        <w:tc>
          <w:tcPr>
            <w:tcW w:w="13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49</w:t>
            </w:r>
          </w:p>
        </w:tc>
        <w:tc>
          <w:tcPr>
            <w:tcW w:w="0" w:type="dxa"/>
            <w:vAlign w:val="bottom"/>
          </w:tcPr>
          <w:p>
            <w:pPr>
              <w:spacing w:after="0"/>
              <w:rPr>
                <w:sz w:val="1"/>
                <w:szCs w:val="1"/>
                <w:color w:val="auto"/>
              </w:rPr>
            </w:pPr>
          </w:p>
        </w:tc>
      </w:tr>
      <w:tr>
        <w:trPr>
          <w:trHeight w:val="218"/>
        </w:trPr>
        <w:tc>
          <w:tcPr>
            <w:tcW w:w="1960" w:type="dxa"/>
            <w:vAlign w:val="bottom"/>
          </w:tcPr>
          <w:p>
            <w:pPr>
              <w:ind w:left="180"/>
              <w:spacing w:after="0" w:line="217" w:lineRule="exact"/>
              <w:rPr>
                <w:sz w:val="20"/>
                <w:szCs w:val="20"/>
                <w:color w:val="auto"/>
              </w:rPr>
            </w:pPr>
            <w:r>
              <w:rPr>
                <w:rFonts w:ascii="Verdana" w:cs="Verdana" w:eastAsia="Verdana" w:hAnsi="Verdana"/>
                <w:sz w:val="18"/>
                <w:szCs w:val="18"/>
                <w:color w:val="auto"/>
              </w:rPr>
              <w:t>Commercial loans</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line="216" w:lineRule="exact"/>
              <w:rPr>
                <w:sz w:val="20"/>
                <w:szCs w:val="20"/>
                <w:color w:val="auto"/>
              </w:rPr>
            </w:pPr>
            <w:r>
              <w:rPr>
                <w:rFonts w:ascii="Verdana" w:cs="Verdana" w:eastAsia="Verdana" w:hAnsi="Verdana"/>
                <w:sz w:val="18"/>
                <w:szCs w:val="18"/>
                <w:color w:val="auto"/>
              </w:rPr>
              <w:t>evaluated</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individually</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9,883</w:t>
            </w:r>
          </w:p>
        </w:tc>
        <w:tc>
          <w:tcPr>
            <w:tcW w:w="100" w:type="dxa"/>
            <w:vAlign w:val="bottom"/>
            <w:tcBorders>
              <w:bottom w:val="single" w:sz="8" w:color="E0E7ED"/>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1,195</w:t>
            </w:r>
          </w:p>
        </w:tc>
        <w:tc>
          <w:tcPr>
            <w:tcW w:w="100" w:type="dxa"/>
            <w:vAlign w:val="bottom"/>
            <w:tcBorders>
              <w:bottom w:val="single" w:sz="8" w:color="E0E7ED"/>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1,870</w:t>
            </w:r>
          </w:p>
        </w:tc>
        <w:tc>
          <w:tcPr>
            <w:tcW w:w="80" w:type="dxa"/>
            <w:vAlign w:val="bottom"/>
            <w:tcBorders>
              <w:bottom w:val="single" w:sz="8" w:color="E0E7ED"/>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3,065</w:t>
            </w:r>
          </w:p>
        </w:tc>
        <w:tc>
          <w:tcPr>
            <w:tcW w:w="100" w:type="dxa"/>
            <w:vAlign w:val="bottom"/>
            <w:tcBorders>
              <w:bottom w:val="single" w:sz="8" w:color="E0E7ED"/>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870</w:t>
            </w:r>
          </w:p>
        </w:tc>
        <w:tc>
          <w:tcPr>
            <w:tcW w:w="8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9,158</w:t>
            </w:r>
          </w:p>
        </w:tc>
        <w:tc>
          <w:tcPr>
            <w:tcW w:w="0" w:type="dxa"/>
            <w:vAlign w:val="bottom"/>
          </w:tcPr>
          <w:p>
            <w:pPr>
              <w:spacing w:after="0"/>
              <w:rPr>
                <w:sz w:val="1"/>
                <w:szCs w:val="1"/>
                <w:color w:val="auto"/>
              </w:rPr>
            </w:pPr>
          </w:p>
        </w:tc>
      </w:tr>
      <w:tr>
        <w:trPr>
          <w:trHeight w:val="257"/>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loans:</w:t>
            </w:r>
          </w:p>
        </w:tc>
        <w:tc>
          <w:tcPr>
            <w:tcW w:w="28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2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Retail real estate</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213</w:t>
            </w:r>
          </w:p>
        </w:tc>
        <w:tc>
          <w:tcPr>
            <w:tcW w:w="10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61</w:t>
            </w:r>
          </w:p>
        </w:tc>
        <w:tc>
          <w:tcPr>
            <w:tcW w:w="10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25</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86</w:t>
            </w:r>
          </w:p>
        </w:tc>
        <w:tc>
          <w:tcPr>
            <w:tcW w:w="10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25</w:t>
            </w: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790</w:t>
            </w:r>
          </w:p>
        </w:tc>
        <w:tc>
          <w:tcPr>
            <w:tcW w:w="0" w:type="dxa"/>
            <w:vAlign w:val="bottom"/>
          </w:tcPr>
          <w:p>
            <w:pPr>
              <w:spacing w:after="0"/>
              <w:rPr>
                <w:sz w:val="1"/>
                <w:szCs w:val="1"/>
                <w:color w:val="auto"/>
              </w:rPr>
            </w:pPr>
          </w:p>
        </w:tc>
      </w:tr>
      <w:tr>
        <w:trPr>
          <w:trHeight w:val="224"/>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loans</w:t>
            </w:r>
          </w:p>
        </w:tc>
        <w:tc>
          <w:tcPr>
            <w:tcW w:w="280" w:type="dxa"/>
            <w:vAlign w:val="bottom"/>
            <w:shd w:val="clear" w:color="auto" w:fill="E0E7ED"/>
          </w:tcPr>
          <w:p>
            <w:pPr>
              <w:spacing w:after="0"/>
              <w:rPr>
                <w:sz w:val="19"/>
                <w:szCs w:val="19"/>
                <w:color w:val="auto"/>
              </w:rPr>
            </w:pPr>
          </w:p>
        </w:tc>
        <w:tc>
          <w:tcPr>
            <w:tcW w:w="11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2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11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4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E0E7ED"/>
          </w:tcPr>
          <w:p>
            <w:pPr>
              <w:ind w:left="180"/>
              <w:spacing w:after="0" w:line="216" w:lineRule="exact"/>
              <w:rPr>
                <w:sz w:val="20"/>
                <w:szCs w:val="20"/>
                <w:color w:val="auto"/>
              </w:rPr>
            </w:pPr>
            <w:r>
              <w:rPr>
                <w:rFonts w:ascii="Verdana" w:cs="Verdana" w:eastAsia="Verdana" w:hAnsi="Verdana"/>
                <w:sz w:val="18"/>
                <w:szCs w:val="18"/>
                <w:color w:val="auto"/>
              </w:rPr>
              <w:t>evaluated</w:t>
            </w:r>
          </w:p>
        </w:tc>
        <w:tc>
          <w:tcPr>
            <w:tcW w:w="28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360" w:type="dxa"/>
            <w:vAlign w:val="bottom"/>
            <w:shd w:val="clear" w:color="auto" w:fill="E0E7ED"/>
          </w:tcPr>
          <w:p>
            <w:pPr>
              <w:spacing w:after="0"/>
              <w:rPr>
                <w:sz w:val="18"/>
                <w:szCs w:val="18"/>
                <w:color w:val="auto"/>
              </w:rPr>
            </w:pPr>
          </w:p>
        </w:tc>
        <w:tc>
          <w:tcPr>
            <w:tcW w:w="11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individually</w:t>
            </w:r>
          </w:p>
        </w:tc>
        <w:tc>
          <w:tcPr>
            <w:tcW w:w="28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213</w:t>
            </w:r>
          </w:p>
        </w:tc>
        <w:tc>
          <w:tcPr>
            <w:tcW w:w="100" w:type="dxa"/>
            <w:vAlign w:val="bottom"/>
            <w:shd w:val="clear" w:color="auto" w:fill="E0E7ED"/>
          </w:tcPr>
          <w:p>
            <w:pPr>
              <w:spacing w:after="0"/>
              <w:rPr>
                <w:sz w:val="21"/>
                <w:szCs w:val="21"/>
                <w:color w:val="auto"/>
              </w:rPr>
            </w:pPr>
          </w:p>
        </w:tc>
        <w:tc>
          <w:tcPr>
            <w:tcW w:w="26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61</w:t>
            </w:r>
          </w:p>
        </w:tc>
        <w:tc>
          <w:tcPr>
            <w:tcW w:w="100" w:type="dxa"/>
            <w:vAlign w:val="bottom"/>
            <w:shd w:val="clear" w:color="auto" w:fill="E0E7ED"/>
          </w:tcPr>
          <w:p>
            <w:pPr>
              <w:spacing w:after="0"/>
              <w:rPr>
                <w:sz w:val="21"/>
                <w:szCs w:val="21"/>
                <w:color w:val="auto"/>
              </w:rPr>
            </w:pPr>
          </w:p>
        </w:tc>
        <w:tc>
          <w:tcPr>
            <w:tcW w:w="26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8"/>
                <w:szCs w:val="18"/>
                <w:color w:val="auto"/>
              </w:rPr>
              <w:t>25</w:t>
            </w:r>
          </w:p>
        </w:tc>
        <w:tc>
          <w:tcPr>
            <w:tcW w:w="80" w:type="dxa"/>
            <w:vAlign w:val="bottom"/>
            <w:shd w:val="clear" w:color="auto" w:fill="E0E7ED"/>
          </w:tcPr>
          <w:p>
            <w:pPr>
              <w:spacing w:after="0"/>
              <w:rPr>
                <w:sz w:val="21"/>
                <w:szCs w:val="21"/>
                <w:color w:val="auto"/>
              </w:rPr>
            </w:pPr>
          </w:p>
        </w:tc>
        <w:tc>
          <w:tcPr>
            <w:tcW w:w="360" w:type="dxa"/>
            <w:vAlign w:val="bottom"/>
            <w:tcBorders>
              <w:bottom w:val="single" w:sz="8" w:color="auto"/>
            </w:tcBorders>
            <w:shd w:val="clear" w:color="auto" w:fill="E0E7ED"/>
          </w:tcPr>
          <w:p>
            <w:pPr>
              <w:spacing w:after="0"/>
              <w:rPr>
                <w:sz w:val="21"/>
                <w:szCs w:val="21"/>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86</w:t>
            </w:r>
          </w:p>
        </w:tc>
        <w:tc>
          <w:tcPr>
            <w:tcW w:w="100" w:type="dxa"/>
            <w:vAlign w:val="bottom"/>
            <w:shd w:val="clear" w:color="auto" w:fill="E0E7ED"/>
          </w:tcPr>
          <w:p>
            <w:pPr>
              <w:spacing w:after="0"/>
              <w:rPr>
                <w:sz w:val="21"/>
                <w:szCs w:val="21"/>
                <w:color w:val="auto"/>
              </w:rPr>
            </w:pPr>
          </w:p>
        </w:tc>
        <w:tc>
          <w:tcPr>
            <w:tcW w:w="26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25</w:t>
            </w:r>
          </w:p>
        </w:tc>
        <w:tc>
          <w:tcPr>
            <w:tcW w:w="80" w:type="dxa"/>
            <w:vAlign w:val="bottom"/>
            <w:shd w:val="clear" w:color="auto" w:fill="E0E7ED"/>
          </w:tcPr>
          <w:p>
            <w:pPr>
              <w:spacing w:after="0"/>
              <w:rPr>
                <w:sz w:val="21"/>
                <w:szCs w:val="21"/>
                <w:color w:val="auto"/>
              </w:rPr>
            </w:pPr>
          </w:p>
        </w:tc>
        <w:tc>
          <w:tcPr>
            <w:tcW w:w="240" w:type="dxa"/>
            <w:vAlign w:val="bottom"/>
            <w:tcBorders>
              <w:bottom w:val="single" w:sz="8" w:color="auto"/>
            </w:tcBorders>
            <w:shd w:val="clear" w:color="auto" w:fill="E0E7ED"/>
          </w:tcPr>
          <w:p>
            <w:pPr>
              <w:spacing w:after="0"/>
              <w:rPr>
                <w:sz w:val="21"/>
                <w:szCs w:val="21"/>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790</w:t>
            </w:r>
          </w:p>
        </w:tc>
        <w:tc>
          <w:tcPr>
            <w:tcW w:w="0" w:type="dxa"/>
            <w:vAlign w:val="bottom"/>
          </w:tcPr>
          <w:p>
            <w:pPr>
              <w:spacing w:after="0"/>
              <w:rPr>
                <w:sz w:val="1"/>
                <w:szCs w:val="1"/>
                <w:color w:val="auto"/>
              </w:rPr>
            </w:pPr>
          </w:p>
        </w:tc>
      </w:tr>
      <w:tr>
        <w:trPr>
          <w:trHeight w:val="218"/>
        </w:trPr>
        <w:tc>
          <w:tcPr>
            <w:tcW w:w="1960" w:type="dxa"/>
            <w:vAlign w:val="bottom"/>
          </w:tcPr>
          <w:p>
            <w:pPr>
              <w:ind w:left="20"/>
              <w:spacing w:after="0" w:line="217" w:lineRule="exact"/>
              <w:rPr>
                <w:sz w:val="20"/>
                <w:szCs w:val="20"/>
                <w:color w:val="auto"/>
              </w:rPr>
            </w:pPr>
            <w:r>
              <w:rPr>
                <w:rFonts w:ascii="Verdana" w:cs="Verdana" w:eastAsia="Verdana" w:hAnsi="Verdana"/>
                <w:sz w:val="18"/>
                <w:szCs w:val="18"/>
                <w:color w:val="auto"/>
                <w:w w:val="99"/>
              </w:rPr>
              <w:t>Total loans evaluated</w:t>
            </w:r>
          </w:p>
        </w:tc>
        <w:tc>
          <w:tcPr>
            <w:tcW w:w="280" w:type="dxa"/>
            <w:vAlign w:val="bottom"/>
            <w:vMerge w:val="restart"/>
          </w:tcPr>
          <w:p>
            <w:pPr>
              <w:jc w:val="right"/>
              <w:ind w:right="50"/>
              <w:spacing w:after="0"/>
              <w:rPr>
                <w:sz w:val="20"/>
                <w:szCs w:val="20"/>
                <w:color w:val="auto"/>
              </w:rPr>
            </w:pPr>
            <w:r>
              <w:rPr>
                <w:rFonts w:ascii="Verdana" w:cs="Verdana" w:eastAsia="Verdana" w:hAnsi="Verdana"/>
                <w:sz w:val="18"/>
                <w:szCs w:val="18"/>
                <w:color w:val="auto"/>
              </w:rPr>
              <w:t>$</w:t>
            </w:r>
          </w:p>
        </w:tc>
        <w:tc>
          <w:tcPr>
            <w:tcW w:w="1180" w:type="dxa"/>
            <w:vAlign w:val="bottom"/>
            <w:vMerge w:val="restart"/>
          </w:tcPr>
          <w:p>
            <w:pPr>
              <w:jc w:val="right"/>
              <w:spacing w:after="0"/>
              <w:rPr>
                <w:sz w:val="20"/>
                <w:szCs w:val="20"/>
                <w:color w:val="auto"/>
              </w:rPr>
            </w:pPr>
            <w:r>
              <w:rPr>
                <w:rFonts w:ascii="Verdana" w:cs="Verdana" w:eastAsia="Verdana" w:hAnsi="Verdana"/>
                <w:sz w:val="18"/>
                <w:szCs w:val="18"/>
                <w:color w:val="auto"/>
              </w:rPr>
              <w:t>10,096</w:t>
            </w:r>
          </w:p>
        </w:tc>
        <w:tc>
          <w:tcPr>
            <w:tcW w:w="100" w:type="dxa"/>
            <w:vAlign w:val="bottom"/>
          </w:tcPr>
          <w:p>
            <w:pPr>
              <w:spacing w:after="0"/>
              <w:rPr>
                <w:sz w:val="18"/>
                <w:szCs w:val="18"/>
                <w:color w:val="auto"/>
              </w:rPr>
            </w:pPr>
          </w:p>
        </w:tc>
        <w:tc>
          <w:tcPr>
            <w:tcW w:w="260" w:type="dxa"/>
            <w:vAlign w:val="bottom"/>
            <w:vMerge w:val="restart"/>
          </w:tcPr>
          <w:p>
            <w:pPr>
              <w:jc w:val="right"/>
              <w:ind w:right="30"/>
              <w:spacing w:after="0"/>
              <w:rPr>
                <w:sz w:val="20"/>
                <w:szCs w:val="20"/>
                <w:color w:val="auto"/>
              </w:rPr>
            </w:pPr>
            <w:r>
              <w:rPr>
                <w:rFonts w:ascii="Verdana" w:cs="Verdana" w:eastAsia="Verdana" w:hAnsi="Verdana"/>
                <w:sz w:val="18"/>
                <w:szCs w:val="18"/>
                <w:color w:val="auto"/>
              </w:rPr>
              <w:t>$</w:t>
            </w:r>
          </w:p>
        </w:tc>
        <w:tc>
          <w:tcPr>
            <w:tcW w:w="1200" w:type="dxa"/>
            <w:vAlign w:val="bottom"/>
            <w:vMerge w:val="restart"/>
          </w:tcPr>
          <w:p>
            <w:pPr>
              <w:jc w:val="right"/>
              <w:spacing w:after="0"/>
              <w:rPr>
                <w:sz w:val="20"/>
                <w:szCs w:val="20"/>
                <w:color w:val="auto"/>
              </w:rPr>
            </w:pPr>
            <w:r>
              <w:rPr>
                <w:rFonts w:ascii="Verdana" w:cs="Verdana" w:eastAsia="Verdana" w:hAnsi="Verdana"/>
                <w:sz w:val="18"/>
                <w:szCs w:val="18"/>
                <w:color w:val="auto"/>
              </w:rPr>
              <w:t>1,256</w:t>
            </w:r>
          </w:p>
        </w:tc>
        <w:tc>
          <w:tcPr>
            <w:tcW w:w="360" w:type="dxa"/>
            <w:vAlign w:val="bottom"/>
            <w:gridSpan w:val="2"/>
            <w:vMerge w:val="restart"/>
          </w:tcPr>
          <w:p>
            <w:pPr>
              <w:jc w:val="right"/>
              <w:ind w:right="120"/>
              <w:spacing w:after="0"/>
              <w:rPr>
                <w:sz w:val="20"/>
                <w:szCs w:val="20"/>
                <w:color w:val="auto"/>
              </w:rPr>
            </w:pPr>
            <w:r>
              <w:rPr>
                <w:rFonts w:ascii="Verdana" w:cs="Verdana" w:eastAsia="Verdana" w:hAnsi="Verdana"/>
                <w:sz w:val="18"/>
                <w:szCs w:val="18"/>
                <w:color w:val="auto"/>
              </w:rPr>
              <w:t>$</w:t>
            </w:r>
          </w:p>
        </w:tc>
        <w:tc>
          <w:tcPr>
            <w:tcW w:w="1220" w:type="dxa"/>
            <w:vAlign w:val="bottom"/>
            <w:vMerge w:val="restart"/>
          </w:tcPr>
          <w:p>
            <w:pPr>
              <w:jc w:val="right"/>
              <w:ind w:right="18"/>
              <w:spacing w:after="0"/>
              <w:rPr>
                <w:sz w:val="20"/>
                <w:szCs w:val="20"/>
                <w:color w:val="auto"/>
              </w:rPr>
            </w:pPr>
            <w:r>
              <w:rPr>
                <w:rFonts w:ascii="Verdana" w:cs="Verdana" w:eastAsia="Verdana" w:hAnsi="Verdana"/>
                <w:sz w:val="18"/>
                <w:szCs w:val="18"/>
                <w:color w:val="auto"/>
              </w:rPr>
              <w:t>1,895</w:t>
            </w:r>
          </w:p>
        </w:tc>
        <w:tc>
          <w:tcPr>
            <w:tcW w:w="80" w:type="dxa"/>
            <w:vAlign w:val="bottom"/>
          </w:tcPr>
          <w:p>
            <w:pPr>
              <w:spacing w:after="0"/>
              <w:rPr>
                <w:sz w:val="18"/>
                <w:szCs w:val="18"/>
                <w:color w:val="auto"/>
              </w:rPr>
            </w:pPr>
          </w:p>
        </w:tc>
        <w:tc>
          <w:tcPr>
            <w:tcW w:w="360" w:type="dxa"/>
            <w:vAlign w:val="bottom"/>
            <w:vMerge w:val="restart"/>
          </w:tcPr>
          <w:p>
            <w:pPr>
              <w:jc w:val="right"/>
              <w:ind w:right="130"/>
              <w:spacing w:after="0"/>
              <w:rPr>
                <w:sz w:val="20"/>
                <w:szCs w:val="20"/>
                <w:color w:val="auto"/>
              </w:rPr>
            </w:pPr>
            <w:r>
              <w:rPr>
                <w:rFonts w:ascii="Verdana" w:cs="Verdana" w:eastAsia="Verdana" w:hAnsi="Verdana"/>
                <w:sz w:val="18"/>
                <w:szCs w:val="18"/>
                <w:color w:val="auto"/>
              </w:rPr>
              <w:t>$</w:t>
            </w:r>
          </w:p>
        </w:tc>
        <w:tc>
          <w:tcPr>
            <w:tcW w:w="1100" w:type="dxa"/>
            <w:vAlign w:val="bottom"/>
            <w:vMerge w:val="restart"/>
          </w:tcPr>
          <w:p>
            <w:pPr>
              <w:jc w:val="right"/>
              <w:spacing w:after="0"/>
              <w:rPr>
                <w:sz w:val="20"/>
                <w:szCs w:val="20"/>
                <w:color w:val="auto"/>
              </w:rPr>
            </w:pPr>
            <w:r>
              <w:rPr>
                <w:rFonts w:ascii="Verdana" w:cs="Verdana" w:eastAsia="Verdana" w:hAnsi="Verdana"/>
                <w:sz w:val="18"/>
                <w:szCs w:val="18"/>
                <w:color w:val="auto"/>
              </w:rPr>
              <w:t>3,151</w:t>
            </w:r>
          </w:p>
        </w:tc>
        <w:tc>
          <w:tcPr>
            <w:tcW w:w="100" w:type="dxa"/>
            <w:vAlign w:val="bottom"/>
          </w:tcPr>
          <w:p>
            <w:pPr>
              <w:spacing w:after="0"/>
              <w:rPr>
                <w:sz w:val="18"/>
                <w:szCs w:val="18"/>
                <w:color w:val="auto"/>
              </w:rPr>
            </w:pPr>
          </w:p>
        </w:tc>
        <w:tc>
          <w:tcPr>
            <w:tcW w:w="260" w:type="dxa"/>
            <w:vAlign w:val="bottom"/>
            <w:vMerge w:val="restart"/>
          </w:tcPr>
          <w:p>
            <w:pPr>
              <w:jc w:val="right"/>
              <w:ind w:right="30"/>
              <w:spacing w:after="0"/>
              <w:rPr>
                <w:sz w:val="20"/>
                <w:szCs w:val="20"/>
                <w:color w:val="auto"/>
              </w:rPr>
            </w:pPr>
            <w:r>
              <w:rPr>
                <w:rFonts w:ascii="Verdana" w:cs="Verdana" w:eastAsia="Verdana" w:hAnsi="Verdana"/>
                <w:sz w:val="18"/>
                <w:szCs w:val="18"/>
                <w:color w:val="auto"/>
              </w:rPr>
              <w:t>$</w:t>
            </w:r>
          </w:p>
        </w:tc>
        <w:tc>
          <w:tcPr>
            <w:tcW w:w="1220" w:type="dxa"/>
            <w:vAlign w:val="bottom"/>
            <w:vMerge w:val="restart"/>
          </w:tcPr>
          <w:p>
            <w:pPr>
              <w:jc w:val="right"/>
              <w:ind w:right="16"/>
              <w:spacing w:after="0"/>
              <w:rPr>
                <w:sz w:val="20"/>
                <w:szCs w:val="20"/>
                <w:color w:val="auto"/>
              </w:rPr>
            </w:pPr>
            <w:r>
              <w:rPr>
                <w:rFonts w:ascii="Verdana" w:cs="Verdana" w:eastAsia="Verdana" w:hAnsi="Verdana"/>
                <w:sz w:val="18"/>
                <w:szCs w:val="18"/>
                <w:color w:val="auto"/>
              </w:rPr>
              <w:t>895</w:t>
            </w:r>
          </w:p>
        </w:tc>
        <w:tc>
          <w:tcPr>
            <w:tcW w:w="80" w:type="dxa"/>
            <w:vAlign w:val="bottom"/>
          </w:tcPr>
          <w:p>
            <w:pPr>
              <w:spacing w:after="0"/>
              <w:rPr>
                <w:sz w:val="18"/>
                <w:szCs w:val="18"/>
                <w:color w:val="auto"/>
              </w:rPr>
            </w:pPr>
          </w:p>
        </w:tc>
        <w:tc>
          <w:tcPr>
            <w:tcW w:w="240" w:type="dxa"/>
            <w:vAlign w:val="bottom"/>
            <w:vMerge w:val="restart"/>
          </w:tcPr>
          <w:p>
            <w:pPr>
              <w:jc w:val="right"/>
              <w:ind w:right="10"/>
              <w:spacing w:after="0"/>
              <w:rPr>
                <w:sz w:val="20"/>
                <w:szCs w:val="20"/>
                <w:color w:val="auto"/>
              </w:rPr>
            </w:pPr>
            <w:r>
              <w:rPr>
                <w:rFonts w:ascii="Verdana" w:cs="Verdana" w:eastAsia="Verdana" w:hAnsi="Verdana"/>
                <w:sz w:val="18"/>
                <w:szCs w:val="18"/>
                <w:color w:val="auto"/>
              </w:rPr>
              <w:t>$</w:t>
            </w:r>
          </w:p>
        </w:tc>
        <w:tc>
          <w:tcPr>
            <w:tcW w:w="1240" w:type="dxa"/>
            <w:vAlign w:val="bottom"/>
            <w:vMerge w:val="restart"/>
          </w:tcPr>
          <w:p>
            <w:pPr>
              <w:jc w:val="right"/>
              <w:ind w:right="18"/>
              <w:spacing w:after="0"/>
              <w:rPr>
                <w:sz w:val="20"/>
                <w:szCs w:val="20"/>
                <w:color w:val="auto"/>
              </w:rPr>
            </w:pPr>
            <w:r>
              <w:rPr>
                <w:rFonts w:ascii="Verdana" w:cs="Verdana" w:eastAsia="Verdana" w:hAnsi="Verdana"/>
                <w:sz w:val="18"/>
                <w:szCs w:val="18"/>
                <w:color w:val="auto"/>
              </w:rPr>
              <w:t>9,948</w:t>
            </w:r>
          </w:p>
        </w:tc>
        <w:tc>
          <w:tcPr>
            <w:tcW w:w="0" w:type="dxa"/>
            <w:vAlign w:val="bottom"/>
          </w:tcPr>
          <w:p>
            <w:pPr>
              <w:spacing w:after="0"/>
              <w:rPr>
                <w:sz w:val="1"/>
                <w:szCs w:val="1"/>
                <w:color w:val="auto"/>
              </w:rPr>
            </w:pPr>
          </w:p>
        </w:tc>
      </w:tr>
      <w:tr>
        <w:trPr>
          <w:trHeight w:val="221"/>
        </w:trPr>
        <w:tc>
          <w:tcPr>
            <w:tcW w:w="1960" w:type="dxa"/>
            <w:vAlign w:val="bottom"/>
          </w:tcPr>
          <w:p>
            <w:pPr>
              <w:ind w:left="20"/>
              <w:spacing w:after="0"/>
              <w:rPr>
                <w:sz w:val="20"/>
                <w:szCs w:val="20"/>
                <w:color w:val="auto"/>
              </w:rPr>
            </w:pPr>
            <w:r>
              <w:rPr>
                <w:rFonts w:ascii="Verdana" w:cs="Verdana" w:eastAsia="Verdana" w:hAnsi="Verdana"/>
                <w:sz w:val="18"/>
                <w:szCs w:val="18"/>
                <w:color w:val="auto"/>
              </w:rPr>
              <w:t>individually</w:t>
            </w:r>
          </w:p>
        </w:tc>
        <w:tc>
          <w:tcPr>
            <w:tcW w:w="2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Allowance for Credit Losses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ACL is a valuation account that is deducted from the portfolio loans’ amortized cost bases to present the net amount expected to be collected on the portfolio loans. Portfolio loans are charged off against the ACL when management believes the uncollectibility of a loan balance is confirmed. Recoveries will be recognized up to the aggregate amount of previously charged-off balances. The ACL is established through the provision for credit loss charged to income.</w:t>
      </w:r>
    </w:p>
    <w:p>
      <w:pPr>
        <w:spacing w:after="0" w:line="157"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Busey’s historical loss experience beginning in 2010. Due to the continued economic uncertainty in the markets in which the Company operates, Busey will continue to utilize a forecast period of 12 months with an immediate reversion to historical loss rates beyond this forecast period in its ACL estimate.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0" w:name="page31"/>
    <w:bookmarkEnd w:id="30"/>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tables summarize activity in the ACL attributable to each loan class. Allocation of a portion of the ACL to one loan class does not preclude its availability to absorb losses in other loan classes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ind w:left="40"/>
              <w:spacing w:after="0"/>
              <w:rPr>
                <w:sz w:val="20"/>
                <w:szCs w:val="20"/>
                <w:color w:val="auto"/>
              </w:rPr>
            </w:pPr>
            <w:r>
              <w:rPr>
                <w:rFonts w:ascii="Verdana" w:cs="Verdana" w:eastAsia="Verdana" w:hAnsi="Verdana"/>
                <w:sz w:val="13"/>
                <w:szCs w:val="13"/>
                <w:b w:val="1"/>
                <w:bCs w:val="1"/>
                <w:color w:val="auto"/>
              </w:rPr>
              <w:t>Three Months Ended March 31, 2024</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7"/>
              </w:rPr>
              <w:t>C&amp;I and Other</w:t>
            </w:r>
          </w:p>
        </w:tc>
        <w:tc>
          <w:tcPr>
            <w:tcW w:w="220" w:type="dxa"/>
            <w:vAlign w:val="bottom"/>
          </w:tcPr>
          <w:p>
            <w:pPr>
              <w:spacing w:after="0"/>
              <w:rPr>
                <w:sz w:val="10"/>
                <w:szCs w:val="10"/>
                <w:color w:val="auto"/>
              </w:rPr>
            </w:pPr>
          </w:p>
        </w:tc>
        <w:tc>
          <w:tcPr>
            <w:tcW w:w="1340" w:type="dxa"/>
            <w:vAlign w:val="bottom"/>
            <w:gridSpan w:val="2"/>
          </w:tcPr>
          <w:p>
            <w:pPr>
              <w:ind w:left="100"/>
              <w:spacing w:after="0" w:line="122" w:lineRule="exact"/>
              <w:rPr>
                <w:sz w:val="20"/>
                <w:szCs w:val="20"/>
                <w:color w:val="auto"/>
              </w:rPr>
            </w:pPr>
            <w:r>
              <w:rPr>
                <w:rFonts w:ascii="Verdana" w:cs="Verdana" w:eastAsia="Verdana" w:hAnsi="Verdana"/>
                <w:sz w:val="13"/>
                <w:szCs w:val="13"/>
                <w:b w:val="1"/>
                <w:bCs w:val="1"/>
                <w:color w:val="auto"/>
              </w:rPr>
              <w:t>Commercial</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0"/>
                <w:szCs w:val="10"/>
                <w:color w:val="auto"/>
              </w:rPr>
            </w:pPr>
          </w:p>
        </w:tc>
        <w:tc>
          <w:tcPr>
            <w:tcW w:w="1300" w:type="dxa"/>
            <w:vAlign w:val="bottom"/>
            <w:gridSpan w:val="2"/>
          </w:tcPr>
          <w:p>
            <w:pPr>
              <w:jc w:val="center"/>
              <w:ind w:right="320"/>
              <w:spacing w:after="0" w:line="122" w:lineRule="exact"/>
              <w:rPr>
                <w:sz w:val="20"/>
                <w:szCs w:val="20"/>
                <w:color w:val="auto"/>
              </w:rPr>
            </w:pPr>
            <w:r>
              <w:rPr>
                <w:rFonts w:ascii="Verdana" w:cs="Verdana" w:eastAsia="Verdana" w:hAnsi="Verdana"/>
                <w:sz w:val="13"/>
                <w:szCs w:val="13"/>
                <w:b w:val="1"/>
                <w:bCs w:val="1"/>
                <w:color w:val="auto"/>
                <w:w w:val="99"/>
              </w:rPr>
              <w:t>Retail</w:t>
            </w:r>
          </w:p>
        </w:tc>
        <w:tc>
          <w:tcPr>
            <w:tcW w:w="220" w:type="dxa"/>
            <w:vAlign w:val="bottom"/>
          </w:tcPr>
          <w:p>
            <w:pPr>
              <w:spacing w:after="0"/>
              <w:rPr>
                <w:sz w:val="10"/>
                <w:szCs w:val="10"/>
                <w:color w:val="auto"/>
              </w:rPr>
            </w:pPr>
          </w:p>
        </w:tc>
        <w:tc>
          <w:tcPr>
            <w:tcW w:w="132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Retail Other</w:t>
            </w:r>
          </w:p>
        </w:tc>
        <w:tc>
          <w:tcPr>
            <w:tcW w:w="340" w:type="dxa"/>
            <w:vAlign w:val="bottom"/>
          </w:tcPr>
          <w:p>
            <w:pPr>
              <w:spacing w:after="0"/>
              <w:rPr>
                <w:sz w:val="10"/>
                <w:szCs w:val="10"/>
                <w:color w:val="auto"/>
              </w:rPr>
            </w:pPr>
          </w:p>
        </w:tc>
        <w:tc>
          <w:tcPr>
            <w:tcW w:w="1100" w:type="dxa"/>
            <w:vAlign w:val="bottom"/>
            <w:vMerge w:val="restart"/>
          </w:tcPr>
          <w:p>
            <w:pPr>
              <w:jc w:val="right"/>
              <w:ind w:right="455"/>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5"/>
              </w:rPr>
              <w:t>Commercial</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Real Estate</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6"/>
              </w:rPr>
              <w:t>Construction</w:t>
            </w:r>
          </w:p>
        </w:tc>
        <w:tc>
          <w:tcPr>
            <w:tcW w:w="22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8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0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December 31, 2023</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21,256</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35,465</w:t>
            </w: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5,163</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26,298</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3,558</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91,740</w:t>
            </w:r>
          </w:p>
        </w:tc>
        <w:tc>
          <w:tcPr>
            <w:tcW w:w="0" w:type="dxa"/>
            <w:vAlign w:val="bottom"/>
          </w:tcPr>
          <w:p>
            <w:pPr>
              <w:spacing w:after="0"/>
              <w:rPr>
                <w:sz w:val="1"/>
                <w:szCs w:val="1"/>
                <w:color w:val="auto"/>
              </w:rPr>
            </w:pPr>
          </w:p>
        </w:tc>
      </w:tr>
      <w:tr>
        <w:trPr>
          <w:trHeight w:val="238"/>
        </w:trPr>
        <w:tc>
          <w:tcPr>
            <w:tcW w:w="2080" w:type="dxa"/>
            <w:vAlign w:val="bottom"/>
          </w:tcPr>
          <w:p>
            <w:pPr>
              <w:ind w:left="180"/>
              <w:spacing w:after="0"/>
              <w:rPr>
                <w:sz w:val="20"/>
                <w:szCs w:val="20"/>
                <w:color w:val="auto"/>
              </w:rPr>
            </w:pPr>
            <w:r>
              <w:rPr>
                <w:rFonts w:ascii="Verdana" w:cs="Verdana" w:eastAsia="Verdana" w:hAnsi="Verdana"/>
                <w:sz w:val="18"/>
                <w:szCs w:val="18"/>
                <w:color w:val="auto"/>
              </w:rPr>
              <w:t>Provision for credit</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80" w:type="dxa"/>
            <w:vAlign w:val="bottom"/>
          </w:tcPr>
          <w:p>
            <w:pPr>
              <w:ind w:left="180"/>
              <w:spacing w:after="0"/>
              <w:rPr>
                <w:sz w:val="20"/>
                <w:szCs w:val="20"/>
                <w:color w:val="auto"/>
              </w:rPr>
            </w:pPr>
            <w:r>
              <w:rPr>
                <w:rFonts w:ascii="Verdana" w:cs="Verdana" w:eastAsia="Verdana" w:hAnsi="Verdana"/>
                <w:sz w:val="18"/>
                <w:szCs w:val="18"/>
                <w:color w:val="auto"/>
              </w:rPr>
              <w:t>losses</w:t>
            </w:r>
          </w:p>
        </w:tc>
        <w:tc>
          <w:tcPr>
            <w:tcW w:w="18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Verdana" w:cs="Verdana" w:eastAsia="Verdana" w:hAnsi="Verdana"/>
                <w:sz w:val="18"/>
                <w:szCs w:val="18"/>
                <w:color w:val="auto"/>
              </w:rPr>
              <w:t>10,125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(1,864)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(2,093)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(639)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Verdana" w:cs="Verdana" w:eastAsia="Verdana" w:hAnsi="Verdana"/>
                <w:sz w:val="18"/>
                <w:szCs w:val="18"/>
                <w:color w:val="auto"/>
              </w:rPr>
              <w:t>5,038</w:t>
            </w:r>
          </w:p>
        </w:tc>
        <w:tc>
          <w:tcPr>
            <w:tcW w:w="0" w:type="dxa"/>
            <w:vAlign w:val="bottom"/>
          </w:tcPr>
          <w:p>
            <w:pPr>
              <w:spacing w:after="0"/>
              <w:rPr>
                <w:sz w:val="1"/>
                <w:szCs w:val="1"/>
                <w:color w:val="auto"/>
              </w:rPr>
            </w:pPr>
          </w:p>
        </w:tc>
      </w:tr>
      <w:tr>
        <w:trPr>
          <w:trHeight w:val="277"/>
        </w:trPr>
        <w:tc>
          <w:tcPr>
            <w:tcW w:w="2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Charged-off</w:t>
            </w:r>
          </w:p>
        </w:tc>
        <w:tc>
          <w:tcPr>
            <w:tcW w:w="18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(5,218)</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(96)</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40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(52)</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(94)</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(5,460)</w:t>
            </w:r>
          </w:p>
        </w:tc>
        <w:tc>
          <w:tcPr>
            <w:tcW w:w="0" w:type="dxa"/>
            <w:vAlign w:val="bottom"/>
          </w:tcPr>
          <w:p>
            <w:pPr>
              <w:spacing w:after="0"/>
              <w:rPr>
                <w:sz w:val="1"/>
                <w:szCs w:val="1"/>
                <w:color w:val="auto"/>
              </w:rPr>
            </w:pPr>
          </w:p>
        </w:tc>
      </w:tr>
      <w:tr>
        <w:trPr>
          <w:trHeight w:val="263"/>
        </w:trPr>
        <w:tc>
          <w:tcPr>
            <w:tcW w:w="2080" w:type="dxa"/>
            <w:vAlign w:val="bottom"/>
          </w:tcPr>
          <w:p>
            <w:pPr>
              <w:ind w:left="180"/>
              <w:spacing w:after="0"/>
              <w:rPr>
                <w:sz w:val="20"/>
                <w:szCs w:val="20"/>
                <w:color w:val="auto"/>
              </w:rPr>
            </w:pPr>
            <w:r>
              <w:rPr>
                <w:rFonts w:ascii="Verdana" w:cs="Verdana" w:eastAsia="Verdana" w:hAnsi="Verdana"/>
                <w:sz w:val="18"/>
                <w:szCs w:val="18"/>
                <w:color w:val="auto"/>
              </w:rPr>
              <w:t>Recoveries</w:t>
            </w:r>
          </w:p>
        </w:tc>
        <w:tc>
          <w:tcPr>
            <w:tcW w:w="18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Verdana" w:cs="Verdana" w:eastAsia="Verdana" w:hAnsi="Verdana"/>
                <w:sz w:val="18"/>
                <w:szCs w:val="18"/>
                <w:color w:val="auto"/>
              </w:rPr>
              <w:t>44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Verdana" w:cs="Verdana" w:eastAsia="Verdana" w:hAnsi="Verdana"/>
                <w:sz w:val="18"/>
                <w:szCs w:val="18"/>
                <w:color w:val="auto"/>
              </w:rPr>
              <w:t>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ind w:right="18"/>
              <w:spacing w:after="0"/>
              <w:rPr>
                <w:sz w:val="20"/>
                <w:szCs w:val="20"/>
                <w:color w:val="auto"/>
              </w:rPr>
            </w:pPr>
            <w:r>
              <w:rPr>
                <w:rFonts w:ascii="Verdana" w:cs="Verdana" w:eastAsia="Verdana" w:hAnsi="Verdana"/>
                <w:sz w:val="18"/>
                <w:szCs w:val="18"/>
                <w:color w:val="auto"/>
              </w:rPr>
              <w:t>128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Verdana" w:cs="Verdana" w:eastAsia="Verdana" w:hAnsi="Verdana"/>
                <w:sz w:val="18"/>
                <w:szCs w:val="18"/>
                <w:color w:val="auto"/>
              </w:rPr>
              <w:t>244</w:t>
            </w:r>
          </w:p>
        </w:tc>
        <w:tc>
          <w:tcPr>
            <w:tcW w:w="0" w:type="dxa"/>
            <w:vAlign w:val="bottom"/>
          </w:tcPr>
          <w:p>
            <w:pPr>
              <w:spacing w:after="0"/>
              <w:rPr>
                <w:sz w:val="1"/>
                <w:szCs w:val="1"/>
                <w:color w:val="auto"/>
              </w:rPr>
            </w:pPr>
          </w:p>
        </w:tc>
      </w:tr>
      <w:tr>
        <w:trPr>
          <w:trHeight w:val="224"/>
        </w:trPr>
        <w:tc>
          <w:tcPr>
            <w:tcW w:w="20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80" w:type="dxa"/>
            <w:vAlign w:val="bottom"/>
            <w:tcBorders>
              <w:top w:val="single" w:sz="8" w:color="auto"/>
            </w:tcBorders>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top w:val="single" w:sz="8" w:color="auto"/>
            </w:tcBorders>
            <w:vMerge w:val="restart"/>
            <w:shd w:val="clear" w:color="auto" w:fill="E0E7ED"/>
          </w:tcPr>
          <w:p>
            <w:pPr>
              <w:jc w:val="right"/>
              <w:ind w:right="18"/>
              <w:spacing w:after="0"/>
              <w:rPr>
                <w:sz w:val="20"/>
                <w:szCs w:val="20"/>
                <w:color w:val="auto"/>
              </w:rPr>
            </w:pPr>
            <w:r>
              <w:rPr>
                <w:rFonts w:ascii="Verdana" w:cs="Verdana" w:eastAsia="Verdana" w:hAnsi="Verdana"/>
                <w:sz w:val="18"/>
                <w:szCs w:val="18"/>
                <w:color w:val="auto"/>
              </w:rPr>
              <w:t>26,207</w:t>
            </w: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tcBorders>
              <w:top w:val="single" w:sz="8" w:color="auto"/>
            </w:tcBorders>
            <w:vMerge w:val="restart"/>
            <w:shd w:val="clear" w:color="auto" w:fill="E0E7ED"/>
          </w:tcPr>
          <w:p>
            <w:pPr>
              <w:jc w:val="right"/>
              <w:spacing w:after="0"/>
              <w:rPr>
                <w:sz w:val="20"/>
                <w:szCs w:val="20"/>
                <w:color w:val="auto"/>
              </w:rPr>
            </w:pPr>
            <w:r>
              <w:rPr>
                <w:rFonts w:ascii="Verdana" w:cs="Verdana" w:eastAsia="Verdana" w:hAnsi="Verdana"/>
                <w:sz w:val="18"/>
                <w:szCs w:val="18"/>
                <w:color w:val="auto"/>
              </w:rPr>
              <w:t>33,505</w:t>
            </w:r>
          </w:p>
        </w:tc>
        <w:tc>
          <w:tcPr>
            <w:tcW w:w="10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Borders>
              <w:top w:val="single" w:sz="8" w:color="auto"/>
            </w:tcBorders>
            <w:vMerge w:val="restart"/>
            <w:shd w:val="clear" w:color="auto" w:fill="E0E7ED"/>
          </w:tcPr>
          <w:p>
            <w:pPr>
              <w:jc w:val="right"/>
              <w:ind w:right="20"/>
              <w:spacing w:after="0"/>
              <w:rPr>
                <w:sz w:val="20"/>
                <w:szCs w:val="20"/>
                <w:color w:val="auto"/>
              </w:rPr>
            </w:pPr>
            <w:r>
              <w:rPr>
                <w:rFonts w:ascii="Verdana" w:cs="Verdana" w:eastAsia="Verdana" w:hAnsi="Verdana"/>
                <w:sz w:val="18"/>
                <w:szCs w:val="18"/>
                <w:color w:val="auto"/>
              </w:rPr>
              <w:t>4,713</w:t>
            </w: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20" w:type="dxa"/>
            <w:vAlign w:val="bottom"/>
            <w:tcBorders>
              <w:top w:val="single" w:sz="8" w:color="auto"/>
            </w:tcBorders>
            <w:vMerge w:val="restart"/>
            <w:shd w:val="clear" w:color="auto" w:fill="E0E7ED"/>
          </w:tcPr>
          <w:p>
            <w:pPr>
              <w:jc w:val="right"/>
              <w:ind w:right="18"/>
              <w:spacing w:after="0"/>
              <w:rPr>
                <w:sz w:val="20"/>
                <w:szCs w:val="20"/>
                <w:color w:val="auto"/>
              </w:rPr>
            </w:pPr>
            <w:r>
              <w:rPr>
                <w:rFonts w:ascii="Verdana" w:cs="Verdana" w:eastAsia="Verdana" w:hAnsi="Verdana"/>
                <w:sz w:val="18"/>
                <w:szCs w:val="18"/>
                <w:color w:val="auto"/>
              </w:rPr>
              <w:t>24,281</w:t>
            </w: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20" w:type="dxa"/>
            <w:vAlign w:val="bottom"/>
            <w:tcBorders>
              <w:top w:val="single" w:sz="8" w:color="auto"/>
            </w:tcBorders>
            <w:vMerge w:val="restart"/>
            <w:shd w:val="clear" w:color="auto" w:fill="E0E7ED"/>
          </w:tcPr>
          <w:p>
            <w:pPr>
              <w:jc w:val="right"/>
              <w:spacing w:after="0"/>
              <w:rPr>
                <w:sz w:val="20"/>
                <w:szCs w:val="20"/>
                <w:color w:val="auto"/>
              </w:rPr>
            </w:pPr>
            <w:r>
              <w:rPr>
                <w:rFonts w:ascii="Verdana" w:cs="Verdana" w:eastAsia="Verdana" w:hAnsi="Verdana"/>
                <w:sz w:val="18"/>
                <w:szCs w:val="18"/>
                <w:color w:val="auto"/>
              </w:rPr>
              <w:t>2,856</w:t>
            </w: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vMerge w:val="restart"/>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00" w:type="dxa"/>
            <w:vAlign w:val="bottom"/>
            <w:tcBorders>
              <w:top w:val="single" w:sz="8" w:color="auto"/>
            </w:tcBorders>
            <w:vMerge w:val="restart"/>
            <w:shd w:val="clear" w:color="auto" w:fill="E0E7ED"/>
          </w:tcPr>
          <w:p>
            <w:pPr>
              <w:jc w:val="right"/>
              <w:spacing w:after="0"/>
              <w:rPr>
                <w:sz w:val="20"/>
                <w:szCs w:val="20"/>
                <w:color w:val="auto"/>
              </w:rPr>
            </w:pPr>
            <w:r>
              <w:rPr>
                <w:rFonts w:ascii="Verdana" w:cs="Verdana" w:eastAsia="Verdana" w:hAnsi="Verdana"/>
                <w:sz w:val="18"/>
                <w:szCs w:val="18"/>
                <w:color w:val="auto"/>
              </w:rPr>
              <w:t>91,562</w:t>
            </w:r>
          </w:p>
        </w:tc>
        <w:tc>
          <w:tcPr>
            <w:tcW w:w="0" w:type="dxa"/>
            <w:vAlign w:val="bottom"/>
          </w:tcPr>
          <w:p>
            <w:pPr>
              <w:spacing w:after="0"/>
              <w:rPr>
                <w:sz w:val="1"/>
                <w:szCs w:val="1"/>
                <w:color w:val="auto"/>
              </w:rPr>
            </w:pPr>
          </w:p>
        </w:tc>
      </w:tr>
      <w:tr>
        <w:trPr>
          <w:trHeight w:val="241"/>
        </w:trPr>
        <w:tc>
          <w:tcPr>
            <w:tcW w:w="20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March 31, 2024</w:t>
            </w:r>
          </w:p>
        </w:tc>
        <w:tc>
          <w:tcPr>
            <w:tcW w:w="180" w:type="dxa"/>
            <w:vAlign w:val="bottom"/>
            <w:tcBorders>
              <w:bottom w:val="single" w:sz="8" w:color="auto"/>
            </w:tcBorders>
            <w:vMerge w:val="continue"/>
            <w:shd w:val="clear" w:color="auto" w:fill="E0E7ED"/>
          </w:tcPr>
          <w:p>
            <w:pPr>
              <w:spacing w:after="0"/>
              <w:rPr>
                <w:sz w:val="20"/>
                <w:szCs w:val="20"/>
                <w:color w:val="auto"/>
              </w:rPr>
            </w:pPr>
          </w:p>
        </w:tc>
        <w:tc>
          <w:tcPr>
            <w:tcW w:w="128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vMerge w:val="continue"/>
            <w:shd w:val="clear" w:color="auto" w:fill="E0E7ED"/>
          </w:tcPr>
          <w:p>
            <w:pPr>
              <w:spacing w:after="0"/>
              <w:rPr>
                <w:sz w:val="20"/>
                <w:szCs w:val="20"/>
                <w:color w:val="auto"/>
              </w:rPr>
            </w:pPr>
          </w:p>
        </w:tc>
        <w:tc>
          <w:tcPr>
            <w:tcW w:w="130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2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2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40" w:type="dxa"/>
            <w:vAlign w:val="bottom"/>
            <w:tcBorders>
              <w:bottom w:val="single" w:sz="8" w:color="auto"/>
            </w:tcBorders>
            <w:vMerge w:val="continue"/>
            <w:shd w:val="clear" w:color="auto" w:fill="E0E7ED"/>
          </w:tcPr>
          <w:p>
            <w:pPr>
              <w:spacing w:after="0"/>
              <w:rPr>
                <w:sz w:val="20"/>
                <w:szCs w:val="20"/>
                <w:color w:val="auto"/>
              </w:rPr>
            </w:pPr>
          </w:p>
        </w:tc>
        <w:tc>
          <w:tcPr>
            <w:tcW w:w="110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3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40" w:type="dxa"/>
            <w:vAlign w:val="bottom"/>
            <w:tcBorders>
              <w:top w:val="single" w:sz="8" w:color="E0E7ED"/>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40"/>
              <w:spacing w:after="0"/>
              <w:rPr>
                <w:sz w:val="20"/>
                <w:szCs w:val="20"/>
                <w:color w:val="auto"/>
              </w:rPr>
            </w:pPr>
            <w:r>
              <w:rPr>
                <w:rFonts w:ascii="Verdana" w:cs="Verdana" w:eastAsia="Verdana" w:hAnsi="Verdana"/>
                <w:sz w:val="13"/>
                <w:szCs w:val="13"/>
                <w:b w:val="1"/>
                <w:bCs w:val="1"/>
                <w:color w:val="auto"/>
              </w:rPr>
              <w:t>Three Months Ended March 31, 2023</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7"/>
              </w:rPr>
              <w:t>C&amp;I and Other</w:t>
            </w:r>
          </w:p>
        </w:tc>
        <w:tc>
          <w:tcPr>
            <w:tcW w:w="220" w:type="dxa"/>
            <w:vAlign w:val="bottom"/>
          </w:tcPr>
          <w:p>
            <w:pPr>
              <w:spacing w:after="0"/>
              <w:rPr>
                <w:sz w:val="10"/>
                <w:szCs w:val="10"/>
                <w:color w:val="auto"/>
              </w:rPr>
            </w:pPr>
          </w:p>
        </w:tc>
        <w:tc>
          <w:tcPr>
            <w:tcW w:w="1340" w:type="dxa"/>
            <w:vAlign w:val="bottom"/>
            <w:gridSpan w:val="2"/>
          </w:tcPr>
          <w:p>
            <w:pPr>
              <w:ind w:left="100"/>
              <w:spacing w:after="0" w:line="122" w:lineRule="exact"/>
              <w:rPr>
                <w:sz w:val="20"/>
                <w:szCs w:val="20"/>
                <w:color w:val="auto"/>
              </w:rPr>
            </w:pPr>
            <w:r>
              <w:rPr>
                <w:rFonts w:ascii="Verdana" w:cs="Verdana" w:eastAsia="Verdana" w:hAnsi="Verdana"/>
                <w:sz w:val="13"/>
                <w:szCs w:val="13"/>
                <w:b w:val="1"/>
                <w:bCs w:val="1"/>
                <w:color w:val="auto"/>
              </w:rPr>
              <w:t>Commercial</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0"/>
                <w:szCs w:val="10"/>
                <w:color w:val="auto"/>
              </w:rPr>
            </w:pPr>
          </w:p>
        </w:tc>
        <w:tc>
          <w:tcPr>
            <w:tcW w:w="1300" w:type="dxa"/>
            <w:vAlign w:val="bottom"/>
            <w:gridSpan w:val="2"/>
          </w:tcPr>
          <w:p>
            <w:pPr>
              <w:jc w:val="center"/>
              <w:ind w:right="320"/>
              <w:spacing w:after="0" w:line="122" w:lineRule="exact"/>
              <w:rPr>
                <w:sz w:val="20"/>
                <w:szCs w:val="20"/>
                <w:color w:val="auto"/>
              </w:rPr>
            </w:pPr>
            <w:r>
              <w:rPr>
                <w:rFonts w:ascii="Verdana" w:cs="Verdana" w:eastAsia="Verdana" w:hAnsi="Verdana"/>
                <w:sz w:val="13"/>
                <w:szCs w:val="13"/>
                <w:b w:val="1"/>
                <w:bCs w:val="1"/>
                <w:color w:val="auto"/>
                <w:w w:val="99"/>
              </w:rPr>
              <w:t>Retail</w:t>
            </w:r>
          </w:p>
        </w:tc>
        <w:tc>
          <w:tcPr>
            <w:tcW w:w="220" w:type="dxa"/>
            <w:vAlign w:val="bottom"/>
          </w:tcPr>
          <w:p>
            <w:pPr>
              <w:spacing w:after="0"/>
              <w:rPr>
                <w:sz w:val="10"/>
                <w:szCs w:val="10"/>
                <w:color w:val="auto"/>
              </w:rPr>
            </w:pPr>
          </w:p>
        </w:tc>
        <w:tc>
          <w:tcPr>
            <w:tcW w:w="132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Retail Other</w:t>
            </w:r>
          </w:p>
        </w:tc>
        <w:tc>
          <w:tcPr>
            <w:tcW w:w="340" w:type="dxa"/>
            <w:vAlign w:val="bottom"/>
          </w:tcPr>
          <w:p>
            <w:pPr>
              <w:spacing w:after="0"/>
              <w:rPr>
                <w:sz w:val="10"/>
                <w:szCs w:val="10"/>
                <w:color w:val="auto"/>
              </w:rPr>
            </w:pPr>
          </w:p>
        </w:tc>
        <w:tc>
          <w:tcPr>
            <w:tcW w:w="1100" w:type="dxa"/>
            <w:vAlign w:val="bottom"/>
            <w:vMerge w:val="restart"/>
          </w:tcPr>
          <w:p>
            <w:pPr>
              <w:jc w:val="right"/>
              <w:ind w:right="455"/>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5"/>
              </w:rPr>
              <w:t>Commercial</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Real Estate</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6"/>
              </w:rPr>
              <w:t>Construction</w:t>
            </w:r>
          </w:p>
        </w:tc>
        <w:tc>
          <w:tcPr>
            <w:tcW w:w="22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8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0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December 31, 2022</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23,860</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38,299</w:t>
            </w: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6,457</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18,193</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4,799</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91,608</w:t>
            </w:r>
          </w:p>
        </w:tc>
        <w:tc>
          <w:tcPr>
            <w:tcW w:w="0" w:type="dxa"/>
            <w:vAlign w:val="bottom"/>
          </w:tcPr>
          <w:p>
            <w:pPr>
              <w:spacing w:after="0"/>
              <w:rPr>
                <w:sz w:val="1"/>
                <w:szCs w:val="1"/>
                <w:color w:val="auto"/>
              </w:rPr>
            </w:pPr>
          </w:p>
        </w:tc>
      </w:tr>
      <w:tr>
        <w:trPr>
          <w:trHeight w:val="238"/>
        </w:trPr>
        <w:tc>
          <w:tcPr>
            <w:tcW w:w="2080" w:type="dxa"/>
            <w:vAlign w:val="bottom"/>
          </w:tcPr>
          <w:p>
            <w:pPr>
              <w:ind w:left="180"/>
              <w:spacing w:after="0"/>
              <w:rPr>
                <w:sz w:val="20"/>
                <w:szCs w:val="20"/>
                <w:color w:val="auto"/>
              </w:rPr>
            </w:pPr>
            <w:r>
              <w:rPr>
                <w:rFonts w:ascii="Verdana" w:cs="Verdana" w:eastAsia="Verdana" w:hAnsi="Verdana"/>
                <w:sz w:val="18"/>
                <w:szCs w:val="18"/>
                <w:color w:val="auto"/>
              </w:rPr>
              <w:t>Provision for credit</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80" w:type="dxa"/>
            <w:vAlign w:val="bottom"/>
          </w:tcPr>
          <w:p>
            <w:pPr>
              <w:ind w:left="180"/>
              <w:spacing w:after="0"/>
              <w:rPr>
                <w:sz w:val="20"/>
                <w:szCs w:val="20"/>
                <w:color w:val="auto"/>
              </w:rPr>
            </w:pPr>
            <w:r>
              <w:rPr>
                <w:rFonts w:ascii="Verdana" w:cs="Verdana" w:eastAsia="Verdana" w:hAnsi="Verdana"/>
                <w:sz w:val="18"/>
                <w:szCs w:val="18"/>
                <w:color w:val="auto"/>
              </w:rPr>
              <w:t>losses</w:t>
            </w:r>
          </w:p>
        </w:tc>
        <w:tc>
          <w:tcPr>
            <w:tcW w:w="18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Verdana" w:cs="Verdana" w:eastAsia="Verdana" w:hAnsi="Verdana"/>
                <w:sz w:val="18"/>
                <w:szCs w:val="18"/>
                <w:color w:val="auto"/>
              </w:rPr>
              <w:t>695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(3,359)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(1,329)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Verdana" w:cs="Verdana" w:eastAsia="Verdana" w:hAnsi="Verdana"/>
                <w:sz w:val="18"/>
                <w:szCs w:val="18"/>
                <w:color w:val="auto"/>
              </w:rPr>
              <w:t>5,948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(1,002)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Verdana" w:cs="Verdana" w:eastAsia="Verdana" w:hAnsi="Verdana"/>
                <w:sz w:val="18"/>
                <w:szCs w:val="18"/>
                <w:color w:val="auto"/>
              </w:rPr>
              <w:t>953</w:t>
            </w:r>
          </w:p>
        </w:tc>
        <w:tc>
          <w:tcPr>
            <w:tcW w:w="0" w:type="dxa"/>
            <w:vAlign w:val="bottom"/>
          </w:tcPr>
          <w:p>
            <w:pPr>
              <w:spacing w:after="0"/>
              <w:rPr>
                <w:sz w:val="1"/>
                <w:szCs w:val="1"/>
                <w:color w:val="auto"/>
              </w:rPr>
            </w:pPr>
          </w:p>
        </w:tc>
      </w:tr>
      <w:tr>
        <w:trPr>
          <w:trHeight w:val="277"/>
        </w:trPr>
        <w:tc>
          <w:tcPr>
            <w:tcW w:w="2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Charged-off</w:t>
            </w:r>
          </w:p>
        </w:tc>
        <w:tc>
          <w:tcPr>
            <w:tcW w:w="18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(400)</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(539)</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40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(237)</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(1,181)</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Recoveries</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121</w:t>
            </w: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w:t>
            </w:r>
          </w:p>
        </w:tc>
        <w:tc>
          <w:tcPr>
            <w:tcW w:w="10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
              <w:spacing w:after="0"/>
              <w:rPr>
                <w:sz w:val="20"/>
                <w:szCs w:val="20"/>
                <w:color w:val="auto"/>
              </w:rPr>
            </w:pPr>
            <w:r>
              <w:rPr>
                <w:rFonts w:ascii="Verdana" w:cs="Verdana" w:eastAsia="Verdana" w:hAnsi="Verdana"/>
                <w:sz w:val="18"/>
                <w:szCs w:val="18"/>
                <w:color w:val="auto"/>
              </w:rPr>
              <w:t>31</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119</w:t>
            </w: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56</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347</w:t>
            </w:r>
          </w:p>
        </w:tc>
        <w:tc>
          <w:tcPr>
            <w:tcW w:w="0" w:type="dxa"/>
            <w:vAlign w:val="bottom"/>
          </w:tcPr>
          <w:p>
            <w:pPr>
              <w:spacing w:after="0"/>
              <w:rPr>
                <w:sz w:val="1"/>
                <w:szCs w:val="1"/>
                <w:color w:val="auto"/>
              </w:rPr>
            </w:pPr>
          </w:p>
        </w:tc>
      </w:tr>
      <w:tr>
        <w:trPr>
          <w:trHeight w:val="224"/>
        </w:trPr>
        <w:tc>
          <w:tcPr>
            <w:tcW w:w="20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shd w:val="clear" w:color="auto" w:fill="E0E7ED"/>
          </w:tcPr>
          <w:p>
            <w:pPr>
              <w:jc w:val="right"/>
              <w:ind w:right="18"/>
              <w:spacing w:after="0"/>
              <w:rPr>
                <w:sz w:val="20"/>
                <w:szCs w:val="20"/>
                <w:color w:val="auto"/>
              </w:rPr>
            </w:pPr>
            <w:r>
              <w:rPr>
                <w:rFonts w:ascii="Verdana" w:cs="Verdana" w:eastAsia="Verdana" w:hAnsi="Verdana"/>
                <w:sz w:val="18"/>
                <w:szCs w:val="18"/>
                <w:color w:val="auto"/>
              </w:rPr>
              <w:t>24,276</w:t>
            </w:r>
          </w:p>
        </w:tc>
        <w:tc>
          <w:tcPr>
            <w:tcW w:w="8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34,421</w:t>
            </w:r>
          </w:p>
        </w:tc>
        <w:tc>
          <w:tcPr>
            <w:tcW w:w="100" w:type="dxa"/>
            <w:vAlign w:val="bottom"/>
            <w:shd w:val="clear" w:color="auto" w:fill="E0E7ED"/>
          </w:tcPr>
          <w:p>
            <w:pPr>
              <w:spacing w:after="0"/>
              <w:rPr>
                <w:sz w:val="19"/>
                <w:szCs w:val="19"/>
                <w:color w:val="auto"/>
              </w:rPr>
            </w:pP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vMerge w:val="restart"/>
            <w:shd w:val="clear" w:color="auto" w:fill="E0E7ED"/>
          </w:tcPr>
          <w:p>
            <w:pPr>
              <w:jc w:val="right"/>
              <w:ind w:right="20"/>
              <w:spacing w:after="0"/>
              <w:rPr>
                <w:sz w:val="20"/>
                <w:szCs w:val="20"/>
                <w:color w:val="auto"/>
              </w:rPr>
            </w:pPr>
            <w:r>
              <w:rPr>
                <w:rFonts w:ascii="Verdana" w:cs="Verdana" w:eastAsia="Verdana" w:hAnsi="Verdana"/>
                <w:sz w:val="18"/>
                <w:szCs w:val="18"/>
                <w:color w:val="auto"/>
              </w:rPr>
              <w:t>5,159</w:t>
            </w:r>
          </w:p>
        </w:tc>
        <w:tc>
          <w:tcPr>
            <w:tcW w:w="10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20" w:type="dxa"/>
            <w:vAlign w:val="bottom"/>
            <w:vMerge w:val="restart"/>
            <w:shd w:val="clear" w:color="auto" w:fill="E0E7ED"/>
          </w:tcPr>
          <w:p>
            <w:pPr>
              <w:jc w:val="right"/>
              <w:ind w:right="18"/>
              <w:spacing w:after="0"/>
              <w:rPr>
                <w:sz w:val="20"/>
                <w:szCs w:val="20"/>
                <w:color w:val="auto"/>
              </w:rPr>
            </w:pPr>
            <w:r>
              <w:rPr>
                <w:rFonts w:ascii="Verdana" w:cs="Verdana" w:eastAsia="Verdana" w:hAnsi="Verdana"/>
                <w:sz w:val="18"/>
                <w:szCs w:val="18"/>
                <w:color w:val="auto"/>
              </w:rPr>
              <w:t>24,255</w:t>
            </w:r>
          </w:p>
        </w:tc>
        <w:tc>
          <w:tcPr>
            <w:tcW w:w="8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3,616</w:t>
            </w:r>
          </w:p>
        </w:tc>
        <w:tc>
          <w:tcPr>
            <w:tcW w:w="100" w:type="dxa"/>
            <w:vAlign w:val="bottom"/>
            <w:shd w:val="clear" w:color="auto" w:fill="E0E7ED"/>
          </w:tcPr>
          <w:p>
            <w:pPr>
              <w:spacing w:after="0"/>
              <w:rPr>
                <w:sz w:val="19"/>
                <w:szCs w:val="19"/>
                <w:color w:val="auto"/>
              </w:rPr>
            </w:pPr>
          </w:p>
        </w:tc>
        <w:tc>
          <w:tcPr>
            <w:tcW w:w="340" w:type="dxa"/>
            <w:vAlign w:val="bottom"/>
            <w:vMerge w:val="restart"/>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91,727</w:t>
            </w:r>
          </w:p>
        </w:tc>
        <w:tc>
          <w:tcPr>
            <w:tcW w:w="0" w:type="dxa"/>
            <w:vAlign w:val="bottom"/>
          </w:tcPr>
          <w:p>
            <w:pPr>
              <w:spacing w:after="0"/>
              <w:rPr>
                <w:sz w:val="1"/>
                <w:szCs w:val="1"/>
                <w:color w:val="auto"/>
              </w:rPr>
            </w:pPr>
          </w:p>
        </w:tc>
      </w:tr>
      <w:tr>
        <w:trPr>
          <w:trHeight w:val="241"/>
        </w:trPr>
        <w:tc>
          <w:tcPr>
            <w:tcW w:w="20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March 31, 2023</w:t>
            </w:r>
          </w:p>
        </w:tc>
        <w:tc>
          <w:tcPr>
            <w:tcW w:w="180" w:type="dxa"/>
            <w:vAlign w:val="bottom"/>
            <w:tcBorders>
              <w:bottom w:val="single" w:sz="8" w:color="auto"/>
            </w:tcBorders>
            <w:vMerge w:val="continue"/>
            <w:shd w:val="clear" w:color="auto" w:fill="E0E7ED"/>
          </w:tcPr>
          <w:p>
            <w:pPr>
              <w:spacing w:after="0"/>
              <w:rPr>
                <w:sz w:val="20"/>
                <w:szCs w:val="20"/>
                <w:color w:val="auto"/>
              </w:rPr>
            </w:pPr>
          </w:p>
        </w:tc>
        <w:tc>
          <w:tcPr>
            <w:tcW w:w="128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vMerge w:val="continue"/>
            <w:shd w:val="clear" w:color="auto" w:fill="E0E7ED"/>
          </w:tcPr>
          <w:p>
            <w:pPr>
              <w:spacing w:after="0"/>
              <w:rPr>
                <w:sz w:val="20"/>
                <w:szCs w:val="20"/>
                <w:color w:val="auto"/>
              </w:rPr>
            </w:pPr>
          </w:p>
        </w:tc>
        <w:tc>
          <w:tcPr>
            <w:tcW w:w="130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2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2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40" w:type="dxa"/>
            <w:vAlign w:val="bottom"/>
            <w:tcBorders>
              <w:bottom w:val="single" w:sz="8" w:color="auto"/>
            </w:tcBorders>
            <w:vMerge w:val="continue"/>
            <w:shd w:val="clear" w:color="auto" w:fill="E0E7ED"/>
          </w:tcPr>
          <w:p>
            <w:pPr>
              <w:spacing w:after="0"/>
              <w:rPr>
                <w:sz w:val="20"/>
                <w:szCs w:val="20"/>
                <w:color w:val="auto"/>
              </w:rPr>
            </w:pPr>
          </w:p>
        </w:tc>
        <w:tc>
          <w:tcPr>
            <w:tcW w:w="110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3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820"/>
              <w:spacing w:after="0"/>
              <w:rPr>
                <w:sz w:val="20"/>
                <w:szCs w:val="20"/>
                <w:color w:val="auto"/>
              </w:rPr>
            </w:pPr>
            <w:r>
              <w:rPr>
                <w:rFonts w:ascii="Verdana" w:cs="Verdana" w:eastAsia="Verdana" w:hAnsi="Verdana"/>
                <w:sz w:val="18"/>
                <w:szCs w:val="18"/>
                <w:color w:val="auto"/>
              </w:rPr>
              <w:t>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1" w:name="page32"/>
    <w:bookmarkEnd w:id="3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tables present the ACL and amortized cost of portfolio loans by loan category and class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ind w:left="480"/>
              <w:spacing w:after="0"/>
              <w:rPr>
                <w:sz w:val="20"/>
                <w:szCs w:val="20"/>
                <w:color w:val="auto"/>
              </w:rPr>
            </w:pPr>
            <w:r>
              <w:rPr>
                <w:rFonts w:ascii="Verdana" w:cs="Verdana" w:eastAsia="Verdana" w:hAnsi="Verdana"/>
                <w:sz w:val="13"/>
                <w:szCs w:val="13"/>
                <w:b w:val="1"/>
                <w:bCs w:val="1"/>
                <w:color w:val="auto"/>
              </w:rPr>
              <w:t>As of March 31, 2024</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Verdana" w:cs="Verdana" w:eastAsia="Verdana" w:hAnsi="Verdana"/>
                <w:sz w:val="13"/>
                <w:szCs w:val="13"/>
                <w:b w:val="1"/>
                <w:bCs w:val="1"/>
                <w:color w:val="auto"/>
                <w:w w:val="95"/>
              </w:rPr>
              <w:t>Portfolio Loans</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6"/>
          </w:tcPr>
          <w:p>
            <w:pPr>
              <w:jc w:val="center"/>
              <w:ind w:left="759"/>
              <w:spacing w:after="0"/>
              <w:rPr>
                <w:sz w:val="20"/>
                <w:szCs w:val="20"/>
                <w:color w:val="auto"/>
              </w:rPr>
            </w:pPr>
            <w:r>
              <w:rPr>
                <w:rFonts w:ascii="Verdana" w:cs="Verdana" w:eastAsia="Verdana" w:hAnsi="Verdana"/>
                <w:sz w:val="13"/>
                <w:szCs w:val="13"/>
                <w:b w:val="1"/>
                <w:bCs w:val="1"/>
                <w:color w:val="auto"/>
                <w:w w:val="96"/>
              </w:rPr>
              <w:t>ACL Attributed to Portfolio Loans</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0" w:lineRule="exact"/>
              <w:rPr>
                <w:sz w:val="20"/>
                <w:szCs w:val="20"/>
                <w:color w:val="auto"/>
              </w:rPr>
            </w:pPr>
            <w:r>
              <w:rPr>
                <w:rFonts w:ascii="Verdana" w:cs="Verdana" w:eastAsia="Verdana" w:hAnsi="Verdana"/>
                <w:sz w:val="13"/>
                <w:szCs w:val="13"/>
                <w:b w:val="1"/>
                <w:bCs w:val="1"/>
                <w:color w:val="auto"/>
                <w:w w:val="97"/>
              </w:rPr>
              <w:t>Collectively</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Verdana" w:cs="Verdana" w:eastAsia="Verdana" w:hAnsi="Verdana"/>
                <w:sz w:val="13"/>
                <w:szCs w:val="13"/>
                <w:b w:val="1"/>
                <w:bCs w:val="1"/>
                <w:color w:val="auto"/>
                <w:w w:val="96"/>
              </w:rPr>
              <w:t>Individually</w:t>
            </w: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280"/>
              <w:spacing w:after="0" w:line="120" w:lineRule="exact"/>
              <w:rPr>
                <w:sz w:val="20"/>
                <w:szCs w:val="20"/>
                <w:color w:val="auto"/>
              </w:rPr>
            </w:pPr>
            <w:r>
              <w:rPr>
                <w:rFonts w:ascii="Verdana" w:cs="Verdana" w:eastAsia="Verdana" w:hAnsi="Verdana"/>
                <w:sz w:val="13"/>
                <w:szCs w:val="13"/>
                <w:b w:val="1"/>
                <w:bCs w:val="1"/>
                <w:color w:val="auto"/>
                <w:w w:val="97"/>
              </w:rPr>
              <w:t>Collectively</w:t>
            </w: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0" w:lineRule="exact"/>
              <w:rPr>
                <w:sz w:val="20"/>
                <w:szCs w:val="20"/>
                <w:color w:val="auto"/>
              </w:rPr>
            </w:pPr>
            <w:r>
              <w:rPr>
                <w:rFonts w:ascii="Verdana" w:cs="Verdana" w:eastAsia="Verdana" w:hAnsi="Verdana"/>
                <w:sz w:val="13"/>
                <w:szCs w:val="13"/>
                <w:b w:val="1"/>
                <w:bCs w:val="1"/>
                <w:color w:val="auto"/>
                <w:w w:val="98"/>
              </w:rPr>
              <w:t>Individually</w:t>
            </w: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280" w:type="dxa"/>
            <w:vAlign w:val="bottom"/>
          </w:tcPr>
          <w:p>
            <w:pPr>
              <w:spacing w:after="0"/>
              <w:rPr>
                <w:sz w:val="10"/>
                <w:szCs w:val="10"/>
                <w:color w:val="auto"/>
              </w:rPr>
            </w:pPr>
          </w:p>
        </w:tc>
        <w:tc>
          <w:tcPr>
            <w:tcW w:w="1280" w:type="dxa"/>
            <w:vAlign w:val="bottom"/>
            <w:gridSpan w:val="2"/>
            <w:vMerge w:val="restart"/>
          </w:tcPr>
          <w:p>
            <w:pPr>
              <w:ind w:left="280"/>
              <w:spacing w:after="0"/>
              <w:rPr>
                <w:sz w:val="20"/>
                <w:szCs w:val="20"/>
                <w:color w:val="auto"/>
              </w:rPr>
            </w:pPr>
            <w:r>
              <w:rPr>
                <w:rFonts w:ascii="Verdana" w:cs="Verdana" w:eastAsia="Verdana" w:hAnsi="Verdana"/>
                <w:sz w:val="13"/>
                <w:szCs w:val="13"/>
                <w:b w:val="1"/>
                <w:bCs w:val="1"/>
                <w:color w:val="auto"/>
              </w:rPr>
              <w:t>Total</w:t>
            </w:r>
          </w:p>
        </w:tc>
        <w:tc>
          <w:tcPr>
            <w:tcW w:w="200" w:type="dxa"/>
            <w:vAlign w:val="bottom"/>
          </w:tcPr>
          <w:p>
            <w:pPr>
              <w:spacing w:after="0"/>
              <w:rPr>
                <w:sz w:val="10"/>
                <w:szCs w:val="10"/>
                <w:color w:val="auto"/>
              </w:rPr>
            </w:pPr>
          </w:p>
        </w:tc>
        <w:tc>
          <w:tcPr>
            <w:tcW w:w="138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440" w:type="dxa"/>
            <w:vAlign w:val="bottom"/>
          </w:tcPr>
          <w:p>
            <w:pPr>
              <w:spacing w:after="0"/>
              <w:rPr>
                <w:sz w:val="10"/>
                <w:szCs w:val="10"/>
                <w:color w:val="auto"/>
              </w:rPr>
            </w:pPr>
          </w:p>
        </w:tc>
        <w:tc>
          <w:tcPr>
            <w:tcW w:w="1020" w:type="dxa"/>
            <w:vAlign w:val="bottom"/>
            <w:vMerge w:val="restart"/>
          </w:tcPr>
          <w:p>
            <w:pPr>
              <w:jc w:val="right"/>
              <w:ind w:right="47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Verdana" w:cs="Verdana" w:eastAsia="Verdana" w:hAnsi="Verdana"/>
                <w:sz w:val="13"/>
                <w:szCs w:val="13"/>
                <w:b w:val="1"/>
                <w:bCs w:val="1"/>
                <w:color w:val="auto"/>
                <w:w w:val="96"/>
              </w:rPr>
              <w:t>Impairment</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6"/>
              </w:rPr>
              <w:t>Impairment</w:t>
            </w: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Impairment</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8"/>
              </w:rPr>
              <w:t>Impairment</w:t>
            </w:r>
          </w:p>
        </w:tc>
        <w:tc>
          <w:tcPr>
            <w:tcW w:w="4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Portfolio loans</w:t>
            </w: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440" w:type="dxa"/>
            <w:vAlign w:val="bottom"/>
            <w:tcBorders>
              <w:top w:val="single" w:sz="8" w:color="auto"/>
            </w:tcBorders>
            <w:shd w:val="clear" w:color="auto" w:fill="E0E7ED"/>
          </w:tcPr>
          <w:p>
            <w:pPr>
              <w:spacing w:after="0"/>
              <w:rPr>
                <w:sz w:val="19"/>
                <w:szCs w:val="19"/>
                <w:color w:val="auto"/>
              </w:rPr>
            </w:pPr>
          </w:p>
        </w:tc>
        <w:tc>
          <w:tcPr>
            <w:tcW w:w="10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and related ACL</w:t>
            </w: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60" w:type="dxa"/>
            <w:vAlign w:val="bottom"/>
          </w:tcPr>
          <w:p>
            <w:pPr>
              <w:ind w:left="180"/>
              <w:spacing w:after="0"/>
              <w:rPr>
                <w:sz w:val="20"/>
                <w:szCs w:val="20"/>
                <w:color w:val="auto"/>
              </w:rPr>
            </w:pPr>
            <w:r>
              <w:rPr>
                <w:rFonts w:ascii="Verdana" w:cs="Verdana" w:eastAsia="Verdana" w:hAnsi="Verdana"/>
                <w:sz w:val="18"/>
                <w:szCs w:val="18"/>
                <w:color w:val="auto"/>
              </w:rPr>
              <w:t>Commercial loans:</w:t>
            </w: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C&amp;I and other</w:t>
            </w: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commercial</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1,815,594</w:t>
            </w: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13,117</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2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1,828,711</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18,709</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7,498</w:t>
            </w:r>
          </w:p>
        </w:tc>
        <w:tc>
          <w:tcPr>
            <w:tcW w:w="100" w:type="dxa"/>
            <w:vAlign w:val="bottom"/>
            <w:shd w:val="clear" w:color="auto" w:fill="E0E7ED"/>
          </w:tcPr>
          <w:p>
            <w:pPr>
              <w:spacing w:after="0"/>
              <w:rPr>
                <w:sz w:val="21"/>
                <w:szCs w:val="21"/>
                <w:color w:val="auto"/>
              </w:rPr>
            </w:pPr>
          </w:p>
        </w:tc>
        <w:tc>
          <w:tcPr>
            <w:tcW w:w="440" w:type="dxa"/>
            <w:vAlign w:val="bottom"/>
            <w:shd w:val="clear" w:color="auto" w:fill="E0E7ED"/>
          </w:tcPr>
          <w:p>
            <w:pPr>
              <w:jc w:val="right"/>
              <w:ind w:right="210"/>
              <w:spacing w:after="0"/>
              <w:rPr>
                <w:sz w:val="20"/>
                <w:szCs w:val="20"/>
                <w:color w:val="auto"/>
              </w:rPr>
            </w:pPr>
            <w:r>
              <w:rPr>
                <w:rFonts w:ascii="Verdana" w:cs="Verdana" w:eastAsia="Verdana" w:hAnsi="Verdana"/>
                <w:sz w:val="18"/>
                <w:szCs w:val="18"/>
                <w:color w:val="auto"/>
              </w:rPr>
              <w:t>$</w:t>
            </w: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26,207</w:t>
            </w:r>
          </w:p>
        </w:tc>
        <w:tc>
          <w:tcPr>
            <w:tcW w:w="0" w:type="dxa"/>
            <w:vAlign w:val="bottom"/>
          </w:tcPr>
          <w:p>
            <w:pPr>
              <w:spacing w:after="0"/>
              <w:rPr>
                <w:sz w:val="1"/>
                <w:szCs w:val="1"/>
                <w:color w:val="auto"/>
              </w:rPr>
            </w:pPr>
          </w:p>
        </w:tc>
      </w:tr>
      <w:tr>
        <w:trPr>
          <w:trHeight w:val="238"/>
        </w:trPr>
        <w:tc>
          <w:tcPr>
            <w:tcW w:w="1960" w:type="dxa"/>
            <w:vAlign w:val="bottom"/>
          </w:tcPr>
          <w:p>
            <w:pPr>
              <w:ind w:left="360"/>
              <w:spacing w:after="0"/>
              <w:rPr>
                <w:sz w:val="20"/>
                <w:szCs w:val="20"/>
                <w:color w:val="auto"/>
              </w:rPr>
            </w:pPr>
            <w:r>
              <w:rPr>
                <w:rFonts w:ascii="Verdana" w:cs="Verdana" w:eastAsia="Verdana" w:hAnsi="Verdana"/>
                <w:sz w:val="18"/>
                <w:szCs w:val="18"/>
                <w:color w:val="auto"/>
              </w:rPr>
              <w:t>Commercial real</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60" w:type="dxa"/>
            <w:vAlign w:val="bottom"/>
          </w:tcPr>
          <w:p>
            <w:pPr>
              <w:ind w:left="360"/>
              <w:spacing w:after="0"/>
              <w:rPr>
                <w:sz w:val="20"/>
                <w:szCs w:val="20"/>
                <w:color w:val="auto"/>
              </w:rPr>
            </w:pPr>
            <w:r>
              <w:rPr>
                <w:rFonts w:ascii="Verdana" w:cs="Verdana" w:eastAsia="Verdana" w:hAnsi="Verdana"/>
                <w:sz w:val="18"/>
                <w:szCs w:val="18"/>
                <w:color w:val="auto"/>
              </w:rPr>
              <w:t>estate</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3,331,670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3,331,670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33,505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33,505</w:t>
            </w:r>
          </w:p>
        </w:tc>
        <w:tc>
          <w:tcPr>
            <w:tcW w:w="0" w:type="dxa"/>
            <w:vAlign w:val="bottom"/>
          </w:tcPr>
          <w:p>
            <w:pPr>
              <w:spacing w:after="0"/>
              <w:rPr>
                <w:sz w:val="1"/>
                <w:szCs w:val="1"/>
                <w:color w:val="auto"/>
              </w:rPr>
            </w:pPr>
          </w:p>
        </w:tc>
      </w:tr>
      <w:tr>
        <w:trPr>
          <w:trHeight w:val="244"/>
        </w:trPr>
        <w:tc>
          <w:tcPr>
            <w:tcW w:w="1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 estate</w:t>
            </w: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construction</w:t>
            </w: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445,860</w:t>
            </w: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40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445,860</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4,713</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3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4,713</w:t>
            </w:r>
          </w:p>
        </w:tc>
        <w:tc>
          <w:tcPr>
            <w:tcW w:w="0" w:type="dxa"/>
            <w:vAlign w:val="bottom"/>
          </w:tcPr>
          <w:p>
            <w:pPr>
              <w:spacing w:after="0"/>
              <w:rPr>
                <w:sz w:val="1"/>
                <w:szCs w:val="1"/>
                <w:color w:val="auto"/>
              </w:rPr>
            </w:pPr>
          </w:p>
        </w:tc>
      </w:tr>
      <w:tr>
        <w:trPr>
          <w:trHeight w:val="218"/>
        </w:trPr>
        <w:tc>
          <w:tcPr>
            <w:tcW w:w="1960" w:type="dxa"/>
            <w:vAlign w:val="bottom"/>
          </w:tcPr>
          <w:p>
            <w:pPr>
              <w:ind w:left="180"/>
              <w:spacing w:after="0" w:line="217" w:lineRule="exact"/>
              <w:rPr>
                <w:sz w:val="20"/>
                <w:szCs w:val="20"/>
                <w:color w:val="auto"/>
              </w:rPr>
            </w:pPr>
            <w:r>
              <w:rPr>
                <w:rFonts w:ascii="Verdana" w:cs="Verdana" w:eastAsia="Verdana" w:hAnsi="Verdana"/>
                <w:sz w:val="18"/>
                <w:szCs w:val="18"/>
                <w:color w:val="auto"/>
              </w:rPr>
              <w:t>Commercial loans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and related ACL</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5,593,124</w:t>
            </w:r>
          </w:p>
        </w:tc>
        <w:tc>
          <w:tcPr>
            <w:tcW w:w="10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13,117</w:t>
            </w:r>
          </w:p>
        </w:tc>
        <w:tc>
          <w:tcPr>
            <w:tcW w:w="100" w:type="dxa"/>
            <w:vAlign w:val="bottom"/>
            <w:tcBorders>
              <w:bottom w:val="single" w:sz="8" w:color="E0E7ED"/>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5,606,241</w:t>
            </w:r>
          </w:p>
        </w:tc>
        <w:tc>
          <w:tcPr>
            <w:tcW w:w="80" w:type="dxa"/>
            <w:vAlign w:val="bottom"/>
            <w:tcBorders>
              <w:bottom w:val="single" w:sz="8" w:color="E0E7E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56,927</w:t>
            </w:r>
          </w:p>
        </w:tc>
        <w:tc>
          <w:tcPr>
            <w:tcW w:w="100" w:type="dxa"/>
            <w:vAlign w:val="bottom"/>
            <w:tcBorders>
              <w:bottom w:val="single" w:sz="8" w:color="E0E7E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7,498</w:t>
            </w:r>
          </w:p>
        </w:tc>
        <w:tc>
          <w:tcPr>
            <w:tcW w:w="100" w:type="dxa"/>
            <w:vAlign w:val="bottom"/>
            <w:tcBorders>
              <w:bottom w:val="single" w:sz="8" w:color="E0E7ED"/>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64,425</w:t>
            </w:r>
          </w:p>
        </w:tc>
        <w:tc>
          <w:tcPr>
            <w:tcW w:w="0" w:type="dxa"/>
            <w:vAlign w:val="bottom"/>
          </w:tcPr>
          <w:p>
            <w:pPr>
              <w:spacing w:after="0"/>
              <w:rPr>
                <w:sz w:val="1"/>
                <w:szCs w:val="1"/>
                <w:color w:val="auto"/>
              </w:rPr>
            </w:pPr>
          </w:p>
        </w:tc>
      </w:tr>
      <w:tr>
        <w:trPr>
          <w:trHeight w:val="257"/>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loans:</w:t>
            </w:r>
          </w:p>
        </w:tc>
        <w:tc>
          <w:tcPr>
            <w:tcW w:w="20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80" w:type="dxa"/>
            <w:vAlign w:val="bottom"/>
            <w:shd w:val="clear" w:color="auto" w:fill="E0E7ED"/>
          </w:tcPr>
          <w:p>
            <w:pPr>
              <w:spacing w:after="0"/>
              <w:rPr>
                <w:sz w:val="22"/>
                <w:szCs w:val="22"/>
                <w:color w:val="auto"/>
              </w:rPr>
            </w:pPr>
          </w:p>
        </w:tc>
        <w:tc>
          <w:tcPr>
            <w:tcW w:w="12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440" w:type="dxa"/>
            <w:vAlign w:val="bottom"/>
            <w:shd w:val="clear" w:color="auto" w:fill="E0E7ED"/>
          </w:tcPr>
          <w:p>
            <w:pPr>
              <w:spacing w:after="0"/>
              <w:rPr>
                <w:sz w:val="22"/>
                <w:szCs w:val="22"/>
                <w:color w:val="auto"/>
              </w:rPr>
            </w:pPr>
          </w:p>
        </w:tc>
        <w:tc>
          <w:tcPr>
            <w:tcW w:w="102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Pr>
          <w:p>
            <w:pPr>
              <w:ind w:left="360"/>
              <w:spacing w:after="0"/>
              <w:rPr>
                <w:sz w:val="20"/>
                <w:szCs w:val="20"/>
                <w:color w:val="auto"/>
              </w:rPr>
            </w:pPr>
            <w:r>
              <w:rPr>
                <w:rFonts w:ascii="Verdana" w:cs="Verdana" w:eastAsia="Verdana" w:hAnsi="Verdana"/>
                <w:sz w:val="18"/>
                <w:szCs w:val="18"/>
                <w:color w:val="auto"/>
              </w:rPr>
              <w:t>Retail real estate</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1,708,577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Verdana" w:cs="Verdana" w:eastAsia="Verdana" w:hAnsi="Verdana"/>
                <w:sz w:val="18"/>
                <w:szCs w:val="18"/>
                <w:color w:val="auto"/>
              </w:rPr>
              <w:t>86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1,708,663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24,256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24,281</w:t>
            </w:r>
          </w:p>
        </w:tc>
        <w:tc>
          <w:tcPr>
            <w:tcW w:w="0" w:type="dxa"/>
            <w:vAlign w:val="bottom"/>
          </w:tcPr>
          <w:p>
            <w:pPr>
              <w:spacing w:after="0"/>
              <w:rPr>
                <w:sz w:val="1"/>
                <w:szCs w:val="1"/>
                <w:color w:val="auto"/>
              </w:rPr>
            </w:pPr>
          </w:p>
        </w:tc>
      </w:tr>
      <w:tr>
        <w:trPr>
          <w:trHeight w:val="277"/>
        </w:trPr>
        <w:tc>
          <w:tcPr>
            <w:tcW w:w="1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Retail other</w:t>
            </w:r>
          </w:p>
        </w:tc>
        <w:tc>
          <w:tcPr>
            <w:tcW w:w="20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273,173</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40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273,173</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2,856</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shd w:val="clear" w:color="auto" w:fill="E0E7ED"/>
          </w:tcPr>
          <w:p>
            <w:pPr>
              <w:spacing w:after="0"/>
              <w:rPr>
                <w:sz w:val="24"/>
                <w:szCs w:val="24"/>
                <w:color w:val="auto"/>
              </w:rPr>
            </w:pPr>
          </w:p>
        </w:tc>
        <w:tc>
          <w:tcPr>
            <w:tcW w:w="10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2,856</w:t>
            </w:r>
          </w:p>
        </w:tc>
        <w:tc>
          <w:tcPr>
            <w:tcW w:w="0" w:type="dxa"/>
            <w:vAlign w:val="bottom"/>
          </w:tcPr>
          <w:p>
            <w:pPr>
              <w:spacing w:after="0"/>
              <w:rPr>
                <w:sz w:val="1"/>
                <w:szCs w:val="1"/>
                <w:color w:val="auto"/>
              </w:rPr>
            </w:pPr>
          </w:p>
        </w:tc>
      </w:tr>
      <w:tr>
        <w:trPr>
          <w:trHeight w:val="218"/>
        </w:trPr>
        <w:tc>
          <w:tcPr>
            <w:tcW w:w="1960" w:type="dxa"/>
            <w:vAlign w:val="bottom"/>
          </w:tcPr>
          <w:p>
            <w:pPr>
              <w:ind w:left="180"/>
              <w:spacing w:after="0" w:line="217" w:lineRule="exact"/>
              <w:rPr>
                <w:sz w:val="20"/>
                <w:szCs w:val="20"/>
                <w:color w:val="auto"/>
              </w:rPr>
            </w:pPr>
            <w:r>
              <w:rPr>
                <w:rFonts w:ascii="Verdana" w:cs="Verdana" w:eastAsia="Verdana" w:hAnsi="Verdana"/>
                <w:sz w:val="18"/>
                <w:szCs w:val="18"/>
                <w:color w:val="auto"/>
              </w:rPr>
              <w:t>Retail loans and</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related ACL</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1,981,750</w:t>
            </w:r>
          </w:p>
        </w:tc>
        <w:tc>
          <w:tcPr>
            <w:tcW w:w="10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86</w:t>
            </w:r>
          </w:p>
        </w:tc>
        <w:tc>
          <w:tcPr>
            <w:tcW w:w="100" w:type="dxa"/>
            <w:vAlign w:val="bottom"/>
            <w:tcBorders>
              <w:bottom w:val="single" w:sz="8" w:color="E0E7ED"/>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1,981,836</w:t>
            </w:r>
          </w:p>
        </w:tc>
        <w:tc>
          <w:tcPr>
            <w:tcW w:w="80" w:type="dxa"/>
            <w:vAlign w:val="bottom"/>
            <w:tcBorders>
              <w:bottom w:val="single" w:sz="8" w:color="E0E7E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27,112</w:t>
            </w:r>
          </w:p>
        </w:tc>
        <w:tc>
          <w:tcPr>
            <w:tcW w:w="100" w:type="dxa"/>
            <w:vAlign w:val="bottom"/>
            <w:tcBorders>
              <w:bottom w:val="single" w:sz="8" w:color="E0E7E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tcBorders>
              <w:bottom w:val="single" w:sz="8" w:color="E0E7ED"/>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27,137</w:t>
            </w:r>
          </w:p>
        </w:tc>
        <w:tc>
          <w:tcPr>
            <w:tcW w:w="0" w:type="dxa"/>
            <w:vAlign w:val="bottom"/>
          </w:tcPr>
          <w:p>
            <w:pPr>
              <w:spacing w:after="0"/>
              <w:rPr>
                <w:sz w:val="1"/>
                <w:szCs w:val="1"/>
                <w:color w:val="auto"/>
              </w:rPr>
            </w:pPr>
          </w:p>
        </w:tc>
      </w:tr>
      <w:tr>
        <w:trPr>
          <w:trHeight w:val="224"/>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Portfolio loans and</w:t>
            </w:r>
          </w:p>
        </w:tc>
        <w:tc>
          <w:tcPr>
            <w:tcW w:w="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7,574,874</w:t>
            </w:r>
          </w:p>
        </w:tc>
        <w:tc>
          <w:tcPr>
            <w:tcW w:w="100" w:type="dxa"/>
            <w:vAlign w:val="bottom"/>
            <w:shd w:val="clear" w:color="auto" w:fill="E0E7ED"/>
          </w:tcPr>
          <w:p>
            <w:pPr>
              <w:spacing w:after="0"/>
              <w:rPr>
                <w:sz w:val="19"/>
                <w:szCs w:val="19"/>
                <w:color w:val="auto"/>
              </w:rPr>
            </w:pP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vMerge w:val="restart"/>
            <w:shd w:val="clear" w:color="auto" w:fill="E0E7ED"/>
          </w:tcPr>
          <w:p>
            <w:pPr>
              <w:jc w:val="right"/>
              <w:ind w:right="19"/>
              <w:spacing w:after="0"/>
              <w:rPr>
                <w:sz w:val="20"/>
                <w:szCs w:val="20"/>
                <w:color w:val="auto"/>
              </w:rPr>
            </w:pPr>
            <w:r>
              <w:rPr>
                <w:rFonts w:ascii="Verdana" w:cs="Verdana" w:eastAsia="Verdana" w:hAnsi="Verdana"/>
                <w:sz w:val="18"/>
                <w:szCs w:val="18"/>
                <w:color w:val="auto"/>
              </w:rPr>
              <w:t>13,203</w:t>
            </w:r>
          </w:p>
        </w:tc>
        <w:tc>
          <w:tcPr>
            <w:tcW w:w="100" w:type="dxa"/>
            <w:vAlign w:val="bottom"/>
            <w:shd w:val="clear" w:color="auto" w:fill="E0E7ED"/>
          </w:tcPr>
          <w:p>
            <w:pPr>
              <w:spacing w:after="0"/>
              <w:rPr>
                <w:sz w:val="19"/>
                <w:szCs w:val="19"/>
                <w:color w:val="auto"/>
              </w:rPr>
            </w:pPr>
          </w:p>
        </w:tc>
        <w:tc>
          <w:tcPr>
            <w:tcW w:w="280" w:type="dxa"/>
            <w:vAlign w:val="bottom"/>
            <w:vMerge w:val="restart"/>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200" w:type="dxa"/>
            <w:vAlign w:val="bottom"/>
            <w:vMerge w:val="restart"/>
            <w:shd w:val="clear" w:color="auto" w:fill="E0E7ED"/>
          </w:tcPr>
          <w:p>
            <w:pPr>
              <w:jc w:val="right"/>
              <w:ind w:right="15"/>
              <w:spacing w:after="0"/>
              <w:rPr>
                <w:sz w:val="20"/>
                <w:szCs w:val="20"/>
                <w:color w:val="auto"/>
              </w:rPr>
            </w:pPr>
            <w:r>
              <w:rPr>
                <w:rFonts w:ascii="Verdana" w:cs="Verdana" w:eastAsia="Verdana" w:hAnsi="Verdana"/>
                <w:sz w:val="18"/>
                <w:szCs w:val="18"/>
                <w:color w:val="auto"/>
              </w:rPr>
              <w:t>7,588,077</w:t>
            </w:r>
          </w:p>
        </w:tc>
        <w:tc>
          <w:tcPr>
            <w:tcW w:w="80" w:type="dxa"/>
            <w:vAlign w:val="bottom"/>
            <w:shd w:val="clear" w:color="auto" w:fill="E0E7ED"/>
          </w:tcPr>
          <w:p>
            <w:pPr>
              <w:spacing w:after="0"/>
              <w:rPr>
                <w:sz w:val="19"/>
                <w:szCs w:val="19"/>
                <w:color w:val="auto"/>
              </w:rPr>
            </w:pPr>
          </w:p>
        </w:tc>
        <w:tc>
          <w:tcPr>
            <w:tcW w:w="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84,039</w:t>
            </w:r>
          </w:p>
        </w:tc>
        <w:tc>
          <w:tcPr>
            <w:tcW w:w="100" w:type="dxa"/>
            <w:vAlign w:val="bottom"/>
            <w:shd w:val="clear" w:color="auto" w:fill="E0E7ED"/>
          </w:tcPr>
          <w:p>
            <w:pPr>
              <w:spacing w:after="0"/>
              <w:rPr>
                <w:sz w:val="19"/>
                <w:szCs w:val="19"/>
                <w:color w:val="auto"/>
              </w:rPr>
            </w:pPr>
          </w:p>
        </w:tc>
        <w:tc>
          <w:tcPr>
            <w:tcW w:w="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7,523</w:t>
            </w:r>
          </w:p>
        </w:tc>
        <w:tc>
          <w:tcPr>
            <w:tcW w:w="100" w:type="dxa"/>
            <w:vAlign w:val="bottom"/>
            <w:shd w:val="clear" w:color="auto" w:fill="E0E7ED"/>
          </w:tcPr>
          <w:p>
            <w:pPr>
              <w:spacing w:after="0"/>
              <w:rPr>
                <w:sz w:val="19"/>
                <w:szCs w:val="19"/>
                <w:color w:val="auto"/>
              </w:rPr>
            </w:pPr>
          </w:p>
        </w:tc>
        <w:tc>
          <w:tcPr>
            <w:tcW w:w="440" w:type="dxa"/>
            <w:vAlign w:val="bottom"/>
            <w:vMerge w:val="restart"/>
            <w:shd w:val="clear" w:color="auto" w:fill="E0E7ED"/>
          </w:tcPr>
          <w:p>
            <w:pPr>
              <w:jc w:val="right"/>
              <w:ind w:right="210"/>
              <w:spacing w:after="0"/>
              <w:rPr>
                <w:sz w:val="20"/>
                <w:szCs w:val="20"/>
                <w:color w:val="auto"/>
              </w:rPr>
            </w:pPr>
            <w:r>
              <w:rPr>
                <w:rFonts w:ascii="Verdana" w:cs="Verdana" w:eastAsia="Verdana" w:hAnsi="Verdana"/>
                <w:sz w:val="18"/>
                <w:szCs w:val="18"/>
                <w:color w:val="auto"/>
              </w:rPr>
              <w:t>$</w:t>
            </w:r>
          </w:p>
        </w:tc>
        <w:tc>
          <w:tcPr>
            <w:tcW w:w="10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91,562</w:t>
            </w:r>
          </w:p>
        </w:tc>
        <w:tc>
          <w:tcPr>
            <w:tcW w:w="0" w:type="dxa"/>
            <w:vAlign w:val="bottom"/>
          </w:tcPr>
          <w:p>
            <w:pPr>
              <w:spacing w:after="0"/>
              <w:rPr>
                <w:sz w:val="1"/>
                <w:szCs w:val="1"/>
                <w:color w:val="auto"/>
              </w:rPr>
            </w:pPr>
          </w:p>
        </w:tc>
      </w:tr>
      <w:tr>
        <w:trPr>
          <w:trHeight w:val="241"/>
        </w:trPr>
        <w:tc>
          <w:tcPr>
            <w:tcW w:w="1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related ACL</w:t>
            </w:r>
          </w:p>
        </w:tc>
        <w:tc>
          <w:tcPr>
            <w:tcW w:w="200" w:type="dxa"/>
            <w:vAlign w:val="bottom"/>
            <w:tcBorders>
              <w:bottom w:val="single" w:sz="8" w:color="auto"/>
            </w:tcBorders>
            <w:vMerge w:val="continue"/>
            <w:shd w:val="clear" w:color="auto" w:fill="E0E7ED"/>
          </w:tcPr>
          <w:p>
            <w:pPr>
              <w:spacing w:after="0"/>
              <w:rPr>
                <w:sz w:val="20"/>
                <w:szCs w:val="20"/>
                <w:color w:val="auto"/>
              </w:rPr>
            </w:pPr>
          </w:p>
        </w:tc>
        <w:tc>
          <w:tcPr>
            <w:tcW w:w="126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vMerge w:val="continue"/>
            <w:shd w:val="clear" w:color="auto" w:fill="E0E7ED"/>
          </w:tcPr>
          <w:p>
            <w:pPr>
              <w:spacing w:after="0"/>
              <w:rPr>
                <w:sz w:val="20"/>
                <w:szCs w:val="20"/>
                <w:color w:val="auto"/>
              </w:rPr>
            </w:pPr>
          </w:p>
        </w:tc>
        <w:tc>
          <w:tcPr>
            <w:tcW w:w="130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80" w:type="dxa"/>
            <w:vAlign w:val="bottom"/>
            <w:tcBorders>
              <w:bottom w:val="single" w:sz="8" w:color="auto"/>
            </w:tcBorders>
            <w:vMerge w:val="continue"/>
            <w:shd w:val="clear" w:color="auto" w:fill="E0E7ED"/>
          </w:tcPr>
          <w:p>
            <w:pPr>
              <w:spacing w:after="0"/>
              <w:rPr>
                <w:sz w:val="20"/>
                <w:szCs w:val="20"/>
                <w:color w:val="auto"/>
              </w:rPr>
            </w:pPr>
          </w:p>
        </w:tc>
        <w:tc>
          <w:tcPr>
            <w:tcW w:w="120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auto"/>
            </w:tcBorders>
            <w:vMerge w:val="continue"/>
            <w:shd w:val="clear" w:color="auto" w:fill="E0E7ED"/>
          </w:tcPr>
          <w:p>
            <w:pPr>
              <w:spacing w:after="0"/>
              <w:rPr>
                <w:sz w:val="20"/>
                <w:szCs w:val="20"/>
                <w:color w:val="auto"/>
              </w:rPr>
            </w:pPr>
          </w:p>
        </w:tc>
        <w:tc>
          <w:tcPr>
            <w:tcW w:w="128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auto"/>
            </w:tcBorders>
            <w:vMerge w:val="continue"/>
            <w:shd w:val="clear" w:color="auto" w:fill="E0E7ED"/>
          </w:tcPr>
          <w:p>
            <w:pPr>
              <w:spacing w:after="0"/>
              <w:rPr>
                <w:sz w:val="20"/>
                <w:szCs w:val="20"/>
                <w:color w:val="auto"/>
              </w:rPr>
            </w:pPr>
          </w:p>
        </w:tc>
        <w:tc>
          <w:tcPr>
            <w:tcW w:w="126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440" w:type="dxa"/>
            <w:vAlign w:val="bottom"/>
            <w:tcBorders>
              <w:bottom w:val="single" w:sz="8" w:color="auto"/>
            </w:tcBorders>
            <w:vMerge w:val="continue"/>
            <w:shd w:val="clear" w:color="auto" w:fill="E0E7ED"/>
          </w:tcPr>
          <w:p>
            <w:pPr>
              <w:spacing w:after="0"/>
              <w:rPr>
                <w:sz w:val="20"/>
                <w:szCs w:val="20"/>
                <w:color w:val="auto"/>
              </w:rPr>
            </w:pPr>
          </w:p>
        </w:tc>
        <w:tc>
          <w:tcPr>
            <w:tcW w:w="102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3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44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35"/>
              <w:spacing w:after="0"/>
              <w:rPr>
                <w:sz w:val="20"/>
                <w:szCs w:val="20"/>
                <w:color w:val="auto"/>
              </w:rPr>
            </w:pPr>
            <w:r>
              <w:rPr>
                <w:rFonts w:ascii="Verdana" w:cs="Verdana" w:eastAsia="Verdana" w:hAnsi="Verdana"/>
                <w:sz w:val="18"/>
                <w:szCs w:val="18"/>
                <w:color w:val="auto"/>
              </w:rPr>
              <w:t>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2" w:name="page33"/>
    <w:bookmarkEnd w:id="3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ind w:left="340"/>
              <w:spacing w:after="0"/>
              <w:rPr>
                <w:sz w:val="20"/>
                <w:szCs w:val="20"/>
                <w:color w:val="auto"/>
              </w:rPr>
            </w:pPr>
            <w:r>
              <w:rPr>
                <w:rFonts w:ascii="Verdana" w:cs="Verdana" w:eastAsia="Verdana" w:hAnsi="Verdana"/>
                <w:sz w:val="13"/>
                <w:szCs w:val="13"/>
                <w:b w:val="1"/>
                <w:bCs w:val="1"/>
                <w:color w:val="auto"/>
              </w:rPr>
              <w:t>As of December 31, 2023</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Verdana" w:cs="Verdana" w:eastAsia="Verdana" w:hAnsi="Verdana"/>
                <w:sz w:val="13"/>
                <w:szCs w:val="13"/>
                <w:b w:val="1"/>
                <w:bCs w:val="1"/>
                <w:color w:val="auto"/>
                <w:w w:val="95"/>
              </w:rPr>
              <w:t>Portfolio Loans</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6"/>
          </w:tcPr>
          <w:p>
            <w:pPr>
              <w:jc w:val="center"/>
              <w:ind w:left="759"/>
              <w:spacing w:after="0"/>
              <w:rPr>
                <w:sz w:val="20"/>
                <w:szCs w:val="20"/>
                <w:color w:val="auto"/>
              </w:rPr>
            </w:pPr>
            <w:r>
              <w:rPr>
                <w:rFonts w:ascii="Verdana" w:cs="Verdana" w:eastAsia="Verdana" w:hAnsi="Verdana"/>
                <w:sz w:val="13"/>
                <w:szCs w:val="13"/>
                <w:b w:val="1"/>
                <w:bCs w:val="1"/>
                <w:color w:val="auto"/>
                <w:w w:val="96"/>
              </w:rPr>
              <w:t>ACL Attributed to Portfolio Loans</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0" w:lineRule="exact"/>
              <w:rPr>
                <w:sz w:val="20"/>
                <w:szCs w:val="20"/>
                <w:color w:val="auto"/>
              </w:rPr>
            </w:pPr>
            <w:r>
              <w:rPr>
                <w:rFonts w:ascii="Verdana" w:cs="Verdana" w:eastAsia="Verdana" w:hAnsi="Verdana"/>
                <w:sz w:val="13"/>
                <w:szCs w:val="13"/>
                <w:b w:val="1"/>
                <w:bCs w:val="1"/>
                <w:color w:val="auto"/>
                <w:w w:val="97"/>
              </w:rPr>
              <w:t>Collectively</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Verdana" w:cs="Verdana" w:eastAsia="Verdana" w:hAnsi="Verdana"/>
                <w:sz w:val="13"/>
                <w:szCs w:val="13"/>
                <w:b w:val="1"/>
                <w:bCs w:val="1"/>
                <w:color w:val="auto"/>
                <w:w w:val="96"/>
              </w:rPr>
              <w:t>Individually</w:t>
            </w: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280"/>
              <w:spacing w:after="0" w:line="120" w:lineRule="exact"/>
              <w:rPr>
                <w:sz w:val="20"/>
                <w:szCs w:val="20"/>
                <w:color w:val="auto"/>
              </w:rPr>
            </w:pPr>
            <w:r>
              <w:rPr>
                <w:rFonts w:ascii="Verdana" w:cs="Verdana" w:eastAsia="Verdana" w:hAnsi="Verdana"/>
                <w:sz w:val="13"/>
                <w:szCs w:val="13"/>
                <w:b w:val="1"/>
                <w:bCs w:val="1"/>
                <w:color w:val="auto"/>
                <w:w w:val="97"/>
              </w:rPr>
              <w:t>Collectively</w:t>
            </w: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0" w:lineRule="exact"/>
              <w:rPr>
                <w:sz w:val="20"/>
                <w:szCs w:val="20"/>
                <w:color w:val="auto"/>
              </w:rPr>
            </w:pPr>
            <w:r>
              <w:rPr>
                <w:rFonts w:ascii="Verdana" w:cs="Verdana" w:eastAsia="Verdana" w:hAnsi="Verdana"/>
                <w:sz w:val="13"/>
                <w:szCs w:val="13"/>
                <w:b w:val="1"/>
                <w:bCs w:val="1"/>
                <w:color w:val="auto"/>
                <w:w w:val="98"/>
              </w:rPr>
              <w:t>Individually</w:t>
            </w: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280" w:type="dxa"/>
            <w:vAlign w:val="bottom"/>
          </w:tcPr>
          <w:p>
            <w:pPr>
              <w:spacing w:after="0"/>
              <w:rPr>
                <w:sz w:val="10"/>
                <w:szCs w:val="10"/>
                <w:color w:val="auto"/>
              </w:rPr>
            </w:pPr>
          </w:p>
        </w:tc>
        <w:tc>
          <w:tcPr>
            <w:tcW w:w="1280" w:type="dxa"/>
            <w:vAlign w:val="bottom"/>
            <w:gridSpan w:val="2"/>
            <w:vMerge w:val="restart"/>
          </w:tcPr>
          <w:p>
            <w:pPr>
              <w:ind w:left="280"/>
              <w:spacing w:after="0"/>
              <w:rPr>
                <w:sz w:val="20"/>
                <w:szCs w:val="20"/>
                <w:color w:val="auto"/>
              </w:rPr>
            </w:pPr>
            <w:r>
              <w:rPr>
                <w:rFonts w:ascii="Verdana" w:cs="Verdana" w:eastAsia="Verdana" w:hAnsi="Verdana"/>
                <w:sz w:val="13"/>
                <w:szCs w:val="13"/>
                <w:b w:val="1"/>
                <w:bCs w:val="1"/>
                <w:color w:val="auto"/>
              </w:rPr>
              <w:t>Total</w:t>
            </w:r>
          </w:p>
        </w:tc>
        <w:tc>
          <w:tcPr>
            <w:tcW w:w="200" w:type="dxa"/>
            <w:vAlign w:val="bottom"/>
          </w:tcPr>
          <w:p>
            <w:pPr>
              <w:spacing w:after="0"/>
              <w:rPr>
                <w:sz w:val="10"/>
                <w:szCs w:val="10"/>
                <w:color w:val="auto"/>
              </w:rPr>
            </w:pPr>
          </w:p>
        </w:tc>
        <w:tc>
          <w:tcPr>
            <w:tcW w:w="138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440" w:type="dxa"/>
            <w:vAlign w:val="bottom"/>
          </w:tcPr>
          <w:p>
            <w:pPr>
              <w:spacing w:after="0"/>
              <w:rPr>
                <w:sz w:val="10"/>
                <w:szCs w:val="10"/>
                <w:color w:val="auto"/>
              </w:rPr>
            </w:pPr>
          </w:p>
        </w:tc>
        <w:tc>
          <w:tcPr>
            <w:tcW w:w="1020" w:type="dxa"/>
            <w:vAlign w:val="bottom"/>
            <w:vMerge w:val="restart"/>
          </w:tcPr>
          <w:p>
            <w:pPr>
              <w:jc w:val="right"/>
              <w:ind w:right="47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Verdana" w:cs="Verdana" w:eastAsia="Verdana" w:hAnsi="Verdana"/>
                <w:sz w:val="13"/>
                <w:szCs w:val="13"/>
                <w:b w:val="1"/>
                <w:bCs w:val="1"/>
                <w:color w:val="auto"/>
                <w:w w:val="96"/>
              </w:rPr>
              <w:t>Impairment</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6"/>
              </w:rPr>
              <w:t>Impairment</w:t>
            </w: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Impairment</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8"/>
              </w:rPr>
              <w:t>Impairment</w:t>
            </w:r>
          </w:p>
        </w:tc>
        <w:tc>
          <w:tcPr>
            <w:tcW w:w="4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Portfolio loans</w:t>
            </w: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440" w:type="dxa"/>
            <w:vAlign w:val="bottom"/>
            <w:tcBorders>
              <w:top w:val="single" w:sz="8" w:color="auto"/>
            </w:tcBorders>
            <w:shd w:val="clear" w:color="auto" w:fill="E0E7ED"/>
          </w:tcPr>
          <w:p>
            <w:pPr>
              <w:spacing w:after="0"/>
              <w:rPr>
                <w:sz w:val="19"/>
                <w:szCs w:val="19"/>
                <w:color w:val="auto"/>
              </w:rPr>
            </w:pPr>
          </w:p>
        </w:tc>
        <w:tc>
          <w:tcPr>
            <w:tcW w:w="10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and related ACL</w:t>
            </w: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960" w:type="dxa"/>
            <w:vAlign w:val="bottom"/>
          </w:tcPr>
          <w:p>
            <w:pPr>
              <w:ind w:left="180"/>
              <w:spacing w:after="0"/>
              <w:rPr>
                <w:sz w:val="20"/>
                <w:szCs w:val="20"/>
                <w:color w:val="auto"/>
              </w:rPr>
            </w:pPr>
            <w:r>
              <w:rPr>
                <w:rFonts w:ascii="Verdana" w:cs="Verdana" w:eastAsia="Verdana" w:hAnsi="Verdana"/>
                <w:sz w:val="18"/>
                <w:szCs w:val="18"/>
                <w:color w:val="auto"/>
              </w:rPr>
              <w:t>Commercial loans:</w:t>
            </w: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C&amp;I and other</w:t>
            </w: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commercial</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1,833,624</w:t>
            </w: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2,370</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2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1,835,994</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20,471</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785</w:t>
            </w:r>
          </w:p>
        </w:tc>
        <w:tc>
          <w:tcPr>
            <w:tcW w:w="100" w:type="dxa"/>
            <w:vAlign w:val="bottom"/>
            <w:shd w:val="clear" w:color="auto" w:fill="E0E7ED"/>
          </w:tcPr>
          <w:p>
            <w:pPr>
              <w:spacing w:after="0"/>
              <w:rPr>
                <w:sz w:val="21"/>
                <w:szCs w:val="21"/>
                <w:color w:val="auto"/>
              </w:rPr>
            </w:pPr>
          </w:p>
        </w:tc>
        <w:tc>
          <w:tcPr>
            <w:tcW w:w="440" w:type="dxa"/>
            <w:vAlign w:val="bottom"/>
            <w:shd w:val="clear" w:color="auto" w:fill="E0E7ED"/>
          </w:tcPr>
          <w:p>
            <w:pPr>
              <w:jc w:val="right"/>
              <w:ind w:right="210"/>
              <w:spacing w:after="0"/>
              <w:rPr>
                <w:sz w:val="20"/>
                <w:szCs w:val="20"/>
                <w:color w:val="auto"/>
              </w:rPr>
            </w:pPr>
            <w:r>
              <w:rPr>
                <w:rFonts w:ascii="Verdana" w:cs="Verdana" w:eastAsia="Verdana" w:hAnsi="Verdana"/>
                <w:sz w:val="18"/>
                <w:szCs w:val="18"/>
                <w:color w:val="auto"/>
              </w:rPr>
              <w:t>$</w:t>
            </w: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21,256</w:t>
            </w:r>
          </w:p>
        </w:tc>
        <w:tc>
          <w:tcPr>
            <w:tcW w:w="0" w:type="dxa"/>
            <w:vAlign w:val="bottom"/>
          </w:tcPr>
          <w:p>
            <w:pPr>
              <w:spacing w:after="0"/>
              <w:rPr>
                <w:sz w:val="1"/>
                <w:szCs w:val="1"/>
                <w:color w:val="auto"/>
              </w:rPr>
            </w:pPr>
          </w:p>
        </w:tc>
      </w:tr>
      <w:tr>
        <w:trPr>
          <w:trHeight w:val="238"/>
        </w:trPr>
        <w:tc>
          <w:tcPr>
            <w:tcW w:w="1960" w:type="dxa"/>
            <w:vAlign w:val="bottom"/>
          </w:tcPr>
          <w:p>
            <w:pPr>
              <w:ind w:left="360"/>
              <w:spacing w:after="0"/>
              <w:rPr>
                <w:sz w:val="20"/>
                <w:szCs w:val="20"/>
                <w:color w:val="auto"/>
              </w:rPr>
            </w:pPr>
            <w:r>
              <w:rPr>
                <w:rFonts w:ascii="Verdana" w:cs="Verdana" w:eastAsia="Verdana" w:hAnsi="Verdana"/>
                <w:sz w:val="18"/>
                <w:szCs w:val="18"/>
                <w:color w:val="auto"/>
              </w:rPr>
              <w:t>Commercial real</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60" w:type="dxa"/>
            <w:vAlign w:val="bottom"/>
          </w:tcPr>
          <w:p>
            <w:pPr>
              <w:ind w:left="360"/>
              <w:spacing w:after="0"/>
              <w:rPr>
                <w:sz w:val="20"/>
                <w:szCs w:val="20"/>
                <w:color w:val="auto"/>
              </w:rPr>
            </w:pPr>
            <w:r>
              <w:rPr>
                <w:rFonts w:ascii="Verdana" w:cs="Verdana" w:eastAsia="Verdana" w:hAnsi="Verdana"/>
                <w:sz w:val="18"/>
                <w:szCs w:val="18"/>
                <w:color w:val="auto"/>
              </w:rPr>
              <w:t>estate</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3,336,642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Verdana" w:cs="Verdana" w:eastAsia="Verdana" w:hAnsi="Verdana"/>
                <w:sz w:val="18"/>
                <w:szCs w:val="18"/>
                <w:color w:val="auto"/>
              </w:rPr>
              <w:t>695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3,337,337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35,380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35,465</w:t>
            </w:r>
          </w:p>
        </w:tc>
        <w:tc>
          <w:tcPr>
            <w:tcW w:w="0" w:type="dxa"/>
            <w:vAlign w:val="bottom"/>
          </w:tcPr>
          <w:p>
            <w:pPr>
              <w:spacing w:after="0"/>
              <w:rPr>
                <w:sz w:val="1"/>
                <w:szCs w:val="1"/>
                <w:color w:val="auto"/>
              </w:rPr>
            </w:pPr>
          </w:p>
        </w:tc>
      </w:tr>
      <w:tr>
        <w:trPr>
          <w:trHeight w:val="244"/>
        </w:trPr>
        <w:tc>
          <w:tcPr>
            <w:tcW w:w="1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 estate</w:t>
            </w: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construction</w:t>
            </w: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461,717</w:t>
            </w: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40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461,717</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5,163</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3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5,163</w:t>
            </w:r>
          </w:p>
        </w:tc>
        <w:tc>
          <w:tcPr>
            <w:tcW w:w="0" w:type="dxa"/>
            <w:vAlign w:val="bottom"/>
          </w:tcPr>
          <w:p>
            <w:pPr>
              <w:spacing w:after="0"/>
              <w:rPr>
                <w:sz w:val="1"/>
                <w:szCs w:val="1"/>
                <w:color w:val="auto"/>
              </w:rPr>
            </w:pPr>
          </w:p>
        </w:tc>
      </w:tr>
      <w:tr>
        <w:trPr>
          <w:trHeight w:val="218"/>
        </w:trPr>
        <w:tc>
          <w:tcPr>
            <w:tcW w:w="1960" w:type="dxa"/>
            <w:vAlign w:val="bottom"/>
          </w:tcPr>
          <w:p>
            <w:pPr>
              <w:ind w:left="180"/>
              <w:spacing w:after="0" w:line="217" w:lineRule="exact"/>
              <w:rPr>
                <w:sz w:val="20"/>
                <w:szCs w:val="20"/>
                <w:color w:val="auto"/>
              </w:rPr>
            </w:pPr>
            <w:r>
              <w:rPr>
                <w:rFonts w:ascii="Verdana" w:cs="Verdana" w:eastAsia="Verdana" w:hAnsi="Verdana"/>
                <w:sz w:val="18"/>
                <w:szCs w:val="18"/>
                <w:color w:val="auto"/>
              </w:rPr>
              <w:t>Commercial loans</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and related ACL</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5,631,983</w:t>
            </w:r>
          </w:p>
        </w:tc>
        <w:tc>
          <w:tcPr>
            <w:tcW w:w="10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3,065</w:t>
            </w:r>
          </w:p>
        </w:tc>
        <w:tc>
          <w:tcPr>
            <w:tcW w:w="100" w:type="dxa"/>
            <w:vAlign w:val="bottom"/>
            <w:tcBorders>
              <w:bottom w:val="single" w:sz="8" w:color="E0E7ED"/>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5,635,048</w:t>
            </w:r>
          </w:p>
        </w:tc>
        <w:tc>
          <w:tcPr>
            <w:tcW w:w="80" w:type="dxa"/>
            <w:vAlign w:val="bottom"/>
            <w:tcBorders>
              <w:bottom w:val="single" w:sz="8" w:color="E0E7E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61,014</w:t>
            </w:r>
          </w:p>
        </w:tc>
        <w:tc>
          <w:tcPr>
            <w:tcW w:w="100" w:type="dxa"/>
            <w:vAlign w:val="bottom"/>
            <w:tcBorders>
              <w:bottom w:val="single" w:sz="8" w:color="E0E7E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870</w:t>
            </w:r>
          </w:p>
        </w:tc>
        <w:tc>
          <w:tcPr>
            <w:tcW w:w="100" w:type="dxa"/>
            <w:vAlign w:val="bottom"/>
            <w:tcBorders>
              <w:bottom w:val="single" w:sz="8" w:color="E0E7ED"/>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61,884</w:t>
            </w:r>
          </w:p>
        </w:tc>
        <w:tc>
          <w:tcPr>
            <w:tcW w:w="0" w:type="dxa"/>
            <w:vAlign w:val="bottom"/>
          </w:tcPr>
          <w:p>
            <w:pPr>
              <w:spacing w:after="0"/>
              <w:rPr>
                <w:sz w:val="1"/>
                <w:szCs w:val="1"/>
                <w:color w:val="auto"/>
              </w:rPr>
            </w:pPr>
          </w:p>
        </w:tc>
      </w:tr>
      <w:tr>
        <w:trPr>
          <w:trHeight w:val="257"/>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loans:</w:t>
            </w:r>
          </w:p>
        </w:tc>
        <w:tc>
          <w:tcPr>
            <w:tcW w:w="20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80" w:type="dxa"/>
            <w:vAlign w:val="bottom"/>
            <w:shd w:val="clear" w:color="auto" w:fill="E0E7ED"/>
          </w:tcPr>
          <w:p>
            <w:pPr>
              <w:spacing w:after="0"/>
              <w:rPr>
                <w:sz w:val="22"/>
                <w:szCs w:val="22"/>
                <w:color w:val="auto"/>
              </w:rPr>
            </w:pPr>
          </w:p>
        </w:tc>
        <w:tc>
          <w:tcPr>
            <w:tcW w:w="12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440" w:type="dxa"/>
            <w:vAlign w:val="bottom"/>
            <w:shd w:val="clear" w:color="auto" w:fill="E0E7ED"/>
          </w:tcPr>
          <w:p>
            <w:pPr>
              <w:spacing w:after="0"/>
              <w:rPr>
                <w:sz w:val="22"/>
                <w:szCs w:val="22"/>
                <w:color w:val="auto"/>
              </w:rPr>
            </w:pPr>
          </w:p>
        </w:tc>
        <w:tc>
          <w:tcPr>
            <w:tcW w:w="102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Pr>
          <w:p>
            <w:pPr>
              <w:ind w:left="360"/>
              <w:spacing w:after="0"/>
              <w:rPr>
                <w:sz w:val="20"/>
                <w:szCs w:val="20"/>
                <w:color w:val="auto"/>
              </w:rPr>
            </w:pPr>
            <w:r>
              <w:rPr>
                <w:rFonts w:ascii="Verdana" w:cs="Verdana" w:eastAsia="Verdana" w:hAnsi="Verdana"/>
                <w:sz w:val="18"/>
                <w:szCs w:val="18"/>
                <w:color w:val="auto"/>
              </w:rPr>
              <w:t>Retail real estate</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1,720,369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Verdana" w:cs="Verdana" w:eastAsia="Verdana" w:hAnsi="Verdana"/>
                <w:sz w:val="18"/>
                <w:szCs w:val="18"/>
                <w:color w:val="auto"/>
              </w:rPr>
              <w:t>86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1,720,455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26,273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Verdana" w:cs="Verdana" w:eastAsia="Verdana" w:hAnsi="Verdana"/>
                <w:sz w:val="18"/>
                <w:szCs w:val="18"/>
                <w:color w:val="auto"/>
              </w:rPr>
              <w:t>26,298</w:t>
            </w:r>
          </w:p>
        </w:tc>
        <w:tc>
          <w:tcPr>
            <w:tcW w:w="0" w:type="dxa"/>
            <w:vAlign w:val="bottom"/>
          </w:tcPr>
          <w:p>
            <w:pPr>
              <w:spacing w:after="0"/>
              <w:rPr>
                <w:sz w:val="1"/>
                <w:szCs w:val="1"/>
                <w:color w:val="auto"/>
              </w:rPr>
            </w:pPr>
          </w:p>
        </w:tc>
      </w:tr>
      <w:tr>
        <w:trPr>
          <w:trHeight w:val="277"/>
        </w:trPr>
        <w:tc>
          <w:tcPr>
            <w:tcW w:w="1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Retail other</w:t>
            </w:r>
          </w:p>
        </w:tc>
        <w:tc>
          <w:tcPr>
            <w:tcW w:w="20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295,531</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400" w:type="dxa"/>
            <w:vAlign w:val="bottom"/>
            <w:gridSpan w:val="2"/>
            <w:shd w:val="clear" w:color="auto" w:fill="E0E7ED"/>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295,531</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3,558</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shd w:val="clear" w:color="auto" w:fill="E0E7ED"/>
          </w:tcPr>
          <w:p>
            <w:pPr>
              <w:spacing w:after="0"/>
              <w:rPr>
                <w:sz w:val="24"/>
                <w:szCs w:val="24"/>
                <w:color w:val="auto"/>
              </w:rPr>
            </w:pPr>
          </w:p>
        </w:tc>
        <w:tc>
          <w:tcPr>
            <w:tcW w:w="10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3,558</w:t>
            </w:r>
          </w:p>
        </w:tc>
        <w:tc>
          <w:tcPr>
            <w:tcW w:w="0" w:type="dxa"/>
            <w:vAlign w:val="bottom"/>
          </w:tcPr>
          <w:p>
            <w:pPr>
              <w:spacing w:after="0"/>
              <w:rPr>
                <w:sz w:val="1"/>
                <w:szCs w:val="1"/>
                <w:color w:val="auto"/>
              </w:rPr>
            </w:pPr>
          </w:p>
        </w:tc>
      </w:tr>
      <w:tr>
        <w:trPr>
          <w:trHeight w:val="218"/>
        </w:trPr>
        <w:tc>
          <w:tcPr>
            <w:tcW w:w="1960" w:type="dxa"/>
            <w:vAlign w:val="bottom"/>
          </w:tcPr>
          <w:p>
            <w:pPr>
              <w:ind w:left="180"/>
              <w:spacing w:after="0" w:line="217" w:lineRule="exact"/>
              <w:rPr>
                <w:sz w:val="20"/>
                <w:szCs w:val="20"/>
                <w:color w:val="auto"/>
              </w:rPr>
            </w:pPr>
            <w:r>
              <w:rPr>
                <w:rFonts w:ascii="Verdana" w:cs="Verdana" w:eastAsia="Verdana" w:hAnsi="Verdana"/>
                <w:sz w:val="18"/>
                <w:szCs w:val="18"/>
                <w:color w:val="auto"/>
              </w:rPr>
              <w:t>Retail loans and</w:t>
            </w: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related ACL</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2,015,900</w:t>
            </w:r>
          </w:p>
        </w:tc>
        <w:tc>
          <w:tcPr>
            <w:tcW w:w="10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86</w:t>
            </w:r>
          </w:p>
        </w:tc>
        <w:tc>
          <w:tcPr>
            <w:tcW w:w="100" w:type="dxa"/>
            <w:vAlign w:val="bottom"/>
            <w:tcBorders>
              <w:bottom w:val="single" w:sz="8" w:color="E0E7ED"/>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2,015,986</w:t>
            </w:r>
          </w:p>
        </w:tc>
        <w:tc>
          <w:tcPr>
            <w:tcW w:w="80" w:type="dxa"/>
            <w:vAlign w:val="bottom"/>
            <w:tcBorders>
              <w:bottom w:val="single" w:sz="8" w:color="E0E7E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29,831</w:t>
            </w:r>
          </w:p>
        </w:tc>
        <w:tc>
          <w:tcPr>
            <w:tcW w:w="100" w:type="dxa"/>
            <w:vAlign w:val="bottom"/>
            <w:tcBorders>
              <w:bottom w:val="single" w:sz="8" w:color="E0E7E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tcBorders>
              <w:bottom w:val="single" w:sz="8" w:color="E0E7ED"/>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29,856</w:t>
            </w:r>
          </w:p>
        </w:tc>
        <w:tc>
          <w:tcPr>
            <w:tcW w:w="0" w:type="dxa"/>
            <w:vAlign w:val="bottom"/>
          </w:tcPr>
          <w:p>
            <w:pPr>
              <w:spacing w:after="0"/>
              <w:rPr>
                <w:sz w:val="1"/>
                <w:szCs w:val="1"/>
                <w:color w:val="auto"/>
              </w:rPr>
            </w:pPr>
          </w:p>
        </w:tc>
      </w:tr>
      <w:tr>
        <w:trPr>
          <w:trHeight w:val="224"/>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Portfolio loans and</w:t>
            </w:r>
          </w:p>
        </w:tc>
        <w:tc>
          <w:tcPr>
            <w:tcW w:w="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7,647,883</w:t>
            </w:r>
          </w:p>
        </w:tc>
        <w:tc>
          <w:tcPr>
            <w:tcW w:w="100" w:type="dxa"/>
            <w:vAlign w:val="bottom"/>
            <w:shd w:val="clear" w:color="auto" w:fill="E0E7ED"/>
          </w:tcPr>
          <w:p>
            <w:pPr>
              <w:spacing w:after="0"/>
              <w:rPr>
                <w:sz w:val="19"/>
                <w:szCs w:val="19"/>
                <w:color w:val="auto"/>
              </w:rPr>
            </w:pP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vMerge w:val="restart"/>
            <w:shd w:val="clear" w:color="auto" w:fill="E0E7ED"/>
          </w:tcPr>
          <w:p>
            <w:pPr>
              <w:jc w:val="right"/>
              <w:ind w:right="19"/>
              <w:spacing w:after="0"/>
              <w:rPr>
                <w:sz w:val="20"/>
                <w:szCs w:val="20"/>
                <w:color w:val="auto"/>
              </w:rPr>
            </w:pPr>
            <w:r>
              <w:rPr>
                <w:rFonts w:ascii="Verdana" w:cs="Verdana" w:eastAsia="Verdana" w:hAnsi="Verdana"/>
                <w:sz w:val="18"/>
                <w:szCs w:val="18"/>
                <w:color w:val="auto"/>
              </w:rPr>
              <w:t>3,151</w:t>
            </w:r>
          </w:p>
        </w:tc>
        <w:tc>
          <w:tcPr>
            <w:tcW w:w="100" w:type="dxa"/>
            <w:vAlign w:val="bottom"/>
            <w:shd w:val="clear" w:color="auto" w:fill="E0E7ED"/>
          </w:tcPr>
          <w:p>
            <w:pPr>
              <w:spacing w:after="0"/>
              <w:rPr>
                <w:sz w:val="19"/>
                <w:szCs w:val="19"/>
                <w:color w:val="auto"/>
              </w:rPr>
            </w:pPr>
          </w:p>
        </w:tc>
        <w:tc>
          <w:tcPr>
            <w:tcW w:w="280" w:type="dxa"/>
            <w:vAlign w:val="bottom"/>
            <w:vMerge w:val="restart"/>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200" w:type="dxa"/>
            <w:vAlign w:val="bottom"/>
            <w:vMerge w:val="restart"/>
            <w:shd w:val="clear" w:color="auto" w:fill="E0E7ED"/>
          </w:tcPr>
          <w:p>
            <w:pPr>
              <w:jc w:val="right"/>
              <w:ind w:right="15"/>
              <w:spacing w:after="0"/>
              <w:rPr>
                <w:sz w:val="20"/>
                <w:szCs w:val="20"/>
                <w:color w:val="auto"/>
              </w:rPr>
            </w:pPr>
            <w:r>
              <w:rPr>
                <w:rFonts w:ascii="Verdana" w:cs="Verdana" w:eastAsia="Verdana" w:hAnsi="Verdana"/>
                <w:sz w:val="18"/>
                <w:szCs w:val="18"/>
                <w:color w:val="auto"/>
              </w:rPr>
              <w:t>7,651,034</w:t>
            </w:r>
          </w:p>
        </w:tc>
        <w:tc>
          <w:tcPr>
            <w:tcW w:w="80" w:type="dxa"/>
            <w:vAlign w:val="bottom"/>
            <w:shd w:val="clear" w:color="auto" w:fill="E0E7ED"/>
          </w:tcPr>
          <w:p>
            <w:pPr>
              <w:spacing w:after="0"/>
              <w:rPr>
                <w:sz w:val="19"/>
                <w:szCs w:val="19"/>
                <w:color w:val="auto"/>
              </w:rPr>
            </w:pPr>
          </w:p>
        </w:tc>
        <w:tc>
          <w:tcPr>
            <w:tcW w:w="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90,845</w:t>
            </w:r>
          </w:p>
        </w:tc>
        <w:tc>
          <w:tcPr>
            <w:tcW w:w="100" w:type="dxa"/>
            <w:vAlign w:val="bottom"/>
            <w:shd w:val="clear" w:color="auto" w:fill="E0E7ED"/>
          </w:tcPr>
          <w:p>
            <w:pPr>
              <w:spacing w:after="0"/>
              <w:rPr>
                <w:sz w:val="19"/>
                <w:szCs w:val="19"/>
                <w:color w:val="auto"/>
              </w:rPr>
            </w:pPr>
          </w:p>
        </w:tc>
        <w:tc>
          <w:tcPr>
            <w:tcW w:w="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895</w:t>
            </w:r>
          </w:p>
        </w:tc>
        <w:tc>
          <w:tcPr>
            <w:tcW w:w="100" w:type="dxa"/>
            <w:vAlign w:val="bottom"/>
            <w:shd w:val="clear" w:color="auto" w:fill="E0E7ED"/>
          </w:tcPr>
          <w:p>
            <w:pPr>
              <w:spacing w:after="0"/>
              <w:rPr>
                <w:sz w:val="19"/>
                <w:szCs w:val="19"/>
                <w:color w:val="auto"/>
              </w:rPr>
            </w:pPr>
          </w:p>
        </w:tc>
        <w:tc>
          <w:tcPr>
            <w:tcW w:w="440" w:type="dxa"/>
            <w:vAlign w:val="bottom"/>
            <w:vMerge w:val="restart"/>
            <w:shd w:val="clear" w:color="auto" w:fill="E0E7ED"/>
          </w:tcPr>
          <w:p>
            <w:pPr>
              <w:jc w:val="right"/>
              <w:ind w:right="210"/>
              <w:spacing w:after="0"/>
              <w:rPr>
                <w:sz w:val="20"/>
                <w:szCs w:val="20"/>
                <w:color w:val="auto"/>
              </w:rPr>
            </w:pPr>
            <w:r>
              <w:rPr>
                <w:rFonts w:ascii="Verdana" w:cs="Verdana" w:eastAsia="Verdana" w:hAnsi="Verdana"/>
                <w:sz w:val="18"/>
                <w:szCs w:val="18"/>
                <w:color w:val="auto"/>
              </w:rPr>
              <w:t>$</w:t>
            </w:r>
          </w:p>
        </w:tc>
        <w:tc>
          <w:tcPr>
            <w:tcW w:w="10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91,740</w:t>
            </w:r>
          </w:p>
        </w:tc>
        <w:tc>
          <w:tcPr>
            <w:tcW w:w="0" w:type="dxa"/>
            <w:vAlign w:val="bottom"/>
          </w:tcPr>
          <w:p>
            <w:pPr>
              <w:spacing w:after="0"/>
              <w:rPr>
                <w:sz w:val="1"/>
                <w:szCs w:val="1"/>
                <w:color w:val="auto"/>
              </w:rPr>
            </w:pPr>
          </w:p>
        </w:tc>
      </w:tr>
      <w:tr>
        <w:trPr>
          <w:trHeight w:val="241"/>
        </w:trPr>
        <w:tc>
          <w:tcPr>
            <w:tcW w:w="1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related ACL</w:t>
            </w:r>
          </w:p>
        </w:tc>
        <w:tc>
          <w:tcPr>
            <w:tcW w:w="200" w:type="dxa"/>
            <w:vAlign w:val="bottom"/>
            <w:tcBorders>
              <w:bottom w:val="single" w:sz="8" w:color="auto"/>
            </w:tcBorders>
            <w:vMerge w:val="continue"/>
            <w:shd w:val="clear" w:color="auto" w:fill="E0E7ED"/>
          </w:tcPr>
          <w:p>
            <w:pPr>
              <w:spacing w:after="0"/>
              <w:rPr>
                <w:sz w:val="20"/>
                <w:szCs w:val="20"/>
                <w:color w:val="auto"/>
              </w:rPr>
            </w:pPr>
          </w:p>
        </w:tc>
        <w:tc>
          <w:tcPr>
            <w:tcW w:w="126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vMerge w:val="continue"/>
            <w:shd w:val="clear" w:color="auto" w:fill="E0E7ED"/>
          </w:tcPr>
          <w:p>
            <w:pPr>
              <w:spacing w:after="0"/>
              <w:rPr>
                <w:sz w:val="20"/>
                <w:szCs w:val="20"/>
                <w:color w:val="auto"/>
              </w:rPr>
            </w:pPr>
          </w:p>
        </w:tc>
        <w:tc>
          <w:tcPr>
            <w:tcW w:w="130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80" w:type="dxa"/>
            <w:vAlign w:val="bottom"/>
            <w:tcBorders>
              <w:bottom w:val="single" w:sz="8" w:color="auto"/>
            </w:tcBorders>
            <w:vMerge w:val="continue"/>
            <w:shd w:val="clear" w:color="auto" w:fill="E0E7ED"/>
          </w:tcPr>
          <w:p>
            <w:pPr>
              <w:spacing w:after="0"/>
              <w:rPr>
                <w:sz w:val="20"/>
                <w:szCs w:val="20"/>
                <w:color w:val="auto"/>
              </w:rPr>
            </w:pPr>
          </w:p>
        </w:tc>
        <w:tc>
          <w:tcPr>
            <w:tcW w:w="120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auto"/>
            </w:tcBorders>
            <w:vMerge w:val="continue"/>
            <w:shd w:val="clear" w:color="auto" w:fill="E0E7ED"/>
          </w:tcPr>
          <w:p>
            <w:pPr>
              <w:spacing w:after="0"/>
              <w:rPr>
                <w:sz w:val="20"/>
                <w:szCs w:val="20"/>
                <w:color w:val="auto"/>
              </w:rPr>
            </w:pPr>
          </w:p>
        </w:tc>
        <w:tc>
          <w:tcPr>
            <w:tcW w:w="128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auto"/>
            </w:tcBorders>
            <w:vMerge w:val="continue"/>
            <w:shd w:val="clear" w:color="auto" w:fill="E0E7ED"/>
          </w:tcPr>
          <w:p>
            <w:pPr>
              <w:spacing w:after="0"/>
              <w:rPr>
                <w:sz w:val="20"/>
                <w:szCs w:val="20"/>
                <w:color w:val="auto"/>
              </w:rPr>
            </w:pPr>
          </w:p>
        </w:tc>
        <w:tc>
          <w:tcPr>
            <w:tcW w:w="126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440" w:type="dxa"/>
            <w:vAlign w:val="bottom"/>
            <w:tcBorders>
              <w:bottom w:val="single" w:sz="8" w:color="auto"/>
            </w:tcBorders>
            <w:vMerge w:val="continue"/>
            <w:shd w:val="clear" w:color="auto" w:fill="E0E7ED"/>
          </w:tcPr>
          <w:p>
            <w:pPr>
              <w:spacing w:after="0"/>
              <w:rPr>
                <w:sz w:val="20"/>
                <w:szCs w:val="20"/>
                <w:color w:val="auto"/>
              </w:rPr>
            </w:pPr>
          </w:p>
        </w:tc>
        <w:tc>
          <w:tcPr>
            <w:tcW w:w="102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3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44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4. LEASES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 as the Lessee</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has operating leases consisting primarily of equipment leases and real estate leases for banking centers, ATM locations, and office space. The following table summarizes lease-related information and balances Busey reported in its Consolidated Balance Sheets (Unaudited)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Verdana" w:cs="Verdana" w:eastAsia="Verdana" w:hAnsi="Verdana"/>
                <w:sz w:val="13"/>
                <w:szCs w:val="13"/>
                <w:b w:val="1"/>
                <w:bCs w:val="1"/>
                <w:color w:val="auto"/>
              </w:rPr>
              <w:t>As of</w:t>
            </w:r>
          </w:p>
        </w:tc>
        <w:tc>
          <w:tcPr>
            <w:tcW w:w="1440" w:type="dxa"/>
            <w:vAlign w:val="bottom"/>
            <w:tcBorders>
              <w:bottom w:val="single" w:sz="8" w:color="auto"/>
            </w:tcBorders>
          </w:tcPr>
          <w:p>
            <w:pPr>
              <w:spacing w:after="0"/>
              <w:rPr>
                <w:sz w:val="15"/>
                <w:szCs w:val="15"/>
                <w:color w:val="auto"/>
              </w:rPr>
            </w:pPr>
          </w:p>
        </w:tc>
      </w:tr>
      <w:tr>
        <w:trPr>
          <w:trHeight w:val="122"/>
        </w:trPr>
        <w:tc>
          <w:tcPr>
            <w:tcW w:w="466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March 31,</w:t>
            </w:r>
          </w:p>
        </w:tc>
        <w:tc>
          <w:tcPr>
            <w:tcW w:w="240" w:type="dxa"/>
            <w:vAlign w:val="bottom"/>
          </w:tcPr>
          <w:p>
            <w:pPr>
              <w:spacing w:after="0"/>
              <w:rPr>
                <w:sz w:val="10"/>
                <w:szCs w:val="10"/>
                <w:color w:val="auto"/>
              </w:rPr>
            </w:pPr>
          </w:p>
        </w:tc>
        <w:tc>
          <w:tcPr>
            <w:tcW w:w="1440" w:type="dxa"/>
            <w:vAlign w:val="bottom"/>
          </w:tcPr>
          <w:p>
            <w:pPr>
              <w:jc w:val="right"/>
              <w:ind w:right="258"/>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4660" w:type="dxa"/>
            <w:vAlign w:val="bottom"/>
            <w:tcBorders>
              <w:bottom w:val="single" w:sz="8" w:color="E0E7ED"/>
            </w:tcBorders>
          </w:tcPr>
          <w:p>
            <w:pPr>
              <w:spacing w:after="0"/>
              <w:rPr>
                <w:sz w:val="14"/>
                <w:szCs w:val="14"/>
                <w:color w:val="auto"/>
              </w:rPr>
            </w:pPr>
          </w:p>
        </w:tc>
        <w:tc>
          <w:tcPr>
            <w:tcW w:w="314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80"/>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78"/>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6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Lease balances</w:t>
            </w:r>
          </w:p>
        </w:tc>
        <w:tc>
          <w:tcPr>
            <w:tcW w:w="314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3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440" w:type="dxa"/>
            <w:vAlign w:val="bottom"/>
            <w:shd w:val="clear" w:color="auto" w:fill="E0E7ED"/>
          </w:tcPr>
          <w:p>
            <w:pPr>
              <w:spacing w:after="0"/>
              <w:rPr>
                <w:sz w:val="22"/>
                <w:szCs w:val="22"/>
                <w:color w:val="auto"/>
              </w:rPr>
            </w:pPr>
          </w:p>
        </w:tc>
      </w:tr>
      <w:tr>
        <w:trPr>
          <w:trHeight w:val="263"/>
        </w:trPr>
        <w:tc>
          <w:tcPr>
            <w:tcW w:w="4660" w:type="dxa"/>
            <w:vAlign w:val="bottom"/>
          </w:tcPr>
          <w:p>
            <w:pPr>
              <w:ind w:left="180"/>
              <w:spacing w:after="0"/>
              <w:rPr>
                <w:sz w:val="20"/>
                <w:szCs w:val="20"/>
                <w:color w:val="auto"/>
              </w:rPr>
            </w:pPr>
            <w:r>
              <w:rPr>
                <w:rFonts w:ascii="Verdana" w:cs="Verdana" w:eastAsia="Verdana" w:hAnsi="Verdana"/>
                <w:sz w:val="18"/>
                <w:szCs w:val="18"/>
                <w:color w:val="auto"/>
              </w:rPr>
              <w:t>Right of use assets</w:t>
            </w:r>
          </w:p>
        </w:tc>
        <w:tc>
          <w:tcPr>
            <w:tcW w:w="34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380" w:type="dxa"/>
            <w:vAlign w:val="bottom"/>
          </w:tcPr>
          <w:p>
            <w:pPr>
              <w:jc w:val="right"/>
              <w:ind w:right="200"/>
              <w:spacing w:after="0"/>
              <w:rPr>
                <w:sz w:val="20"/>
                <w:szCs w:val="20"/>
                <w:color w:val="auto"/>
              </w:rPr>
            </w:pPr>
            <w:r>
              <w:rPr>
                <w:rFonts w:ascii="Verdana" w:cs="Verdana" w:eastAsia="Verdana" w:hAnsi="Verdana"/>
                <w:sz w:val="18"/>
                <w:szCs w:val="18"/>
                <w:color w:val="auto"/>
              </w:rPr>
              <w:t>10,590</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tcPr>
          <w:p>
            <w:pPr>
              <w:jc w:val="right"/>
              <w:ind w:right="198"/>
              <w:spacing w:after="0"/>
              <w:rPr>
                <w:sz w:val="20"/>
                <w:szCs w:val="20"/>
                <w:color w:val="auto"/>
              </w:rPr>
            </w:pPr>
            <w:r>
              <w:rPr>
                <w:rFonts w:ascii="Verdana" w:cs="Verdana" w:eastAsia="Verdana" w:hAnsi="Verdana"/>
                <w:sz w:val="18"/>
                <w:szCs w:val="18"/>
                <w:color w:val="auto"/>
              </w:rPr>
              <w:t>11,027</w:t>
            </w:r>
          </w:p>
        </w:tc>
      </w:tr>
      <w:tr>
        <w:trPr>
          <w:trHeight w:val="277"/>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Lease liabilities</w:t>
            </w:r>
          </w:p>
        </w:tc>
        <w:tc>
          <w:tcPr>
            <w:tcW w:w="314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80" w:type="dxa"/>
            <w:vAlign w:val="bottom"/>
            <w:shd w:val="clear" w:color="auto" w:fill="E0E7ED"/>
          </w:tcPr>
          <w:p>
            <w:pPr>
              <w:jc w:val="right"/>
              <w:ind w:right="200"/>
              <w:spacing w:after="0"/>
              <w:rPr>
                <w:sz w:val="20"/>
                <w:szCs w:val="20"/>
                <w:color w:val="auto"/>
              </w:rPr>
            </w:pPr>
            <w:r>
              <w:rPr>
                <w:rFonts w:ascii="Verdana" w:cs="Verdana" w:eastAsia="Verdana" w:hAnsi="Verdana"/>
                <w:sz w:val="18"/>
                <w:szCs w:val="18"/>
                <w:color w:val="auto"/>
              </w:rPr>
              <w:t>10,896</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8"/>
              <w:spacing w:after="0"/>
              <w:rPr>
                <w:sz w:val="20"/>
                <w:szCs w:val="20"/>
                <w:color w:val="auto"/>
              </w:rPr>
            </w:pPr>
            <w:r>
              <w:rPr>
                <w:rFonts w:ascii="Verdana" w:cs="Verdana" w:eastAsia="Verdana" w:hAnsi="Verdana"/>
                <w:sz w:val="18"/>
                <w:szCs w:val="18"/>
                <w:color w:val="auto"/>
              </w:rPr>
              <w:t>11,308</w:t>
            </w:r>
          </w:p>
        </w:tc>
      </w:tr>
      <w:tr>
        <w:trPr>
          <w:trHeight w:val="270"/>
        </w:trPr>
        <w:tc>
          <w:tcPr>
            <w:tcW w:w="466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46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Supplemental information</w:t>
            </w:r>
          </w:p>
        </w:tc>
        <w:tc>
          <w:tcPr>
            <w:tcW w:w="314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3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r>
      <w:tr>
        <w:trPr>
          <w:trHeight w:val="263"/>
        </w:trPr>
        <w:tc>
          <w:tcPr>
            <w:tcW w:w="4660" w:type="dxa"/>
            <w:vAlign w:val="bottom"/>
          </w:tcPr>
          <w:p>
            <w:pPr>
              <w:ind w:left="180"/>
              <w:spacing w:after="0"/>
              <w:rPr>
                <w:sz w:val="20"/>
                <w:szCs w:val="20"/>
                <w:color w:val="auto"/>
              </w:rPr>
            </w:pPr>
            <w:r>
              <w:rPr>
                <w:rFonts w:ascii="Verdana" w:cs="Verdana" w:eastAsia="Verdana" w:hAnsi="Verdana"/>
                <w:sz w:val="18"/>
                <w:szCs w:val="18"/>
                <w:color w:val="auto"/>
              </w:rPr>
              <w:t>Year through which lease terms extend</w:t>
            </w:r>
          </w:p>
        </w:tc>
        <w:tc>
          <w:tcPr>
            <w:tcW w:w="3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2037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2037</w:t>
            </w:r>
          </w:p>
        </w:tc>
      </w:tr>
      <w:tr>
        <w:trPr>
          <w:trHeight w:val="277"/>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remaining lease term</w:t>
            </w:r>
          </w:p>
        </w:tc>
        <w:tc>
          <w:tcPr>
            <w:tcW w:w="314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6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8"/>
                <w:szCs w:val="18"/>
                <w:color w:val="auto"/>
              </w:rPr>
              <w:t>8.26 years</w:t>
            </w: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8.39 years</w:t>
            </w:r>
          </w:p>
        </w:tc>
      </w:tr>
      <w:tr>
        <w:trPr>
          <w:trHeight w:val="257"/>
        </w:trPr>
        <w:tc>
          <w:tcPr>
            <w:tcW w:w="4660" w:type="dxa"/>
            <w:vAlign w:val="bottom"/>
          </w:tcPr>
          <w:p>
            <w:pPr>
              <w:ind w:left="180"/>
              <w:spacing w:after="0"/>
              <w:rPr>
                <w:sz w:val="20"/>
                <w:szCs w:val="20"/>
                <w:color w:val="auto"/>
              </w:rPr>
            </w:pPr>
            <w:r>
              <w:rPr>
                <w:rFonts w:ascii="Verdana" w:cs="Verdana" w:eastAsia="Verdana" w:hAnsi="Verdana"/>
                <w:sz w:val="18"/>
                <w:szCs w:val="18"/>
                <w:color w:val="auto"/>
              </w:rPr>
              <w:t>Weighted average discount rate</w:t>
            </w:r>
          </w:p>
        </w:tc>
        <w:tc>
          <w:tcPr>
            <w:tcW w:w="3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3.61 %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3.59 %</w:t>
            </w:r>
          </w:p>
        </w:tc>
      </w:tr>
      <w:tr>
        <w:trPr>
          <w:trHeight w:val="931"/>
        </w:trPr>
        <w:tc>
          <w:tcPr>
            <w:tcW w:w="4660" w:type="dxa"/>
            <w:vAlign w:val="bottom"/>
          </w:tcPr>
          <w:p>
            <w:pPr>
              <w:spacing w:after="0"/>
              <w:rPr>
                <w:sz w:val="24"/>
                <w:szCs w:val="24"/>
                <w:color w:val="auto"/>
              </w:rPr>
            </w:pPr>
          </w:p>
        </w:tc>
        <w:tc>
          <w:tcPr>
            <w:tcW w:w="3140" w:type="dxa"/>
            <w:vAlign w:val="bottom"/>
          </w:tcPr>
          <w:p>
            <w:pPr>
              <w:jc w:val="right"/>
              <w:ind w:right="1970"/>
              <w:spacing w:after="0"/>
              <w:rPr>
                <w:sz w:val="20"/>
                <w:szCs w:val="20"/>
                <w:color w:val="auto"/>
              </w:rPr>
            </w:pPr>
            <w:r>
              <w:rPr>
                <w:rFonts w:ascii="Verdana" w:cs="Verdana" w:eastAsia="Verdana" w:hAnsi="Verdana"/>
                <w:sz w:val="18"/>
                <w:szCs w:val="18"/>
                <w:color w:val="auto"/>
              </w:rPr>
              <w:t>33</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7"/>
        </w:trPr>
        <w:tc>
          <w:tcPr>
            <w:tcW w:w="46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3" w:name="page34"/>
    <w:bookmarkEnd w:id="3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following table represents lease costs and cash flows related to leases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660" w:type="dxa"/>
            <w:vAlign w:val="bottom"/>
            <w:tcBorders>
              <w:bottom w:val="single" w:sz="8" w:color="auto"/>
            </w:tcBorders>
            <w:gridSpan w:val="4"/>
          </w:tcPr>
          <w:p>
            <w:pPr>
              <w:jc w:val="right"/>
              <w:spacing w:after="0"/>
              <w:rPr>
                <w:sz w:val="20"/>
                <w:szCs w:val="20"/>
                <w:color w:val="auto"/>
              </w:rPr>
            </w:pPr>
            <w:r>
              <w:rPr>
                <w:rFonts w:ascii="Verdana" w:cs="Verdana" w:eastAsia="Verdana" w:hAnsi="Verdana"/>
                <w:sz w:val="13"/>
                <w:szCs w:val="13"/>
                <w:b w:val="1"/>
                <w:bCs w:val="1"/>
                <w:color w:val="auto"/>
              </w:rPr>
              <w:t>Three Months Ended March 31,</w:t>
            </w:r>
          </w:p>
        </w:tc>
        <w:tc>
          <w:tcPr>
            <w:tcW w:w="460" w:type="dxa"/>
            <w:vAlign w:val="bottom"/>
            <w:tcBorders>
              <w:bottom w:val="single" w:sz="8" w:color="auto"/>
            </w:tcBorders>
          </w:tcPr>
          <w:p>
            <w:pPr>
              <w:spacing w:after="0"/>
              <w:rPr>
                <w:sz w:val="15"/>
                <w:szCs w:val="15"/>
                <w:color w:val="auto"/>
              </w:rPr>
            </w:pPr>
          </w:p>
        </w:tc>
      </w:tr>
      <w:tr>
        <w:trPr>
          <w:trHeight w:val="170"/>
        </w:trPr>
        <w:tc>
          <w:tcPr>
            <w:tcW w:w="8120" w:type="dxa"/>
            <w:vAlign w:val="bottom"/>
            <w:tcBorders>
              <w:bottom w:val="single" w:sz="8" w:color="E0E7ED"/>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06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Lease costs</w:t>
            </w:r>
          </w:p>
        </w:tc>
        <w:tc>
          <w:tcPr>
            <w:tcW w:w="1000" w:type="dxa"/>
            <w:vAlign w:val="bottom"/>
            <w:shd w:val="clear" w:color="auto" w:fill="E0E7ED"/>
          </w:tcPr>
          <w:p>
            <w:pPr>
              <w:spacing w:after="0"/>
              <w:rPr>
                <w:sz w:val="22"/>
                <w:szCs w:val="22"/>
                <w:color w:val="auto"/>
              </w:rPr>
            </w:pPr>
          </w:p>
        </w:tc>
        <w:tc>
          <w:tcPr>
            <w:tcW w:w="5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46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Operating lease costs</w:t>
            </w:r>
          </w:p>
        </w:tc>
        <w:tc>
          <w:tcPr>
            <w:tcW w:w="1000" w:type="dxa"/>
            <w:vAlign w:val="bottom"/>
          </w:tcPr>
          <w:p>
            <w:pPr>
              <w:jc w:val="right"/>
              <w:ind w:right="781"/>
              <w:spacing w:after="0"/>
              <w:rPr>
                <w:sz w:val="20"/>
                <w:szCs w:val="20"/>
                <w:color w:val="auto"/>
              </w:rPr>
            </w:pPr>
            <w:r>
              <w:rPr>
                <w:rFonts w:ascii="Verdana" w:cs="Verdana" w:eastAsia="Verdana" w:hAnsi="Verdana"/>
                <w:sz w:val="18"/>
                <w:szCs w:val="18"/>
                <w:color w:val="auto"/>
              </w:rPr>
              <w:t>$</w:t>
            </w:r>
          </w:p>
        </w:tc>
        <w:tc>
          <w:tcPr>
            <w:tcW w:w="520" w:type="dxa"/>
            <w:vAlign w:val="bottom"/>
          </w:tcPr>
          <w:p>
            <w:pPr>
              <w:jc w:val="right"/>
              <w:ind w:right="10"/>
              <w:spacing w:after="0"/>
              <w:rPr>
                <w:sz w:val="20"/>
                <w:szCs w:val="20"/>
                <w:color w:val="auto"/>
              </w:rPr>
            </w:pPr>
            <w:r>
              <w:rPr>
                <w:rFonts w:ascii="Verdana" w:cs="Verdana" w:eastAsia="Verdana" w:hAnsi="Verdana"/>
                <w:sz w:val="18"/>
                <w:szCs w:val="18"/>
                <w:color w:val="auto"/>
              </w:rPr>
              <w:t>535</w:t>
            </w:r>
          </w:p>
        </w:tc>
        <w:tc>
          <w:tcPr>
            <w:tcW w:w="80" w:type="dxa"/>
            <w:vAlign w:val="bottom"/>
          </w:tcPr>
          <w:p>
            <w:pPr>
              <w:spacing w:after="0"/>
              <w:rPr>
                <w:sz w:val="22"/>
                <w:szCs w:val="22"/>
                <w:color w:val="auto"/>
              </w:rPr>
            </w:pPr>
          </w:p>
        </w:tc>
        <w:tc>
          <w:tcPr>
            <w:tcW w:w="1060" w:type="dxa"/>
            <w:vAlign w:val="bottom"/>
          </w:tcPr>
          <w:p>
            <w:pPr>
              <w:jc w:val="right"/>
              <w:ind w:right="837"/>
              <w:spacing w:after="0"/>
              <w:rPr>
                <w:sz w:val="20"/>
                <w:szCs w:val="20"/>
                <w:color w:val="auto"/>
              </w:rPr>
            </w:pPr>
            <w:r>
              <w:rPr>
                <w:rFonts w:ascii="Verdana" w:cs="Verdana" w:eastAsia="Verdana" w:hAnsi="Verdana"/>
                <w:sz w:val="18"/>
                <w:szCs w:val="18"/>
                <w:color w:val="auto"/>
              </w:rPr>
              <w:t>$</w:t>
            </w:r>
          </w:p>
        </w:tc>
        <w:tc>
          <w:tcPr>
            <w:tcW w:w="460" w:type="dxa"/>
            <w:vAlign w:val="bottom"/>
          </w:tcPr>
          <w:p>
            <w:pPr>
              <w:jc w:val="right"/>
              <w:spacing w:after="0"/>
              <w:rPr>
                <w:sz w:val="20"/>
                <w:szCs w:val="20"/>
                <w:color w:val="auto"/>
              </w:rPr>
            </w:pPr>
            <w:r>
              <w:rPr>
                <w:rFonts w:ascii="Verdana" w:cs="Verdana" w:eastAsia="Verdana" w:hAnsi="Verdana"/>
                <w:sz w:val="18"/>
                <w:szCs w:val="18"/>
                <w:color w:val="auto"/>
              </w:rPr>
              <w:t>628</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Variable lease costs</w:t>
            </w:r>
          </w:p>
        </w:tc>
        <w:tc>
          <w:tcPr>
            <w:tcW w:w="1000" w:type="dxa"/>
            <w:vAlign w:val="bottom"/>
            <w:shd w:val="clear" w:color="auto" w:fill="E0E7ED"/>
          </w:tcPr>
          <w:p>
            <w:pPr>
              <w:spacing w:after="0"/>
              <w:rPr>
                <w:sz w:val="24"/>
                <w:szCs w:val="24"/>
                <w:color w:val="auto"/>
              </w:rPr>
            </w:pPr>
          </w:p>
        </w:tc>
        <w:tc>
          <w:tcPr>
            <w:tcW w:w="5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14</w:t>
            </w:r>
          </w:p>
        </w:tc>
        <w:tc>
          <w:tcPr>
            <w:tcW w:w="80" w:type="dxa"/>
            <w:vAlign w:val="bottom"/>
            <w:shd w:val="clear" w:color="auto" w:fill="E0E7ED"/>
          </w:tcPr>
          <w:p>
            <w:pPr>
              <w:spacing w:after="0"/>
              <w:rPr>
                <w:sz w:val="24"/>
                <w:szCs w:val="24"/>
                <w:color w:val="auto"/>
              </w:rPr>
            </w:pPr>
          </w:p>
        </w:tc>
        <w:tc>
          <w:tcPr>
            <w:tcW w:w="1060" w:type="dxa"/>
            <w:vAlign w:val="bottom"/>
            <w:shd w:val="clear" w:color="auto" w:fill="E0E7ED"/>
          </w:tcPr>
          <w:p>
            <w:pPr>
              <w:spacing w:after="0"/>
              <w:rPr>
                <w:sz w:val="24"/>
                <w:szCs w:val="24"/>
                <w:color w:val="auto"/>
              </w:rPr>
            </w:pPr>
          </w:p>
        </w:tc>
        <w:tc>
          <w:tcPr>
            <w:tcW w:w="46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5</w:t>
            </w: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Short-term lease costs</w:t>
            </w: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13</w:t>
            </w:r>
          </w:p>
        </w:tc>
        <w:tc>
          <w:tcPr>
            <w:tcW w:w="80" w:type="dxa"/>
            <w:vAlign w:val="bottom"/>
            <w:tcBorders>
              <w:bottom w:val="single" w:sz="8" w:color="E0E7ED"/>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6</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lease cost</w:t>
            </w:r>
            <w:r>
              <w:rPr>
                <w:rFonts w:ascii="Verdana" w:cs="Verdana" w:eastAsia="Verdana" w:hAnsi="Verdana"/>
                <w:sz w:val="11"/>
                <w:szCs w:val="11"/>
                <w:color w:val="auto"/>
              </w:rPr>
              <w:t>1</w:t>
            </w:r>
          </w:p>
        </w:tc>
        <w:tc>
          <w:tcPr>
            <w:tcW w:w="1000" w:type="dxa"/>
            <w:vAlign w:val="bottom"/>
            <w:tcBorders>
              <w:bottom w:val="single" w:sz="8" w:color="auto"/>
            </w:tcBorders>
            <w:shd w:val="clear" w:color="auto" w:fill="E0E7ED"/>
          </w:tcPr>
          <w:p>
            <w:pPr>
              <w:jc w:val="right"/>
              <w:ind w:right="781"/>
              <w:spacing w:after="0"/>
              <w:rPr>
                <w:sz w:val="20"/>
                <w:szCs w:val="20"/>
                <w:color w:val="auto"/>
              </w:rPr>
            </w:pPr>
            <w:r>
              <w:rPr>
                <w:rFonts w:ascii="Verdana" w:cs="Verdana" w:eastAsia="Verdana" w:hAnsi="Verdana"/>
                <w:sz w:val="18"/>
                <w:szCs w:val="18"/>
                <w:color w:val="auto"/>
              </w:rPr>
              <w:t>$</w:t>
            </w:r>
          </w:p>
        </w:tc>
        <w:tc>
          <w:tcPr>
            <w:tcW w:w="5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562</w:t>
            </w:r>
          </w:p>
        </w:tc>
        <w:tc>
          <w:tcPr>
            <w:tcW w:w="80" w:type="dxa"/>
            <w:vAlign w:val="bottom"/>
            <w:tcBorders>
              <w:bottom w:val="single" w:sz="8" w:color="E0E7ED"/>
            </w:tcBorders>
            <w:shd w:val="clear" w:color="auto" w:fill="E0E7ED"/>
          </w:tcPr>
          <w:p>
            <w:pPr>
              <w:spacing w:after="0"/>
              <w:rPr>
                <w:sz w:val="24"/>
                <w:szCs w:val="24"/>
                <w:color w:val="auto"/>
              </w:rPr>
            </w:pPr>
          </w:p>
        </w:tc>
        <w:tc>
          <w:tcPr>
            <w:tcW w:w="1060" w:type="dxa"/>
            <w:vAlign w:val="bottom"/>
            <w:tcBorders>
              <w:bottom w:val="single" w:sz="8" w:color="auto"/>
            </w:tcBorders>
            <w:shd w:val="clear" w:color="auto" w:fill="E0E7ED"/>
          </w:tcPr>
          <w:p>
            <w:pPr>
              <w:jc w:val="right"/>
              <w:ind w:right="837"/>
              <w:spacing w:after="0"/>
              <w:rPr>
                <w:sz w:val="20"/>
                <w:szCs w:val="20"/>
                <w:color w:val="auto"/>
              </w:rPr>
            </w:pPr>
            <w:r>
              <w:rPr>
                <w:rFonts w:ascii="Verdana" w:cs="Verdana" w:eastAsia="Verdana" w:hAnsi="Verdana"/>
                <w:sz w:val="18"/>
                <w:szCs w:val="18"/>
                <w:color w:val="auto"/>
              </w:rPr>
              <w:t>$</w:t>
            </w:r>
          </w:p>
        </w:tc>
        <w:tc>
          <w:tcPr>
            <w:tcW w:w="4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639</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1000" w:type="dxa"/>
            <w:vAlign w:val="bottom"/>
            <w:tcBorders>
              <w:top w:val="single" w:sz="8" w:color="E0E7ED"/>
              <w:bottom w:val="single" w:sz="8" w:color="auto"/>
            </w:tcBorders>
          </w:tcPr>
          <w:p>
            <w:pPr>
              <w:spacing w:after="0" w:line="20" w:lineRule="exact"/>
              <w:rPr>
                <w:sz w:val="1"/>
                <w:szCs w:val="1"/>
                <w:color w:val="auto"/>
              </w:rPr>
            </w:pPr>
          </w:p>
        </w:tc>
        <w:tc>
          <w:tcPr>
            <w:tcW w:w="5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46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Cash flows related to leases</w:t>
            </w:r>
          </w:p>
        </w:tc>
        <w:tc>
          <w:tcPr>
            <w:tcW w:w="1000" w:type="dxa"/>
            <w:vAlign w:val="bottom"/>
            <w:shd w:val="clear" w:color="auto" w:fill="E0E7ED"/>
          </w:tcPr>
          <w:p>
            <w:pPr>
              <w:spacing w:after="0"/>
              <w:rPr>
                <w:sz w:val="23"/>
                <w:szCs w:val="23"/>
                <w:color w:val="auto"/>
              </w:rPr>
            </w:pPr>
          </w:p>
        </w:tc>
        <w:tc>
          <w:tcPr>
            <w:tcW w:w="5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060" w:type="dxa"/>
            <w:vAlign w:val="bottom"/>
            <w:shd w:val="clear" w:color="auto" w:fill="E0E7ED"/>
          </w:tcPr>
          <w:p>
            <w:pPr>
              <w:spacing w:after="0"/>
              <w:rPr>
                <w:sz w:val="23"/>
                <w:szCs w:val="23"/>
                <w:color w:val="auto"/>
              </w:rPr>
            </w:pPr>
          </w:p>
        </w:tc>
        <w:tc>
          <w:tcPr>
            <w:tcW w:w="460" w:type="dxa"/>
            <w:vAlign w:val="bottom"/>
            <w:shd w:val="clear" w:color="auto" w:fill="E0E7ED"/>
          </w:tcPr>
          <w:p>
            <w:pPr>
              <w:spacing w:after="0"/>
              <w:rPr>
                <w:sz w:val="23"/>
                <w:szCs w:val="23"/>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Cash paid for amounts included in the measurement of lease liabilities:</w:t>
            </w: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Operating lease cash flows – Fixed payments</w:t>
            </w:r>
          </w:p>
        </w:tc>
        <w:tc>
          <w:tcPr>
            <w:tcW w:w="1000" w:type="dxa"/>
            <w:vAlign w:val="bottom"/>
            <w:shd w:val="clear" w:color="auto" w:fill="E0E7ED"/>
          </w:tcPr>
          <w:p>
            <w:pPr>
              <w:jc w:val="right"/>
              <w:ind w:right="781"/>
              <w:spacing w:after="0"/>
              <w:rPr>
                <w:sz w:val="20"/>
                <w:szCs w:val="20"/>
                <w:color w:val="auto"/>
              </w:rPr>
            </w:pPr>
            <w:r>
              <w:rPr>
                <w:rFonts w:ascii="Verdana" w:cs="Verdana" w:eastAsia="Verdana" w:hAnsi="Verdana"/>
                <w:sz w:val="18"/>
                <w:szCs w:val="18"/>
                <w:color w:val="auto"/>
              </w:rPr>
              <w:t>$</w:t>
            </w:r>
          </w:p>
        </w:tc>
        <w:tc>
          <w:tcPr>
            <w:tcW w:w="5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507</w:t>
            </w:r>
          </w:p>
        </w:tc>
        <w:tc>
          <w:tcPr>
            <w:tcW w:w="80" w:type="dxa"/>
            <w:vAlign w:val="bottom"/>
            <w:shd w:val="clear" w:color="auto" w:fill="E0E7ED"/>
          </w:tcPr>
          <w:p>
            <w:pPr>
              <w:spacing w:after="0"/>
              <w:rPr>
                <w:sz w:val="24"/>
                <w:szCs w:val="24"/>
                <w:color w:val="auto"/>
              </w:rPr>
            </w:pPr>
          </w:p>
        </w:tc>
        <w:tc>
          <w:tcPr>
            <w:tcW w:w="1060" w:type="dxa"/>
            <w:vAlign w:val="bottom"/>
            <w:shd w:val="clear" w:color="auto" w:fill="E0E7ED"/>
          </w:tcPr>
          <w:p>
            <w:pPr>
              <w:jc w:val="right"/>
              <w:ind w:right="837"/>
              <w:spacing w:after="0"/>
              <w:rPr>
                <w:sz w:val="20"/>
                <w:szCs w:val="20"/>
                <w:color w:val="auto"/>
              </w:rPr>
            </w:pPr>
            <w:r>
              <w:rPr>
                <w:rFonts w:ascii="Verdana" w:cs="Verdana" w:eastAsia="Verdana" w:hAnsi="Verdana"/>
                <w:sz w:val="18"/>
                <w:szCs w:val="18"/>
                <w:color w:val="auto"/>
              </w:rPr>
              <w:t>$</w:t>
            </w:r>
          </w:p>
        </w:tc>
        <w:tc>
          <w:tcPr>
            <w:tcW w:w="4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570</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Operating lease cash flows – Liability reduction</w:t>
            </w:r>
          </w:p>
        </w:tc>
        <w:tc>
          <w:tcPr>
            <w:tcW w:w="100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Verdana" w:cs="Verdana" w:eastAsia="Verdana" w:hAnsi="Verdana"/>
                <w:sz w:val="18"/>
                <w:szCs w:val="18"/>
                <w:color w:val="auto"/>
              </w:rPr>
              <w:t>411</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Verdana" w:cs="Verdana" w:eastAsia="Verdana" w:hAnsi="Verdana"/>
                <w:sz w:val="18"/>
                <w:szCs w:val="18"/>
                <w:color w:val="auto"/>
              </w:rPr>
              <w:t>479</w:t>
            </w:r>
          </w:p>
        </w:tc>
      </w:tr>
      <w:tr>
        <w:trPr>
          <w:trHeight w:val="244"/>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Right of use assets obtained during the period in exchange for operating lease</w:t>
            </w:r>
          </w:p>
        </w:tc>
        <w:tc>
          <w:tcPr>
            <w:tcW w:w="1000" w:type="dxa"/>
            <w:vAlign w:val="bottom"/>
            <w:shd w:val="clear" w:color="auto" w:fill="E0E7ED"/>
          </w:tcPr>
          <w:p>
            <w:pPr>
              <w:spacing w:after="0"/>
              <w:rPr>
                <w:sz w:val="21"/>
                <w:szCs w:val="21"/>
                <w:color w:val="auto"/>
              </w:rPr>
            </w:pPr>
          </w:p>
        </w:tc>
        <w:tc>
          <w:tcPr>
            <w:tcW w:w="5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460" w:type="dxa"/>
            <w:vAlign w:val="bottom"/>
            <w:shd w:val="clear" w:color="auto" w:fill="E0E7ED"/>
          </w:tcPr>
          <w:p>
            <w:pPr>
              <w:spacing w:after="0"/>
              <w:rPr>
                <w:sz w:val="21"/>
                <w:szCs w:val="21"/>
                <w:color w:val="auto"/>
              </w:rPr>
            </w:pPr>
          </w:p>
        </w:tc>
      </w:tr>
      <w:tr>
        <w:trPr>
          <w:trHeight w:val="248"/>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liabilities</w:t>
            </w:r>
          </w:p>
        </w:tc>
        <w:tc>
          <w:tcPr>
            <w:tcW w:w="1000" w:type="dxa"/>
            <w:vAlign w:val="bottom"/>
            <w:shd w:val="clear" w:color="auto" w:fill="E0E7ED"/>
          </w:tcPr>
          <w:p>
            <w:pPr>
              <w:spacing w:after="0"/>
              <w:rPr>
                <w:sz w:val="21"/>
                <w:szCs w:val="21"/>
                <w:color w:val="auto"/>
              </w:rPr>
            </w:pPr>
          </w:p>
        </w:tc>
        <w:tc>
          <w:tcPr>
            <w:tcW w:w="6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060" w:type="dxa"/>
            <w:vAlign w:val="bottom"/>
            <w:shd w:val="clear" w:color="auto" w:fill="E0E7ED"/>
          </w:tcPr>
          <w:p>
            <w:pPr>
              <w:spacing w:after="0"/>
              <w:rPr>
                <w:sz w:val="21"/>
                <w:szCs w:val="21"/>
                <w:color w:val="auto"/>
              </w:rPr>
            </w:pPr>
          </w:p>
        </w:tc>
        <w:tc>
          <w:tcPr>
            <w:tcW w:w="46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4</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9"/>
        </w:numPr>
        <w:rPr>
          <w:rFonts w:ascii="Verdana" w:cs="Verdana" w:eastAsia="Verdana" w:hAnsi="Verdana"/>
          <w:sz w:val="13"/>
          <w:szCs w:val="13"/>
          <w:color w:val="auto"/>
        </w:rPr>
      </w:pPr>
      <w:r>
        <w:rPr>
          <w:rFonts w:ascii="Verdana" w:cs="Verdana" w:eastAsia="Verdana" w:hAnsi="Verdana"/>
          <w:sz w:val="13"/>
          <w:szCs w:val="13"/>
          <w:color w:val="auto"/>
        </w:rPr>
        <w:t>Lease costs are included in net occupancy and equipment expense in the Consolidated Statements of Income (Unaudited).</w:t>
      </w:r>
    </w:p>
    <w:p>
      <w:pPr>
        <w:spacing w:after="0" w:line="179"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Busey was obligated under noncancelable operating leases for office space and other commitments. Future undiscounted lease payments with initial terms of one year or more, are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ind w:right="515"/>
              <w:spacing w:after="0"/>
              <w:rPr>
                <w:sz w:val="20"/>
                <w:szCs w:val="20"/>
                <w:color w:val="auto"/>
              </w:rPr>
            </w:pPr>
            <w:r>
              <w:rPr>
                <w:rFonts w:ascii="Verdana" w:cs="Verdana" w:eastAsia="Verdana" w:hAnsi="Verdana"/>
                <w:sz w:val="13"/>
                <w:szCs w:val="13"/>
                <w:b w:val="1"/>
                <w:bCs w:val="1"/>
                <w:color w:val="auto"/>
              </w:rPr>
              <w:t>As of</w:t>
            </w:r>
          </w:p>
        </w:tc>
      </w:tr>
      <w:tr>
        <w:trPr>
          <w:trHeight w:val="170"/>
        </w:trPr>
        <w:tc>
          <w:tcPr>
            <w:tcW w:w="97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15"/>
              <w:spacing w:after="0"/>
              <w:rPr>
                <w:sz w:val="20"/>
                <w:szCs w:val="20"/>
                <w:color w:val="auto"/>
              </w:rPr>
            </w:pPr>
            <w:r>
              <w:rPr>
                <w:rFonts w:ascii="Verdana" w:cs="Verdana" w:eastAsia="Verdana" w:hAnsi="Verdana"/>
                <w:sz w:val="13"/>
                <w:szCs w:val="13"/>
                <w:b w:val="1"/>
                <w:bCs w:val="1"/>
                <w:color w:val="auto"/>
                <w:w w:val="98"/>
              </w:rPr>
              <w:t>March 31, 2024</w:t>
            </w:r>
          </w:p>
        </w:tc>
      </w:tr>
      <w:tr>
        <w:trPr>
          <w:trHeight w:val="255"/>
        </w:trPr>
        <w:tc>
          <w:tcPr>
            <w:tcW w:w="97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Rent commitments</w:t>
            </w: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Remainder of 2024</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5"/>
              <w:spacing w:after="0"/>
              <w:rPr>
                <w:sz w:val="20"/>
                <w:szCs w:val="20"/>
                <w:color w:val="auto"/>
              </w:rPr>
            </w:pPr>
            <w:r>
              <w:rPr>
                <w:rFonts w:ascii="Verdana" w:cs="Verdana" w:eastAsia="Verdana" w:hAnsi="Verdana"/>
                <w:sz w:val="18"/>
                <w:szCs w:val="18"/>
                <w:color w:val="auto"/>
              </w:rPr>
              <w:t>1,515</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2025</w:t>
            </w: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1,768</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2026</w:t>
            </w:r>
          </w:p>
        </w:tc>
        <w:tc>
          <w:tcPr>
            <w:tcW w:w="180" w:type="dxa"/>
            <w:vAlign w:val="bottom"/>
          </w:tcPr>
          <w:p>
            <w:pPr>
              <w:spacing w:after="0"/>
              <w:rPr>
                <w:sz w:val="22"/>
                <w:szCs w:val="22"/>
                <w:color w:val="auto"/>
              </w:rPr>
            </w:pPr>
          </w:p>
        </w:tc>
        <w:tc>
          <w:tcPr>
            <w:tcW w:w="1340" w:type="dxa"/>
            <w:vAlign w:val="bottom"/>
          </w:tcPr>
          <w:p>
            <w:pPr>
              <w:jc w:val="right"/>
              <w:ind w:right="15"/>
              <w:spacing w:after="0"/>
              <w:rPr>
                <w:sz w:val="20"/>
                <w:szCs w:val="20"/>
                <w:color w:val="auto"/>
              </w:rPr>
            </w:pPr>
            <w:r>
              <w:rPr>
                <w:rFonts w:ascii="Verdana" w:cs="Verdana" w:eastAsia="Verdana" w:hAnsi="Verdana"/>
                <w:sz w:val="18"/>
                <w:szCs w:val="18"/>
                <w:color w:val="auto"/>
              </w:rPr>
              <w:t>1,443</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2027</w:t>
            </w: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1,277</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2028</w:t>
            </w:r>
          </w:p>
        </w:tc>
        <w:tc>
          <w:tcPr>
            <w:tcW w:w="180" w:type="dxa"/>
            <w:vAlign w:val="bottom"/>
          </w:tcPr>
          <w:p>
            <w:pPr>
              <w:spacing w:after="0"/>
              <w:rPr>
                <w:sz w:val="22"/>
                <w:szCs w:val="22"/>
                <w:color w:val="auto"/>
              </w:rPr>
            </w:pPr>
          </w:p>
        </w:tc>
        <w:tc>
          <w:tcPr>
            <w:tcW w:w="1340" w:type="dxa"/>
            <w:vAlign w:val="bottom"/>
          </w:tcPr>
          <w:p>
            <w:pPr>
              <w:jc w:val="right"/>
              <w:ind w:right="15"/>
              <w:spacing w:after="0"/>
              <w:rPr>
                <w:sz w:val="20"/>
                <w:szCs w:val="20"/>
                <w:color w:val="auto"/>
              </w:rPr>
            </w:pPr>
            <w:r>
              <w:rPr>
                <w:rFonts w:ascii="Verdana" w:cs="Verdana" w:eastAsia="Verdana" w:hAnsi="Verdana"/>
                <w:sz w:val="18"/>
                <w:szCs w:val="18"/>
                <w:color w:val="auto"/>
              </w:rPr>
              <w:t>1,255</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2029</w:t>
            </w: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1,278</w:t>
            </w:r>
          </w:p>
        </w:tc>
      </w:tr>
      <w:tr>
        <w:trPr>
          <w:trHeight w:val="263"/>
        </w:trPr>
        <w:tc>
          <w:tcPr>
            <w:tcW w:w="97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Thereafter</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4,200</w:t>
            </w:r>
          </w:p>
        </w:tc>
      </w:tr>
      <w:tr>
        <w:trPr>
          <w:trHeight w:val="270"/>
        </w:trPr>
        <w:tc>
          <w:tcPr>
            <w:tcW w:w="97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undiscounted cash flows</w:t>
            </w:r>
          </w:p>
        </w:tc>
        <w:tc>
          <w:tcPr>
            <w:tcW w:w="180" w:type="dxa"/>
            <w:vAlign w:val="bottom"/>
            <w:shd w:val="clear" w:color="auto" w:fill="E0E7ED"/>
          </w:tcPr>
          <w:p>
            <w:pPr>
              <w:spacing w:after="0"/>
              <w:rPr>
                <w:sz w:val="23"/>
                <w:szCs w:val="23"/>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12,736</w:t>
            </w:r>
          </w:p>
        </w:tc>
      </w:tr>
      <w:tr>
        <w:trPr>
          <w:trHeight w:val="263"/>
        </w:trPr>
        <w:tc>
          <w:tcPr>
            <w:tcW w:w="972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Less: Amounts representing interest</w:t>
            </w: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1,840</w:t>
            </w:r>
          </w:p>
        </w:tc>
      </w:tr>
      <w:tr>
        <w:trPr>
          <w:trHeight w:val="295"/>
        </w:trPr>
        <w:tc>
          <w:tcPr>
            <w:tcW w:w="97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Present value of net future minimum lease payments</w:t>
            </w:r>
          </w:p>
        </w:tc>
        <w:tc>
          <w:tcPr>
            <w:tcW w:w="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10,896</w:t>
            </w:r>
          </w:p>
        </w:tc>
      </w:tr>
      <w:tr>
        <w:trPr>
          <w:trHeight w:val="20"/>
        </w:trPr>
        <w:tc>
          <w:tcPr>
            <w:tcW w:w="972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34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 as the Lessor</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occasionally leases parking lots and office space to outside parties. Revenues recorded in connection with these leases, reported in Other income on our Consolidated Statements of Income (Unaudited),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384"/>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8"/>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Rental income</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28"/>
              <w:spacing w:after="0"/>
              <w:rPr>
                <w:sz w:val="20"/>
                <w:szCs w:val="20"/>
                <w:color w:val="auto"/>
              </w:rPr>
            </w:pPr>
            <w:r>
              <w:rPr>
                <w:rFonts w:ascii="Verdana" w:cs="Verdana" w:eastAsia="Verdana" w:hAnsi="Verdana"/>
                <w:sz w:val="18"/>
                <w:szCs w:val="18"/>
                <w:color w:val="auto"/>
              </w:rPr>
              <w:t>202</w:t>
            </w: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191</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4" w:name="page35"/>
    <w:bookmarkEnd w:id="3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5. DEPOSITS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composition of Busey’s deposits is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jc w:val="center"/>
              <w:ind w:right="380"/>
              <w:spacing w:after="0" w:line="122" w:lineRule="exact"/>
              <w:rPr>
                <w:sz w:val="20"/>
                <w:szCs w:val="20"/>
                <w:color w:val="auto"/>
              </w:rPr>
            </w:pPr>
            <w:r>
              <w:rPr>
                <w:rFonts w:ascii="Verdana" w:cs="Verdana" w:eastAsia="Verdana" w:hAnsi="Verdana"/>
                <w:sz w:val="13"/>
                <w:szCs w:val="13"/>
                <w:b w:val="1"/>
                <w:bCs w:val="1"/>
                <w:color w:val="auto"/>
                <w:w w:val="97"/>
              </w:rPr>
              <w:t>March 31,</w:t>
            </w:r>
          </w:p>
        </w:tc>
        <w:tc>
          <w:tcPr>
            <w:tcW w:w="180" w:type="dxa"/>
            <w:vAlign w:val="bottom"/>
          </w:tcPr>
          <w:p>
            <w:pPr>
              <w:spacing w:after="0"/>
              <w:rPr>
                <w:sz w:val="10"/>
                <w:szCs w:val="10"/>
                <w:color w:val="auto"/>
              </w:rPr>
            </w:pPr>
          </w:p>
        </w:tc>
        <w:tc>
          <w:tcPr>
            <w:tcW w:w="1340" w:type="dxa"/>
            <w:vAlign w:val="bottom"/>
          </w:tcPr>
          <w:p>
            <w:pPr>
              <w:jc w:val="center"/>
              <w:ind w:right="77"/>
              <w:spacing w:after="0" w:line="122" w:lineRule="exact"/>
              <w:rPr>
                <w:sz w:val="20"/>
                <w:szCs w:val="20"/>
                <w:color w:val="auto"/>
              </w:rPr>
            </w:pPr>
            <w:r>
              <w:rPr>
                <w:rFonts w:ascii="Verdana" w:cs="Verdana" w:eastAsia="Verdana" w:hAnsi="Verdana"/>
                <w:sz w:val="13"/>
                <w:szCs w:val="13"/>
                <w:b w:val="1"/>
                <w:bCs w:val="1"/>
                <w:color w:val="auto"/>
                <w:w w:val="96"/>
              </w:rPr>
              <w:t>December 31,</w:t>
            </w:r>
          </w:p>
        </w:tc>
        <w:tc>
          <w:tcPr>
            <w:tcW w:w="0" w:type="dxa"/>
            <w:vAlign w:val="bottom"/>
          </w:tcPr>
          <w:p>
            <w:pPr>
              <w:spacing w:after="0"/>
              <w:rPr>
                <w:sz w:val="1"/>
                <w:szCs w:val="1"/>
                <w:color w:val="auto"/>
              </w:rPr>
            </w:pPr>
          </w:p>
        </w:tc>
      </w:tr>
      <w:tr>
        <w:trPr>
          <w:trHeight w:val="170"/>
        </w:trPr>
        <w:tc>
          <w:tcPr>
            <w:tcW w:w="812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01"/>
              <w:spacing w:after="0"/>
              <w:rPr>
                <w:sz w:val="20"/>
                <w:szCs w:val="20"/>
                <w:color w:val="auto"/>
              </w:rPr>
            </w:pPr>
            <w:r>
              <w:rPr>
                <w:rFonts w:ascii="Verdana" w:cs="Verdana" w:eastAsia="Verdana" w:hAnsi="Verdana"/>
                <w:sz w:val="13"/>
                <w:szCs w:val="13"/>
                <w:b w:val="1"/>
                <w:bCs w:val="1"/>
                <w:color w:val="auto"/>
                <w:w w:val="97"/>
              </w:rPr>
              <w:t>2024</w:t>
            </w:r>
          </w:p>
        </w:tc>
        <w:tc>
          <w:tcPr>
            <w:tcW w:w="8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97"/>
              <w:spacing w:after="0"/>
              <w:rPr>
                <w:sz w:val="20"/>
                <w:szCs w:val="20"/>
                <w:color w:val="auto"/>
              </w:rPr>
            </w:pPr>
            <w:r>
              <w:rPr>
                <w:rFonts w:ascii="Verdana" w:cs="Verdana" w:eastAsia="Verdana" w:hAnsi="Verdana"/>
                <w:sz w:val="13"/>
                <w:szCs w:val="13"/>
                <w:b w:val="1"/>
                <w:bCs w:val="1"/>
                <w:color w:val="auto"/>
                <w:w w:val="97"/>
              </w:rPr>
              <w:t>2023</w:t>
            </w:r>
          </w:p>
        </w:tc>
        <w:tc>
          <w:tcPr>
            <w:tcW w:w="0" w:type="dxa"/>
            <w:vAlign w:val="bottom"/>
          </w:tcPr>
          <w:p>
            <w:pPr>
              <w:spacing w:after="0"/>
              <w:rPr>
                <w:sz w:val="1"/>
                <w:szCs w:val="1"/>
                <w:color w:val="auto"/>
              </w:rPr>
            </w:pP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Deposits</w:t>
            </w:r>
          </w:p>
        </w:tc>
        <w:tc>
          <w:tcPr>
            <w:tcW w:w="2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Noninterest-bearing demand deposits</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21"/>
              <w:spacing w:after="0"/>
              <w:rPr>
                <w:sz w:val="20"/>
                <w:szCs w:val="20"/>
                <w:color w:val="auto"/>
              </w:rPr>
            </w:pPr>
            <w:r>
              <w:rPr>
                <w:rFonts w:ascii="Verdana" w:cs="Verdana" w:eastAsia="Verdana" w:hAnsi="Verdana"/>
                <w:sz w:val="18"/>
                <w:szCs w:val="18"/>
                <w:color w:val="auto"/>
              </w:rPr>
              <w:t>2,784,338</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spacing w:after="0"/>
              <w:rPr>
                <w:sz w:val="20"/>
                <w:szCs w:val="20"/>
                <w:color w:val="auto"/>
              </w:rPr>
            </w:pPr>
            <w:r>
              <w:rPr>
                <w:rFonts w:ascii="Verdana" w:cs="Verdana" w:eastAsia="Verdana" w:hAnsi="Verdana"/>
                <w:sz w:val="18"/>
                <w:szCs w:val="18"/>
                <w:color w:val="auto"/>
              </w:rPr>
              <w:t>2,834,655</w:t>
            </w:r>
          </w:p>
        </w:tc>
        <w:tc>
          <w:tcPr>
            <w:tcW w:w="0" w:type="dxa"/>
            <w:vAlign w:val="bottom"/>
          </w:tcPr>
          <w:p>
            <w:pPr>
              <w:spacing w:after="0"/>
              <w:rPr>
                <w:sz w:val="1"/>
                <w:szCs w:val="1"/>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Interest-bearing transaction deposits</w:t>
            </w:r>
          </w:p>
        </w:tc>
        <w:tc>
          <w:tcPr>
            <w:tcW w:w="2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2,397,937</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2,717,139</w:t>
            </w:r>
          </w:p>
        </w:tc>
        <w:tc>
          <w:tcPr>
            <w:tcW w:w="0" w:type="dxa"/>
            <w:vAlign w:val="bottom"/>
          </w:tcPr>
          <w:p>
            <w:pPr>
              <w:spacing w:after="0"/>
              <w:rPr>
                <w:sz w:val="1"/>
                <w:szCs w:val="1"/>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Saving deposits and money market deposits</w:t>
            </w:r>
          </w:p>
        </w:tc>
        <w:tc>
          <w:tcPr>
            <w:tcW w:w="28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Verdana" w:cs="Verdana" w:eastAsia="Verdana" w:hAnsi="Verdana"/>
                <w:sz w:val="18"/>
                <w:szCs w:val="18"/>
                <w:color w:val="auto"/>
              </w:rPr>
              <w:t>3,200,738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2,920,088</w:t>
            </w:r>
          </w:p>
        </w:tc>
        <w:tc>
          <w:tcPr>
            <w:tcW w:w="0" w:type="dxa"/>
            <w:vAlign w:val="bottom"/>
          </w:tcPr>
          <w:p>
            <w:pPr>
              <w:spacing w:after="0"/>
              <w:rPr>
                <w:sz w:val="1"/>
                <w:szCs w:val="1"/>
                <w:color w:val="auto"/>
              </w:rPr>
            </w:pP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Time deposits</w:t>
            </w:r>
          </w:p>
        </w:tc>
        <w:tc>
          <w:tcPr>
            <w:tcW w:w="2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1,577,178</w:t>
            </w:r>
          </w:p>
        </w:tc>
        <w:tc>
          <w:tcPr>
            <w:tcW w:w="80" w:type="dxa"/>
            <w:vAlign w:val="bottom"/>
            <w:shd w:val="clear" w:color="auto" w:fill="E0E7ED"/>
          </w:tcPr>
          <w:p>
            <w:pPr>
              <w:spacing w:after="0"/>
              <w:rPr>
                <w:sz w:val="23"/>
                <w:szCs w:val="23"/>
                <w:color w:val="auto"/>
              </w:rPr>
            </w:pPr>
          </w:p>
        </w:tc>
        <w:tc>
          <w:tcPr>
            <w:tcW w:w="18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1,819,274</w:t>
            </w:r>
          </w:p>
        </w:tc>
        <w:tc>
          <w:tcPr>
            <w:tcW w:w="0" w:type="dxa"/>
            <w:vAlign w:val="bottom"/>
          </w:tcPr>
          <w:p>
            <w:pPr>
              <w:spacing w:after="0"/>
              <w:rPr>
                <w:sz w:val="1"/>
                <w:szCs w:val="1"/>
                <w:color w:val="auto"/>
              </w:rPr>
            </w:pP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Total deposits</w:t>
            </w:r>
          </w:p>
        </w:tc>
        <w:tc>
          <w:tcPr>
            <w:tcW w:w="28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9,960,191</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10,291,156</w:t>
            </w:r>
          </w:p>
        </w:tc>
        <w:tc>
          <w:tcPr>
            <w:tcW w:w="0" w:type="dxa"/>
            <w:vAlign w:val="bottom"/>
          </w:tcPr>
          <w:p>
            <w:pPr>
              <w:spacing w:after="0"/>
              <w:rPr>
                <w:sz w:val="1"/>
                <w:szCs w:val="1"/>
                <w:color w:val="auto"/>
              </w:rPr>
            </w:pPr>
          </w:p>
        </w:tc>
      </w:tr>
      <w:tr>
        <w:trPr>
          <w:trHeight w:val="21"/>
        </w:trPr>
        <w:tc>
          <w:tcPr>
            <w:tcW w:w="8120" w:type="dxa"/>
            <w:vAlign w:val="bottom"/>
            <w:vMerge w:val="restart"/>
          </w:tcPr>
          <w:p>
            <w:pPr>
              <w:spacing w:after="0"/>
              <w:rPr>
                <w:sz w:val="20"/>
                <w:szCs w:val="20"/>
                <w:color w:val="auto"/>
              </w:rPr>
            </w:pPr>
            <w:r>
              <w:rPr>
                <w:rFonts w:ascii="Verdana" w:cs="Verdana" w:eastAsia="Verdana" w:hAnsi="Verdana"/>
                <w:sz w:val="18"/>
                <w:szCs w:val="18"/>
                <w:color w:val="auto"/>
              </w:rPr>
              <w:t xml:space="preserve">Additional information about Busey’s deposits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8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8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jc w:val="center"/>
              <w:ind w:right="380"/>
              <w:spacing w:after="0" w:line="122" w:lineRule="exact"/>
              <w:rPr>
                <w:sz w:val="20"/>
                <w:szCs w:val="20"/>
                <w:color w:val="auto"/>
              </w:rPr>
            </w:pPr>
            <w:r>
              <w:rPr>
                <w:rFonts w:ascii="Verdana" w:cs="Verdana" w:eastAsia="Verdana" w:hAnsi="Verdana"/>
                <w:sz w:val="13"/>
                <w:szCs w:val="13"/>
                <w:b w:val="1"/>
                <w:bCs w:val="1"/>
                <w:color w:val="auto"/>
                <w:w w:val="97"/>
              </w:rPr>
              <w:t>March 31,</w:t>
            </w:r>
          </w:p>
        </w:tc>
        <w:tc>
          <w:tcPr>
            <w:tcW w:w="180" w:type="dxa"/>
            <w:vAlign w:val="bottom"/>
          </w:tcPr>
          <w:p>
            <w:pPr>
              <w:spacing w:after="0"/>
              <w:rPr>
                <w:sz w:val="10"/>
                <w:szCs w:val="10"/>
                <w:color w:val="auto"/>
              </w:rPr>
            </w:pPr>
          </w:p>
        </w:tc>
        <w:tc>
          <w:tcPr>
            <w:tcW w:w="1340" w:type="dxa"/>
            <w:vAlign w:val="bottom"/>
          </w:tcPr>
          <w:p>
            <w:pPr>
              <w:jc w:val="center"/>
              <w:ind w:right="77"/>
              <w:spacing w:after="0" w:line="122" w:lineRule="exact"/>
              <w:rPr>
                <w:sz w:val="20"/>
                <w:szCs w:val="20"/>
                <w:color w:val="auto"/>
              </w:rPr>
            </w:pPr>
            <w:r>
              <w:rPr>
                <w:rFonts w:ascii="Verdana" w:cs="Verdana" w:eastAsia="Verdana" w:hAnsi="Verdana"/>
                <w:sz w:val="13"/>
                <w:szCs w:val="13"/>
                <w:b w:val="1"/>
                <w:bCs w:val="1"/>
                <w:color w:val="auto"/>
                <w:w w:val="96"/>
              </w:rPr>
              <w:t>December 31,</w:t>
            </w:r>
          </w:p>
        </w:tc>
        <w:tc>
          <w:tcPr>
            <w:tcW w:w="0" w:type="dxa"/>
            <w:vAlign w:val="bottom"/>
          </w:tcPr>
          <w:p>
            <w:pPr>
              <w:spacing w:after="0"/>
              <w:rPr>
                <w:sz w:val="1"/>
                <w:szCs w:val="1"/>
                <w:color w:val="auto"/>
              </w:rPr>
            </w:pPr>
          </w:p>
        </w:tc>
      </w:tr>
      <w:tr>
        <w:trPr>
          <w:trHeight w:val="170"/>
        </w:trPr>
        <w:tc>
          <w:tcPr>
            <w:tcW w:w="812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01"/>
              <w:spacing w:after="0"/>
              <w:rPr>
                <w:sz w:val="20"/>
                <w:szCs w:val="20"/>
                <w:color w:val="auto"/>
              </w:rPr>
            </w:pPr>
            <w:r>
              <w:rPr>
                <w:rFonts w:ascii="Verdana" w:cs="Verdana" w:eastAsia="Verdana" w:hAnsi="Verdana"/>
                <w:sz w:val="13"/>
                <w:szCs w:val="13"/>
                <w:b w:val="1"/>
                <w:bCs w:val="1"/>
                <w:color w:val="auto"/>
                <w:w w:val="97"/>
              </w:rPr>
              <w:t>2024</w:t>
            </w:r>
          </w:p>
        </w:tc>
        <w:tc>
          <w:tcPr>
            <w:tcW w:w="8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97"/>
              <w:spacing w:after="0"/>
              <w:rPr>
                <w:sz w:val="20"/>
                <w:szCs w:val="20"/>
                <w:color w:val="auto"/>
              </w:rPr>
            </w:pPr>
            <w:r>
              <w:rPr>
                <w:rFonts w:ascii="Verdana" w:cs="Verdana" w:eastAsia="Verdana" w:hAnsi="Verdana"/>
                <w:sz w:val="13"/>
                <w:szCs w:val="13"/>
                <w:b w:val="1"/>
                <w:bCs w:val="1"/>
                <w:color w:val="auto"/>
                <w:w w:val="97"/>
              </w:rPr>
              <w:t>2023</w:t>
            </w:r>
          </w:p>
        </w:tc>
        <w:tc>
          <w:tcPr>
            <w:tcW w:w="0" w:type="dxa"/>
            <w:vAlign w:val="bottom"/>
          </w:tcPr>
          <w:p>
            <w:pPr>
              <w:spacing w:after="0"/>
              <w:rPr>
                <w:sz w:val="1"/>
                <w:szCs w:val="1"/>
                <w:color w:val="auto"/>
              </w:rPr>
            </w:pPr>
          </w:p>
        </w:tc>
      </w:tr>
      <w:tr>
        <w:trPr>
          <w:trHeight w:val="269"/>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Brokered savings deposits and money market deposits</w:t>
            </w: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6,001</w:t>
            </w:r>
          </w:p>
        </w:tc>
        <w:tc>
          <w:tcPr>
            <w:tcW w:w="80" w:type="dxa"/>
            <w:vAlign w:val="bottom"/>
            <w:shd w:val="clear" w:color="auto" w:fill="E0E7ED"/>
          </w:tcPr>
          <w:p>
            <w:pPr>
              <w:spacing w:after="0"/>
              <w:rPr>
                <w:sz w:val="23"/>
                <w:szCs w:val="23"/>
                <w:color w:val="auto"/>
              </w:rPr>
            </w:pP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6,001</w:t>
            </w:r>
          </w:p>
        </w:tc>
        <w:tc>
          <w:tcPr>
            <w:tcW w:w="0" w:type="dxa"/>
            <w:vAlign w:val="bottom"/>
          </w:tcPr>
          <w:p>
            <w:pPr>
              <w:spacing w:after="0"/>
              <w:rPr>
                <w:sz w:val="1"/>
                <w:szCs w:val="1"/>
                <w:color w:val="auto"/>
              </w:rPr>
            </w:pPr>
          </w:p>
        </w:tc>
      </w:tr>
      <w:tr>
        <w:trPr>
          <w:trHeight w:val="263"/>
        </w:trPr>
        <w:tc>
          <w:tcPr>
            <w:tcW w:w="8120" w:type="dxa"/>
            <w:vAlign w:val="bottom"/>
          </w:tcPr>
          <w:p>
            <w:pPr>
              <w:ind w:left="20"/>
              <w:spacing w:after="0"/>
              <w:rPr>
                <w:sz w:val="20"/>
                <w:szCs w:val="20"/>
                <w:color w:val="auto"/>
              </w:rPr>
            </w:pPr>
            <w:r>
              <w:rPr>
                <w:rFonts w:ascii="Verdana" w:cs="Verdana" w:eastAsia="Verdana" w:hAnsi="Verdana"/>
                <w:sz w:val="18"/>
                <w:szCs w:val="18"/>
                <w:color w:val="auto"/>
              </w:rPr>
              <w:t>Brokered time deposits</w:t>
            </w:r>
          </w:p>
        </w:tc>
        <w:tc>
          <w:tcPr>
            <w:tcW w:w="28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285</w:t>
            </w:r>
          </w:p>
        </w:tc>
        <w:tc>
          <w:tcPr>
            <w:tcW w:w="0" w:type="dxa"/>
            <w:vAlign w:val="bottom"/>
          </w:tcPr>
          <w:p>
            <w:pPr>
              <w:spacing w:after="0"/>
              <w:rPr>
                <w:sz w:val="1"/>
                <w:szCs w:val="1"/>
                <w:color w:val="auto"/>
              </w:rPr>
            </w:pPr>
          </w:p>
        </w:tc>
      </w:tr>
      <w:tr>
        <w:trPr>
          <w:trHeight w:val="277"/>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Aggregate amount of time deposits with a minimum denomination of $100,000</w:t>
            </w:r>
          </w:p>
        </w:tc>
        <w:tc>
          <w:tcPr>
            <w:tcW w:w="2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898,433</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1,072,189</w:t>
            </w:r>
          </w:p>
        </w:tc>
        <w:tc>
          <w:tcPr>
            <w:tcW w:w="0" w:type="dxa"/>
            <w:vAlign w:val="bottom"/>
          </w:tcPr>
          <w:p>
            <w:pPr>
              <w:spacing w:after="0"/>
              <w:rPr>
                <w:sz w:val="1"/>
                <w:szCs w:val="1"/>
                <w:color w:val="auto"/>
              </w:rPr>
            </w:pPr>
          </w:p>
        </w:tc>
      </w:tr>
      <w:tr>
        <w:trPr>
          <w:trHeight w:val="238"/>
        </w:trPr>
        <w:tc>
          <w:tcPr>
            <w:tcW w:w="8120" w:type="dxa"/>
            <w:vAlign w:val="bottom"/>
          </w:tcPr>
          <w:p>
            <w:pPr>
              <w:ind w:left="20"/>
              <w:spacing w:after="0"/>
              <w:rPr>
                <w:sz w:val="20"/>
                <w:szCs w:val="20"/>
                <w:color w:val="auto"/>
              </w:rPr>
            </w:pPr>
            <w:r>
              <w:rPr>
                <w:rFonts w:ascii="Verdana" w:cs="Verdana" w:eastAsia="Verdana" w:hAnsi="Verdana"/>
                <w:sz w:val="18"/>
                <w:szCs w:val="18"/>
                <w:color w:val="auto"/>
              </w:rPr>
              <w:t>Aggregate amount of time deposits with a minimum denomination that meets or</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120" w:type="dxa"/>
            <w:vAlign w:val="bottom"/>
          </w:tcPr>
          <w:p>
            <w:pPr>
              <w:ind w:left="20"/>
              <w:spacing w:after="0"/>
              <w:rPr>
                <w:sz w:val="20"/>
                <w:szCs w:val="20"/>
                <w:color w:val="auto"/>
              </w:rPr>
            </w:pPr>
            <w:r>
              <w:rPr>
                <w:rFonts w:ascii="Verdana" w:cs="Verdana" w:eastAsia="Verdana" w:hAnsi="Verdana"/>
                <w:sz w:val="18"/>
                <w:szCs w:val="18"/>
                <w:color w:val="auto"/>
              </w:rPr>
              <w:t>exceeds the FDIC insurance limit of $250,000</w:t>
            </w:r>
          </w:p>
        </w:tc>
        <w:tc>
          <w:tcPr>
            <w:tcW w:w="28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Verdana" w:cs="Verdana" w:eastAsia="Verdana" w:hAnsi="Verdana"/>
                <w:sz w:val="18"/>
                <w:szCs w:val="18"/>
                <w:color w:val="auto"/>
              </w:rPr>
              <w:t>326,794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386,286</w:t>
            </w:r>
          </w:p>
        </w:tc>
        <w:tc>
          <w:tcPr>
            <w:tcW w:w="0" w:type="dxa"/>
            <w:vAlign w:val="bottom"/>
          </w:tcPr>
          <w:p>
            <w:pPr>
              <w:spacing w:after="0"/>
              <w:rPr>
                <w:sz w:val="1"/>
                <w:szCs w:val="1"/>
                <w:color w:val="auto"/>
              </w:rPr>
            </w:pPr>
          </w:p>
        </w:tc>
      </w:tr>
      <w:tr>
        <w:trPr>
          <w:trHeight w:val="513"/>
        </w:trPr>
        <w:tc>
          <w:tcPr>
            <w:tcW w:w="8120" w:type="dxa"/>
            <w:vAlign w:val="bottom"/>
          </w:tcPr>
          <w:p>
            <w:pPr>
              <w:spacing w:after="0"/>
              <w:rPr>
                <w:sz w:val="20"/>
                <w:szCs w:val="20"/>
                <w:color w:val="auto"/>
              </w:rPr>
            </w:pPr>
            <w:r>
              <w:rPr>
                <w:rFonts w:ascii="Verdana" w:cs="Verdana" w:eastAsia="Verdana" w:hAnsi="Verdana"/>
                <w:sz w:val="18"/>
                <w:szCs w:val="18"/>
                <w:color w:val="auto"/>
              </w:rPr>
              <w:t xml:space="preserve">Scheduled maturities of time deposits are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137"/>
              <w:spacing w:after="0"/>
              <w:rPr>
                <w:sz w:val="20"/>
                <w:szCs w:val="20"/>
                <w:color w:val="auto"/>
              </w:rPr>
            </w:pPr>
            <w:r>
              <w:rPr>
                <w:rFonts w:ascii="Verdana" w:cs="Verdana" w:eastAsia="Verdana" w:hAnsi="Verdana"/>
                <w:sz w:val="13"/>
                <w:szCs w:val="13"/>
                <w:b w:val="1"/>
                <w:bCs w:val="1"/>
                <w:color w:val="auto"/>
                <w:w w:val="97"/>
              </w:rPr>
              <w:t>As of</w:t>
            </w:r>
          </w:p>
        </w:tc>
        <w:tc>
          <w:tcPr>
            <w:tcW w:w="0" w:type="dxa"/>
            <w:vAlign w:val="bottom"/>
          </w:tcPr>
          <w:p>
            <w:pPr>
              <w:spacing w:after="0"/>
              <w:rPr>
                <w:sz w:val="1"/>
                <w:szCs w:val="1"/>
                <w:color w:val="auto"/>
              </w:rPr>
            </w:pPr>
          </w:p>
        </w:tc>
      </w:tr>
      <w:tr>
        <w:trPr>
          <w:trHeight w:val="170"/>
        </w:trPr>
        <w:tc>
          <w:tcPr>
            <w:tcW w:w="8120" w:type="dxa"/>
            <w:vAlign w:val="bottom"/>
            <w:tcBorders>
              <w:bottom w:val="single" w:sz="8" w:color="E0E7ED"/>
            </w:tcBorders>
          </w:tcPr>
          <w:p>
            <w:pPr>
              <w:spacing w:after="0"/>
              <w:rPr>
                <w:sz w:val="14"/>
                <w:szCs w:val="14"/>
                <w:color w:val="auto"/>
              </w:rPr>
            </w:pPr>
          </w:p>
        </w:tc>
        <w:tc>
          <w:tcPr>
            <w:tcW w:w="280" w:type="dxa"/>
            <w:vAlign w:val="bottom"/>
            <w:tcBorders>
              <w:bottom w:val="single" w:sz="8" w:color="E0E7ED"/>
            </w:tcBorders>
          </w:tcPr>
          <w:p>
            <w:pPr>
              <w:spacing w:after="0"/>
              <w:rPr>
                <w:sz w:val="14"/>
                <w:szCs w:val="14"/>
                <w:color w:val="auto"/>
              </w:rPr>
            </w:pPr>
          </w:p>
        </w:tc>
        <w:tc>
          <w:tcPr>
            <w:tcW w:w="124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77"/>
              <w:spacing w:after="0"/>
              <w:rPr>
                <w:sz w:val="20"/>
                <w:szCs w:val="20"/>
                <w:color w:val="auto"/>
              </w:rPr>
            </w:pPr>
            <w:r>
              <w:rPr>
                <w:rFonts w:ascii="Verdana" w:cs="Verdana" w:eastAsia="Verdana" w:hAnsi="Verdana"/>
                <w:sz w:val="13"/>
                <w:szCs w:val="13"/>
                <w:b w:val="1"/>
                <w:bCs w:val="1"/>
                <w:color w:val="auto"/>
                <w:w w:val="96"/>
              </w:rPr>
              <w:t>March 31, 2024</w:t>
            </w:r>
          </w:p>
        </w:tc>
        <w:tc>
          <w:tcPr>
            <w:tcW w:w="0" w:type="dxa"/>
            <w:vAlign w:val="bottom"/>
          </w:tcPr>
          <w:p>
            <w:pPr>
              <w:spacing w:after="0"/>
              <w:rPr>
                <w:sz w:val="1"/>
                <w:szCs w:val="1"/>
                <w:color w:val="auto"/>
              </w:rPr>
            </w:pP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Time deposits by schedule of maturities</w:t>
            </w:r>
          </w:p>
        </w:tc>
        <w:tc>
          <w:tcPr>
            <w:tcW w:w="2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Remainder of 2024</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spacing w:after="0"/>
              <w:rPr>
                <w:sz w:val="20"/>
                <w:szCs w:val="20"/>
                <w:color w:val="auto"/>
              </w:rPr>
            </w:pPr>
            <w:r>
              <w:rPr>
                <w:rFonts w:ascii="Verdana" w:cs="Verdana" w:eastAsia="Verdana" w:hAnsi="Verdana"/>
                <w:sz w:val="18"/>
                <w:szCs w:val="18"/>
                <w:color w:val="auto"/>
              </w:rPr>
              <w:t>1,371,431</w:t>
            </w:r>
          </w:p>
        </w:tc>
        <w:tc>
          <w:tcPr>
            <w:tcW w:w="0" w:type="dxa"/>
            <w:vAlign w:val="bottom"/>
          </w:tcPr>
          <w:p>
            <w:pPr>
              <w:spacing w:after="0"/>
              <w:rPr>
                <w:sz w:val="1"/>
                <w:szCs w:val="1"/>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2025</w:t>
            </w:r>
          </w:p>
        </w:tc>
        <w:tc>
          <w:tcPr>
            <w:tcW w:w="28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156,304</w:t>
            </w:r>
          </w:p>
        </w:tc>
        <w:tc>
          <w:tcPr>
            <w:tcW w:w="0" w:type="dxa"/>
            <w:vAlign w:val="bottom"/>
          </w:tcPr>
          <w:p>
            <w:pPr>
              <w:spacing w:after="0"/>
              <w:rPr>
                <w:sz w:val="1"/>
                <w:szCs w:val="1"/>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2026</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22,905</w:t>
            </w:r>
          </w:p>
        </w:tc>
        <w:tc>
          <w:tcPr>
            <w:tcW w:w="0" w:type="dxa"/>
            <w:vAlign w:val="bottom"/>
          </w:tcPr>
          <w:p>
            <w:pPr>
              <w:spacing w:after="0"/>
              <w:rPr>
                <w:sz w:val="1"/>
                <w:szCs w:val="1"/>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2027</w:t>
            </w:r>
          </w:p>
        </w:tc>
        <w:tc>
          <w:tcPr>
            <w:tcW w:w="28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13,209</w:t>
            </w:r>
          </w:p>
        </w:tc>
        <w:tc>
          <w:tcPr>
            <w:tcW w:w="0" w:type="dxa"/>
            <w:vAlign w:val="bottom"/>
          </w:tcPr>
          <w:p>
            <w:pPr>
              <w:spacing w:after="0"/>
              <w:rPr>
                <w:sz w:val="1"/>
                <w:szCs w:val="1"/>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2028</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10,150</w:t>
            </w:r>
          </w:p>
        </w:tc>
        <w:tc>
          <w:tcPr>
            <w:tcW w:w="0" w:type="dxa"/>
            <w:vAlign w:val="bottom"/>
          </w:tcPr>
          <w:p>
            <w:pPr>
              <w:spacing w:after="0"/>
              <w:rPr>
                <w:sz w:val="1"/>
                <w:szCs w:val="1"/>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2029</w:t>
            </w:r>
          </w:p>
        </w:tc>
        <w:tc>
          <w:tcPr>
            <w:tcW w:w="28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2,743</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Thereafter</w:t>
            </w:r>
          </w:p>
        </w:tc>
        <w:tc>
          <w:tcPr>
            <w:tcW w:w="280" w:type="dxa"/>
            <w:vAlign w:val="bottom"/>
            <w:tcBorders>
              <w:bottom w:val="single" w:sz="8" w:color="E0E7ED"/>
            </w:tcBorders>
          </w:tcPr>
          <w:p>
            <w:pPr>
              <w:spacing w:after="0"/>
              <w:rPr>
                <w:sz w:val="22"/>
                <w:szCs w:val="22"/>
                <w:color w:val="auto"/>
              </w:rPr>
            </w:pPr>
          </w:p>
        </w:tc>
        <w:tc>
          <w:tcPr>
            <w:tcW w:w="124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436</w:t>
            </w:r>
          </w:p>
        </w:tc>
        <w:tc>
          <w:tcPr>
            <w:tcW w:w="0" w:type="dxa"/>
            <w:vAlign w:val="bottom"/>
          </w:tcPr>
          <w:p>
            <w:pPr>
              <w:spacing w:after="0"/>
              <w:rPr>
                <w:sz w:val="1"/>
                <w:szCs w:val="1"/>
                <w:color w:val="auto"/>
              </w:rPr>
            </w:pP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Time deposits</w:t>
            </w:r>
          </w:p>
        </w:tc>
        <w:tc>
          <w:tcPr>
            <w:tcW w:w="280" w:type="dxa"/>
            <w:vAlign w:val="bottom"/>
            <w:tcBorders>
              <w:bottom w:val="single" w:sz="8" w:color="E0E7ED"/>
            </w:tcBorders>
            <w:shd w:val="clear" w:color="auto" w:fill="E0E7ED"/>
          </w:tcPr>
          <w:p>
            <w:pPr>
              <w:spacing w:after="0"/>
              <w:rPr>
                <w:sz w:val="24"/>
                <w:szCs w:val="24"/>
                <w:color w:val="auto"/>
              </w:rPr>
            </w:pPr>
          </w:p>
        </w:tc>
        <w:tc>
          <w:tcPr>
            <w:tcW w:w="1240" w:type="dxa"/>
            <w:vAlign w:val="bottom"/>
            <w:tcBorders>
              <w:bottom w:val="single" w:sz="8" w:color="E0E7ED"/>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1,577,178</w:t>
            </w:r>
          </w:p>
        </w:tc>
        <w:tc>
          <w:tcPr>
            <w:tcW w:w="0" w:type="dxa"/>
            <w:vAlign w:val="bottom"/>
          </w:tcPr>
          <w:p>
            <w:pPr>
              <w:spacing w:after="0"/>
              <w:rPr>
                <w:sz w:val="1"/>
                <w:szCs w:val="1"/>
                <w:color w:val="auto"/>
              </w:rPr>
            </w:pPr>
          </w:p>
        </w:tc>
      </w:tr>
      <w:tr>
        <w:trPr>
          <w:trHeight w:val="20"/>
        </w:trPr>
        <w:tc>
          <w:tcPr>
            <w:tcW w:w="8120" w:type="dxa"/>
            <w:vAlign w:val="bottom"/>
            <w:tcBorders>
              <w:top w:val="single" w:sz="8" w:color="E0E7ED"/>
              <w:bottom w:val="single" w:sz="8" w:color="E0E7ED"/>
            </w:tcBorders>
            <w:vMerge w:val="restart"/>
          </w:tcPr>
          <w:p>
            <w:pPr>
              <w:ind w:left="5500"/>
              <w:spacing w:after="0"/>
              <w:rPr>
                <w:sz w:val="20"/>
                <w:szCs w:val="20"/>
                <w:color w:val="auto"/>
              </w:rPr>
            </w:pPr>
            <w:r>
              <w:rPr>
                <w:rFonts w:ascii="Verdana" w:cs="Verdana" w:eastAsia="Verdana" w:hAnsi="Verdana"/>
                <w:sz w:val="18"/>
                <w:szCs w:val="18"/>
                <w:color w:val="auto"/>
              </w:rPr>
              <w:t>35</w:t>
            </w:r>
          </w:p>
        </w:tc>
        <w:tc>
          <w:tcPr>
            <w:tcW w:w="28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3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8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5" w:name="page36"/>
    <w:bookmarkEnd w:id="3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6. BORROWINGS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Securities Sold Under Agreements to Repurchase</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Securities sold under agreements to repurchase, which are classified as secured borrowings, generally mature daily. Securities sold under agreements to repurchase are reflected at the amount of cash received in connection with the transaction. The underlying securities are held by Busey’s safekeeping agent. Busey may be required to provide additional collateral based on fluctuations in the fair value of the underlying securities. Securities sold under agreements to repurchase were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ind w:right="100"/>
              <w:spacing w:after="0"/>
              <w:rPr>
                <w:sz w:val="20"/>
                <w:szCs w:val="20"/>
                <w:color w:val="auto"/>
              </w:rPr>
            </w:pPr>
            <w:r>
              <w:rPr>
                <w:rFonts w:ascii="Verdana" w:cs="Verdana" w:eastAsia="Verdana" w:hAnsi="Verdana"/>
                <w:sz w:val="13"/>
                <w:szCs w:val="13"/>
                <w:b w:val="1"/>
                <w:bCs w:val="1"/>
                <w:color w:val="auto"/>
              </w:rPr>
              <w:t>As of</w:t>
            </w:r>
          </w:p>
        </w:tc>
        <w:tc>
          <w:tcPr>
            <w:tcW w:w="1440" w:type="dxa"/>
            <w:vAlign w:val="bottom"/>
            <w:tcBorders>
              <w:bottom w:val="single" w:sz="8" w:color="auto"/>
            </w:tcBorders>
          </w:tcPr>
          <w:p>
            <w:pPr>
              <w:spacing w:after="0"/>
              <w:rPr>
                <w:sz w:val="15"/>
                <w:szCs w:val="15"/>
                <w:color w:val="auto"/>
              </w:rPr>
            </w:pPr>
          </w:p>
        </w:tc>
      </w:tr>
      <w:tr>
        <w:trPr>
          <w:trHeight w:val="121"/>
        </w:trPr>
        <w:tc>
          <w:tcPr>
            <w:tcW w:w="7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right"/>
              <w:ind w:right="204"/>
              <w:spacing w:after="0" w:line="122" w:lineRule="exact"/>
              <w:rPr>
                <w:sz w:val="20"/>
                <w:szCs w:val="20"/>
                <w:color w:val="auto"/>
              </w:rPr>
            </w:pPr>
            <w:r>
              <w:rPr>
                <w:rFonts w:ascii="Verdana" w:cs="Verdana" w:eastAsia="Verdana" w:hAnsi="Verdana"/>
                <w:sz w:val="13"/>
                <w:szCs w:val="13"/>
                <w:b w:val="1"/>
                <w:bCs w:val="1"/>
                <w:color w:val="auto"/>
              </w:rPr>
              <w:t>March 31,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jc w:val="right"/>
              <w:ind w:right="264"/>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78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64"/>
              <w:spacing w:after="0"/>
              <w:rPr>
                <w:sz w:val="20"/>
                <w:szCs w:val="20"/>
                <w:color w:val="auto"/>
              </w:rPr>
            </w:pPr>
            <w:r>
              <w:rPr>
                <w:rFonts w:ascii="Verdana" w:cs="Verdana" w:eastAsia="Verdana" w:hAnsi="Verdana"/>
                <w:sz w:val="13"/>
                <w:szCs w:val="13"/>
                <w:b w:val="1"/>
                <w:bCs w:val="1"/>
                <w:color w:val="auto"/>
              </w:rPr>
              <w:t>2024</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8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78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Securities sold under agreements to repurchase</w:t>
            </w: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147,175</w:t>
            </w:r>
          </w:p>
        </w:tc>
        <w:tc>
          <w:tcPr>
            <w:tcW w:w="540" w:type="dxa"/>
            <w:vAlign w:val="bottom"/>
            <w:gridSpan w:val="3"/>
            <w:shd w:val="clear" w:color="auto" w:fill="E0E7ED"/>
          </w:tcPr>
          <w:p>
            <w:pPr>
              <w:jc w:val="right"/>
              <w:ind w:right="100"/>
              <w:spacing w:after="0"/>
              <w:rPr>
                <w:sz w:val="20"/>
                <w:szCs w:val="20"/>
                <w:color w:val="auto"/>
              </w:rPr>
            </w:pPr>
            <w:r>
              <w:rPr>
                <w:rFonts w:ascii="Verdana" w:cs="Verdana" w:eastAsia="Verdana" w:hAnsi="Verdana"/>
                <w:sz w:val="18"/>
                <w:szCs w:val="18"/>
                <w:color w:val="auto"/>
              </w:rPr>
              <w:t>$</w:t>
            </w:r>
          </w:p>
        </w:tc>
        <w:tc>
          <w:tcPr>
            <w:tcW w:w="1440" w:type="dxa"/>
            <w:vAlign w:val="bottom"/>
            <w:shd w:val="clear" w:color="auto" w:fill="E0E7ED"/>
          </w:tcPr>
          <w:p>
            <w:pPr>
              <w:jc w:val="right"/>
              <w:ind w:right="204"/>
              <w:spacing w:after="0"/>
              <w:rPr>
                <w:sz w:val="20"/>
                <w:szCs w:val="20"/>
                <w:color w:val="auto"/>
              </w:rPr>
            </w:pPr>
            <w:r>
              <w:rPr>
                <w:rFonts w:ascii="Verdana" w:cs="Verdana" w:eastAsia="Verdana" w:hAnsi="Verdana"/>
                <w:sz w:val="18"/>
                <w:szCs w:val="18"/>
                <w:color w:val="auto"/>
              </w:rPr>
              <w:t>187,396</w:t>
            </w:r>
          </w:p>
        </w:tc>
      </w:tr>
      <w:tr>
        <w:trPr>
          <w:trHeight w:val="257"/>
        </w:trPr>
        <w:tc>
          <w:tcPr>
            <w:tcW w:w="7800" w:type="dxa"/>
            <w:vAlign w:val="bottom"/>
          </w:tcPr>
          <w:p>
            <w:pPr>
              <w:ind w:left="20"/>
              <w:spacing w:after="0"/>
              <w:rPr>
                <w:sz w:val="20"/>
                <w:szCs w:val="20"/>
                <w:color w:val="auto"/>
              </w:rPr>
            </w:pPr>
            <w:r>
              <w:rPr>
                <w:rFonts w:ascii="Verdana" w:cs="Verdana" w:eastAsia="Verdana" w:hAnsi="Verdana"/>
                <w:sz w:val="18"/>
                <w:szCs w:val="18"/>
                <w:color w:val="auto"/>
              </w:rPr>
              <w:t>Weighted average rate for securities sold under agreements to repurchase</w:t>
            </w:r>
          </w:p>
        </w:tc>
        <w:tc>
          <w:tcPr>
            <w:tcW w:w="3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Verdana" w:cs="Verdana" w:eastAsia="Verdana" w:hAnsi="Verdana"/>
                <w:sz w:val="18"/>
                <w:szCs w:val="18"/>
                <w:color w:val="auto"/>
              </w:rPr>
              <w:t>2.96 %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3.26 %</w:t>
            </w:r>
          </w:p>
        </w:tc>
      </w:tr>
    </w:tbl>
    <w:p>
      <w:pPr>
        <w:spacing w:after="0" w:line="27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Term Loan</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May 28, 2021, Busey entered into a Second Amended and Restated Credit Agreement, pursuant to which Busey has access to (1) a $40.0 million revolving line of credit with an initial termination date of April 30, 2022, and (2) a $60.0 million Term Loan with a maturity date of May 31, 2026. The loans had an annual interest rate of 1.75% plus the one-month LIBOR rate. On April 30, 2022, the agreement was amended, effecting an extension of the termination date for the revolving line of credit to April 30, 2023, and providing for the transition from a LIBOR-indexed interest rate to a SOFR-indexed interest rate. Under the terms of the amendment, the loans now have an annual interest rate of 1.80% plus the one-month forward-looking term rate based on SOFR. The agreement has subsequently been amended twice to extend the termination date for the revolving line of credit, which is currently April 30, 2025. During the first quarter of 2024, Busey paid the full $30.0 million balance remaining on the Term Loan, at which time the Term Loan carried interest at a rate of 7.13%.</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 of March 31, 2024, there was no balance outstanding on the revolving credit facility. The revolving credit facility incurs a non-usage fee based on any undrawn amounts.</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Short-term Borrowings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Busey’s short-term borrowings include loans maturing within one year of the loan origination date and, when applicable, the current portion of long-term debt that is due within 12 months. Short-term borrowings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1180" w:type="dxa"/>
            <w:vAlign w:val="bottom"/>
          </w:tcPr>
          <w:p>
            <w:pPr>
              <w:jc w:val="right"/>
              <w:ind w:right="4"/>
              <w:spacing w:after="0" w:line="122" w:lineRule="exact"/>
              <w:rPr>
                <w:sz w:val="20"/>
                <w:szCs w:val="20"/>
                <w:color w:val="auto"/>
              </w:rPr>
            </w:pPr>
            <w:r>
              <w:rPr>
                <w:rFonts w:ascii="Verdana" w:cs="Verdana" w:eastAsia="Verdana" w:hAnsi="Verdana"/>
                <w:sz w:val="13"/>
                <w:szCs w:val="13"/>
                <w:b w:val="1"/>
                <w:bCs w:val="1"/>
                <w:color w:val="auto"/>
              </w:rPr>
              <w:t>March 31,</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jc w:val="right"/>
              <w:ind w:right="184"/>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180" w:type="dxa"/>
            <w:vAlign w:val="bottom"/>
            <w:tcBorders>
              <w:bottom w:val="single" w:sz="8" w:color="auto"/>
            </w:tcBorders>
          </w:tcPr>
          <w:p>
            <w:pPr>
              <w:jc w:val="right"/>
              <w:ind w:right="164"/>
              <w:spacing w:after="0"/>
              <w:rPr>
                <w:sz w:val="20"/>
                <w:szCs w:val="20"/>
                <w:color w:val="auto"/>
              </w:rPr>
            </w:pPr>
            <w:r>
              <w:rPr>
                <w:rFonts w:ascii="Verdana" w:cs="Verdana" w:eastAsia="Verdana" w:hAnsi="Verdana"/>
                <w:sz w:val="13"/>
                <w:szCs w:val="13"/>
                <w:b w:val="1"/>
                <w:bCs w:val="1"/>
                <w:color w:val="auto"/>
              </w:rPr>
              <w:t>2024</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Short-term borrowings</w:t>
            </w:r>
          </w:p>
        </w:tc>
        <w:tc>
          <w:tcPr>
            <w:tcW w:w="118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Term Loan, current portion due within 12 months</w:t>
            </w:r>
          </w:p>
        </w:tc>
        <w:tc>
          <w:tcPr>
            <w:tcW w:w="1180" w:type="dxa"/>
            <w:vAlign w:val="bottom"/>
            <w:tcBorders>
              <w:bottom w:val="single" w:sz="8" w:color="auto"/>
            </w:tcBorders>
          </w:tcPr>
          <w:p>
            <w:pPr>
              <w:jc w:val="right"/>
              <w:ind w:right="964"/>
              <w:spacing w:after="0"/>
              <w:rPr>
                <w:sz w:val="20"/>
                <w:szCs w:val="20"/>
                <w:color w:val="auto"/>
              </w:rPr>
            </w:pPr>
            <w:r>
              <w:rPr>
                <w:rFonts w:ascii="Verdana" w:cs="Verdana" w:eastAsia="Verdana" w:hAnsi="Verdana"/>
                <w:sz w:val="18"/>
                <w:szCs w:val="18"/>
                <w:color w:val="auto"/>
              </w:rPr>
              <w:t>$</w:t>
            </w:r>
          </w:p>
        </w:tc>
        <w:tc>
          <w:tcPr>
            <w:tcW w:w="340" w:type="dxa"/>
            <w:vAlign w:val="bottom"/>
            <w:tcBorders>
              <w:bottom w:val="single" w:sz="8" w:color="auto"/>
            </w:tcBorders>
          </w:tcPr>
          <w:p>
            <w:pPr>
              <w:ind w:left="60"/>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8"/>
                <w:szCs w:val="18"/>
                <w:color w:val="auto"/>
              </w:rPr>
              <w:t>12,000</w:t>
            </w:r>
          </w:p>
        </w:tc>
      </w:tr>
      <w:tr>
        <w:trPr>
          <w:trHeight w:val="29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short-term debt</w:t>
            </w:r>
          </w:p>
        </w:tc>
        <w:tc>
          <w:tcPr>
            <w:tcW w:w="1180" w:type="dxa"/>
            <w:vAlign w:val="bottom"/>
            <w:shd w:val="clear" w:color="auto" w:fill="E0E7ED"/>
          </w:tcPr>
          <w:p>
            <w:pPr>
              <w:jc w:val="right"/>
              <w:ind w:right="964"/>
              <w:spacing w:after="0"/>
              <w:rPr>
                <w:sz w:val="20"/>
                <w:szCs w:val="20"/>
                <w:color w:val="auto"/>
              </w:rPr>
            </w:pPr>
            <w:r>
              <w:rPr>
                <w:rFonts w:ascii="Verdana" w:cs="Verdana" w:eastAsia="Verdana" w:hAnsi="Verdana"/>
                <w:sz w:val="18"/>
                <w:szCs w:val="18"/>
                <w:color w:val="auto"/>
              </w:rPr>
              <w:t>$</w:t>
            </w:r>
          </w:p>
        </w:tc>
        <w:tc>
          <w:tcPr>
            <w:tcW w:w="420" w:type="dxa"/>
            <w:vAlign w:val="bottom"/>
            <w:gridSpan w:val="2"/>
            <w:shd w:val="clear" w:color="auto" w:fill="E0E7ED"/>
          </w:tcPr>
          <w:p>
            <w:pPr>
              <w:ind w:left="6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12,000</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Federal funds purchased are short-term borrowings that generally mature between one day and 90 days. During the first quarter of 2024, Busey purchased federal funds to test operational availability to access funds if needed. Busey had no federal funds purchased as of March 31, 2024, or December 31, 2023.</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6" w:name="page37"/>
    <w:bookmarkEnd w:id="3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Long-term Debt</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Busey’s long-term debt consists of loans maturing more than one year from the loan origination date, excluding the current portion that is due within 12 months. Long-term debt is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1180" w:type="dxa"/>
            <w:vAlign w:val="bottom"/>
          </w:tcPr>
          <w:p>
            <w:pPr>
              <w:jc w:val="right"/>
              <w:ind w:right="4"/>
              <w:spacing w:after="0" w:line="122" w:lineRule="exact"/>
              <w:rPr>
                <w:sz w:val="20"/>
                <w:szCs w:val="20"/>
                <w:color w:val="auto"/>
              </w:rPr>
            </w:pPr>
            <w:r>
              <w:rPr>
                <w:rFonts w:ascii="Verdana" w:cs="Verdana" w:eastAsia="Verdana" w:hAnsi="Verdana"/>
                <w:sz w:val="13"/>
                <w:szCs w:val="13"/>
                <w:b w:val="1"/>
                <w:bCs w:val="1"/>
                <w:color w:val="auto"/>
              </w:rPr>
              <w:t>March 31,</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jc w:val="right"/>
              <w:ind w:right="184"/>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180" w:type="dxa"/>
            <w:vAlign w:val="bottom"/>
            <w:tcBorders>
              <w:bottom w:val="single" w:sz="8" w:color="auto"/>
            </w:tcBorders>
          </w:tcPr>
          <w:p>
            <w:pPr>
              <w:jc w:val="right"/>
              <w:ind w:right="164"/>
              <w:spacing w:after="0"/>
              <w:rPr>
                <w:sz w:val="20"/>
                <w:szCs w:val="20"/>
                <w:color w:val="auto"/>
              </w:rPr>
            </w:pPr>
            <w:r>
              <w:rPr>
                <w:rFonts w:ascii="Verdana" w:cs="Verdana" w:eastAsia="Verdana" w:hAnsi="Verdana"/>
                <w:sz w:val="13"/>
                <w:szCs w:val="13"/>
                <w:b w:val="1"/>
                <w:bCs w:val="1"/>
                <w:color w:val="auto"/>
              </w:rPr>
              <w:t>2024</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Long-term debt</w:t>
            </w:r>
          </w:p>
        </w:tc>
        <w:tc>
          <w:tcPr>
            <w:tcW w:w="118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Term Loan</w:t>
            </w:r>
          </w:p>
        </w:tc>
        <w:tc>
          <w:tcPr>
            <w:tcW w:w="1180" w:type="dxa"/>
            <w:vAlign w:val="bottom"/>
            <w:tcBorders>
              <w:bottom w:val="single" w:sz="8" w:color="auto"/>
            </w:tcBorders>
          </w:tcPr>
          <w:p>
            <w:pPr>
              <w:jc w:val="right"/>
              <w:ind w:right="964"/>
              <w:spacing w:after="0"/>
              <w:rPr>
                <w:sz w:val="20"/>
                <w:szCs w:val="20"/>
                <w:color w:val="auto"/>
              </w:rPr>
            </w:pPr>
            <w:r>
              <w:rPr>
                <w:rFonts w:ascii="Verdana" w:cs="Verdana" w:eastAsia="Verdana" w:hAnsi="Verdana"/>
                <w:sz w:val="18"/>
                <w:szCs w:val="18"/>
                <w:color w:val="auto"/>
              </w:rPr>
              <w:t>$</w:t>
            </w:r>
          </w:p>
        </w:tc>
        <w:tc>
          <w:tcPr>
            <w:tcW w:w="340" w:type="dxa"/>
            <w:vAlign w:val="bottom"/>
            <w:tcBorders>
              <w:bottom w:val="single" w:sz="8" w:color="auto"/>
            </w:tcBorders>
          </w:tcPr>
          <w:p>
            <w:pPr>
              <w:ind w:left="60"/>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8"/>
                <w:szCs w:val="18"/>
                <w:color w:val="auto"/>
              </w:rPr>
              <w:t>18,000</w:t>
            </w:r>
          </w:p>
        </w:tc>
      </w:tr>
      <w:tr>
        <w:trPr>
          <w:trHeight w:val="29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long-term debt</w:t>
            </w:r>
          </w:p>
        </w:tc>
        <w:tc>
          <w:tcPr>
            <w:tcW w:w="1180" w:type="dxa"/>
            <w:vAlign w:val="bottom"/>
            <w:shd w:val="clear" w:color="auto" w:fill="E0E7ED"/>
          </w:tcPr>
          <w:p>
            <w:pPr>
              <w:jc w:val="right"/>
              <w:ind w:right="964"/>
              <w:spacing w:after="0"/>
              <w:rPr>
                <w:sz w:val="20"/>
                <w:szCs w:val="20"/>
                <w:color w:val="auto"/>
              </w:rPr>
            </w:pPr>
            <w:r>
              <w:rPr>
                <w:rFonts w:ascii="Verdana" w:cs="Verdana" w:eastAsia="Verdana" w:hAnsi="Verdana"/>
                <w:sz w:val="18"/>
                <w:szCs w:val="18"/>
                <w:color w:val="auto"/>
              </w:rPr>
              <w:t>$</w:t>
            </w:r>
          </w:p>
        </w:tc>
        <w:tc>
          <w:tcPr>
            <w:tcW w:w="420" w:type="dxa"/>
            <w:vAlign w:val="bottom"/>
            <w:gridSpan w:val="2"/>
            <w:shd w:val="clear" w:color="auto" w:fill="E0E7ED"/>
          </w:tcPr>
          <w:p>
            <w:pPr>
              <w:ind w:left="6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18,000</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Subordinated Notes</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June 1, 2020, Busey issued $125.0 million of fixed-to-floating rate subordinated notes that mature on June 1, 2030. The subordinated notes, which qualify as Tier 2 capital for regulatory purposes, bear interest at an annual rate of 5.25% for the first five years after issuance and thereafter bear interest at a floating rate equal to a three-month benchmark rate plus a spread of 5.11%, as calculated on each applicable determination date. Interest on the subordinated notes is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16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June 2, 2022, Busey issued $100.0 million aggregate principal amount of 5.000% fixed-to-floating rate subordinated notes maturing June 15, 2032, which qualify as Tier 2 capital for regulatory purposes. The price to the public for the subordinated notes was 100% of the principal amount of the subordinated notes. Interest on the subordinated notes accrues at a rate equal to (i) 5.000% per annum from the original issue date to, but excluding, June 15, 2027, payable semiannually in arrears, and (ii) a floating rate per annum equal to a benchmark rate, which is expected to be the Three-Month Term SOFR (as defined in the subordinated notes), plus a spread of 252 basis points from and including June 15, 2027, payable quarterly in arrears. The subordinated notes have an optional redemption, in whole or in part, on any interest payment date on or after June 15, 2027.</w:t>
      </w:r>
    </w:p>
    <w:p>
      <w:pPr>
        <w:spacing w:after="0" w:line="161"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Unamortized debt issuance costs related to Busey’s subordinated notes are presented in the following table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ind w:left="120"/>
              <w:spacing w:after="0" w:line="122" w:lineRule="exact"/>
              <w:rPr>
                <w:sz w:val="20"/>
                <w:szCs w:val="20"/>
                <w:color w:val="auto"/>
              </w:rPr>
            </w:pPr>
            <w:r>
              <w:rPr>
                <w:rFonts w:ascii="Verdana" w:cs="Verdana" w:eastAsia="Verdana" w:hAnsi="Verdana"/>
                <w:sz w:val="13"/>
                <w:szCs w:val="13"/>
                <w:b w:val="1"/>
                <w:bCs w:val="1"/>
                <w:color w:val="auto"/>
              </w:rPr>
              <w:t>March 31,</w:t>
            </w:r>
          </w:p>
        </w:tc>
        <w:tc>
          <w:tcPr>
            <w:tcW w:w="200" w:type="dxa"/>
            <w:vAlign w:val="bottom"/>
          </w:tcPr>
          <w:p>
            <w:pPr>
              <w:spacing w:after="0"/>
              <w:rPr>
                <w:sz w:val="10"/>
                <w:szCs w:val="10"/>
                <w:color w:val="auto"/>
              </w:rPr>
            </w:pPr>
          </w:p>
        </w:tc>
        <w:tc>
          <w:tcPr>
            <w:tcW w:w="1320" w:type="dxa"/>
            <w:vAlign w:val="bottom"/>
          </w:tcPr>
          <w:p>
            <w:pPr>
              <w:jc w:val="right"/>
              <w:ind w:right="181"/>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1"/>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Unamortized debt issuance costs</w:t>
            </w:r>
          </w:p>
        </w:tc>
        <w:tc>
          <w:tcPr>
            <w:tcW w:w="2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jc w:val="center"/>
              <w:ind w:right="4510"/>
              <w:spacing w:after="0"/>
              <w:rPr>
                <w:sz w:val="20"/>
                <w:szCs w:val="20"/>
                <w:color w:val="auto"/>
              </w:rPr>
            </w:pPr>
            <w:r>
              <w:rPr>
                <w:rFonts w:ascii="Verdana" w:cs="Verdana" w:eastAsia="Verdana" w:hAnsi="Verdana"/>
                <w:sz w:val="18"/>
                <w:szCs w:val="18"/>
                <w:color w:val="auto"/>
              </w:rPr>
              <w:t>Subordinated notes issued in 2020</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24"/>
              <w:spacing w:after="0"/>
              <w:rPr>
                <w:sz w:val="20"/>
                <w:szCs w:val="20"/>
                <w:color w:val="auto"/>
              </w:rPr>
            </w:pPr>
            <w:r>
              <w:rPr>
                <w:rFonts w:ascii="Verdana" w:cs="Verdana" w:eastAsia="Verdana" w:hAnsi="Verdana"/>
                <w:sz w:val="18"/>
                <w:szCs w:val="18"/>
                <w:color w:val="auto"/>
              </w:rPr>
              <w:t>610</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
              <w:spacing w:after="0"/>
              <w:rPr>
                <w:sz w:val="20"/>
                <w:szCs w:val="20"/>
                <w:color w:val="auto"/>
              </w:rPr>
            </w:pPr>
            <w:r>
              <w:rPr>
                <w:rFonts w:ascii="Verdana" w:cs="Verdana" w:eastAsia="Verdana" w:hAnsi="Verdana"/>
                <w:sz w:val="18"/>
                <w:szCs w:val="18"/>
                <w:color w:val="auto"/>
              </w:rPr>
              <w:t>735</w:t>
            </w:r>
          </w:p>
        </w:tc>
      </w:tr>
      <w:tr>
        <w:trPr>
          <w:trHeight w:val="270"/>
        </w:trPr>
        <w:tc>
          <w:tcPr>
            <w:tcW w:w="8120" w:type="dxa"/>
            <w:vAlign w:val="bottom"/>
            <w:shd w:val="clear" w:color="auto" w:fill="E0E7ED"/>
          </w:tcPr>
          <w:p>
            <w:pPr>
              <w:jc w:val="center"/>
              <w:ind w:right="4510"/>
              <w:spacing w:after="0"/>
              <w:rPr>
                <w:sz w:val="20"/>
                <w:szCs w:val="20"/>
                <w:color w:val="auto"/>
              </w:rPr>
            </w:pPr>
            <w:r>
              <w:rPr>
                <w:rFonts w:ascii="Verdana" w:cs="Verdana" w:eastAsia="Verdana" w:hAnsi="Verdana"/>
                <w:sz w:val="18"/>
                <w:szCs w:val="18"/>
                <w:color w:val="auto"/>
              </w:rPr>
              <w:t>Subordinated notes issued in 2022</w:t>
            </w:r>
          </w:p>
        </w:tc>
        <w:tc>
          <w:tcPr>
            <w:tcW w:w="2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1,290</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1,383</w:t>
            </w:r>
          </w:p>
        </w:tc>
      </w:tr>
      <w:tr>
        <w:trPr>
          <w:trHeight w:val="270"/>
        </w:trPr>
        <w:tc>
          <w:tcPr>
            <w:tcW w:w="8120" w:type="dxa"/>
            <w:vAlign w:val="bottom"/>
          </w:tcPr>
          <w:p>
            <w:pPr>
              <w:jc w:val="center"/>
              <w:ind w:right="4530"/>
              <w:spacing w:after="0"/>
              <w:rPr>
                <w:sz w:val="20"/>
                <w:szCs w:val="20"/>
                <w:color w:val="auto"/>
              </w:rPr>
            </w:pPr>
            <w:r>
              <w:rPr>
                <w:rFonts w:ascii="Verdana" w:cs="Verdana" w:eastAsia="Verdana" w:hAnsi="Verdana"/>
                <w:sz w:val="18"/>
                <w:szCs w:val="18"/>
                <w:color w:val="auto"/>
                <w:w w:val="99"/>
              </w:rPr>
              <w:t>Total unamortized debt issuance costs</w:t>
            </w:r>
          </w:p>
        </w:tc>
        <w:tc>
          <w:tcPr>
            <w:tcW w:w="28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ind w:right="24"/>
              <w:spacing w:after="0"/>
              <w:rPr>
                <w:sz w:val="20"/>
                <w:szCs w:val="20"/>
                <w:color w:val="auto"/>
              </w:rPr>
            </w:pPr>
            <w:r>
              <w:rPr>
                <w:rFonts w:ascii="Verdana" w:cs="Verdana" w:eastAsia="Verdana" w:hAnsi="Verdana"/>
                <w:sz w:val="18"/>
                <w:szCs w:val="18"/>
                <w:color w:val="auto"/>
              </w:rPr>
              <w:t>1,900</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2,118</w:t>
            </w:r>
          </w:p>
        </w:tc>
      </w:tr>
      <w:tr>
        <w:trPr>
          <w:trHeight w:val="21"/>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7. REGULATORY CAPITAL</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and Busey Bank are subject to various regulatory capital requirements administered by federal banking agencies. Failure to meet minimum capital requirements can initiate certain mandatory—and possibly additional discretionary— actions by regulators that, if undertaken, could have a direct material effect on Busey's consolidated financial statements. Capital amounts and classification also are subject to qualitative judgments by regulators about components, risk weightings, and other factors.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7" w:name="page38"/>
    <w:bookmarkEnd w:id="3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Banking regulations identify five capital categories for insured depository institutions: well capitalized, adequately capitalized, undercapitalized, significantly undercapitalized, and critically undercapitalized. As of March 31, 2024, and December 31, 2023, all capital ratios of Busey and Busey Bank exceeded well capitalized levels under the applicable regulatory capital adequacy guidelines. Management believes that no events or changes have occurred subsequent to March 31, 2024, that would change this designation.</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Current Expected Credit Loss Model</w:t>
      </w:r>
    </w:p>
    <w:p>
      <w:pPr>
        <w:spacing w:after="0" w:line="186"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On August 26, 2020, the FDIC and other federal banking agencies adopted a final rule which provided banking organizations that adopted CECL during 2020 with the option to delay for two years the estimated impact of CECL on regulatory capital and to phase in the aggregate impact of the deferral on regulatory capital over a subsequent three-year period. Under this final rule, because Busey elected to use the deferral option, the regulatory capital impact of our transition adjustments recorded on January 1, 2020, arising from the adoption of CECL, was deferred for two years. In addition, 25 percent of the ongoing impact of CECL on our ACL, retained earnings, and average total consolidated assets from January 1, 2020, through the end of the two-year deferral period, each as reported for regulatory capital purposes, has been added to the deferred transition amounts (“adjusted transition amounts”) and deferred for the two-year period. On January 1, 2022, at the conclusion of the two-year period, the adjusted transition amounts began to be phased-in for regulatory capital purposes at a rate of 25 percent per year, with the phased-in amounts included in regulatory capital at the beginning of each year.</w:t>
      </w:r>
    </w:p>
    <w:p>
      <w:pPr>
        <w:spacing w:after="0" w:line="1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Capital Amounts and Ratios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following tables summarize regulatory capital requirements applicable to Busey and Busey Bank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ind w:left="220"/>
              <w:spacing w:after="0"/>
              <w:rPr>
                <w:sz w:val="20"/>
                <w:szCs w:val="20"/>
                <w:color w:val="auto"/>
              </w:rPr>
            </w:pPr>
            <w:r>
              <w:rPr>
                <w:rFonts w:ascii="Verdana" w:cs="Verdana" w:eastAsia="Verdana" w:hAnsi="Verdana"/>
                <w:sz w:val="13"/>
                <w:szCs w:val="13"/>
                <w:b w:val="1"/>
                <w:bCs w:val="1"/>
                <w:color w:val="auto"/>
              </w:rPr>
              <w:t>As of March 31, 2024</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vMerge w:val="restart"/>
          </w:tcPr>
          <w:p>
            <w:pPr>
              <w:ind w:left="640"/>
              <w:spacing w:after="0"/>
              <w:rPr>
                <w:sz w:val="20"/>
                <w:szCs w:val="20"/>
                <w:color w:val="auto"/>
              </w:rPr>
            </w:pPr>
            <w:r>
              <w:rPr>
                <w:rFonts w:ascii="Verdana" w:cs="Verdana" w:eastAsia="Verdana" w:hAnsi="Verdana"/>
                <w:sz w:val="13"/>
                <w:szCs w:val="13"/>
                <w:b w:val="1"/>
                <w:bCs w:val="1"/>
                <w:color w:val="auto"/>
              </w:rPr>
              <w:t>Minimum</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left="499"/>
              <w:spacing w:after="0" w:line="122" w:lineRule="exact"/>
              <w:rPr>
                <w:sz w:val="20"/>
                <w:szCs w:val="20"/>
                <w:color w:val="auto"/>
              </w:rPr>
            </w:pPr>
            <w:r>
              <w:rPr>
                <w:rFonts w:ascii="Verdana" w:cs="Verdana" w:eastAsia="Verdana" w:hAnsi="Verdana"/>
                <w:sz w:val="13"/>
                <w:szCs w:val="13"/>
                <w:b w:val="1"/>
                <w:bCs w:val="1"/>
                <w:color w:val="auto"/>
                <w:w w:val="98"/>
              </w:rPr>
              <w:t>Minimum</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3"/>
            <w:vMerge w:val="restart"/>
          </w:tcPr>
          <w:p>
            <w:pPr>
              <w:ind w:left="800"/>
              <w:spacing w:after="0"/>
              <w:rPr>
                <w:sz w:val="20"/>
                <w:szCs w:val="20"/>
                <w:color w:val="auto"/>
              </w:rPr>
            </w:pPr>
            <w:r>
              <w:rPr>
                <w:rFonts w:ascii="Verdana" w:cs="Verdana" w:eastAsia="Verdana" w:hAnsi="Verdana"/>
                <w:sz w:val="13"/>
                <w:szCs w:val="13"/>
                <w:b w:val="1"/>
                <w:bCs w:val="1"/>
                <w:color w:val="auto"/>
              </w:rPr>
              <w:t>Actual</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left="499"/>
              <w:spacing w:after="0" w:line="122" w:lineRule="exact"/>
              <w:rPr>
                <w:sz w:val="20"/>
                <w:szCs w:val="20"/>
                <w:color w:val="auto"/>
              </w:rPr>
            </w:pPr>
            <w:r>
              <w:rPr>
                <w:rFonts w:ascii="Verdana" w:cs="Verdana" w:eastAsia="Verdana" w:hAnsi="Verdana"/>
                <w:sz w:val="13"/>
                <w:szCs w:val="13"/>
                <w:b w:val="1"/>
                <w:bCs w:val="1"/>
                <w:color w:val="auto"/>
                <w:w w:val="95"/>
              </w:rPr>
              <w:t>To Be Well</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ind w:left="240"/>
              <w:spacing w:after="0"/>
              <w:rPr>
                <w:sz w:val="20"/>
                <w:szCs w:val="20"/>
                <w:color w:val="auto"/>
              </w:rPr>
            </w:pPr>
            <w:r>
              <w:rPr>
                <w:rFonts w:ascii="Verdana" w:cs="Verdana" w:eastAsia="Verdana" w:hAnsi="Verdana"/>
                <w:sz w:val="13"/>
                <w:szCs w:val="13"/>
                <w:b w:val="1"/>
                <w:bCs w:val="1"/>
                <w:color w:val="auto"/>
              </w:rPr>
              <w:t>Capital Requirement</w:t>
            </w:r>
          </w:p>
        </w:tc>
        <w:tc>
          <w:tcPr>
            <w:tcW w:w="260" w:type="dxa"/>
            <w:vAlign w:val="bottom"/>
          </w:tcPr>
          <w:p>
            <w:pPr>
              <w:spacing w:after="0"/>
              <w:rPr>
                <w:sz w:val="14"/>
                <w:szCs w:val="14"/>
                <w:color w:val="auto"/>
              </w:rPr>
            </w:pPr>
          </w:p>
        </w:tc>
        <w:tc>
          <w:tcPr>
            <w:tcW w:w="1400" w:type="dxa"/>
            <w:vAlign w:val="bottom"/>
            <w:gridSpan w:val="3"/>
          </w:tcPr>
          <w:p>
            <w:pPr>
              <w:jc w:val="center"/>
              <w:ind w:left="499"/>
              <w:spacing w:after="0"/>
              <w:rPr>
                <w:sz w:val="20"/>
                <w:szCs w:val="20"/>
                <w:color w:val="auto"/>
              </w:rPr>
            </w:pPr>
            <w:r>
              <w:rPr>
                <w:rFonts w:ascii="Verdana" w:cs="Verdana" w:eastAsia="Verdana" w:hAnsi="Verdana"/>
                <w:sz w:val="13"/>
                <w:szCs w:val="13"/>
                <w:b w:val="1"/>
                <w:bCs w:val="1"/>
                <w:color w:val="auto"/>
                <w:w w:val="96"/>
              </w:rPr>
              <w:t>Capitalized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3"/>
          </w:tcPr>
          <w:p>
            <w:pPr>
              <w:ind w:left="180"/>
              <w:spacing w:after="0"/>
              <w:rPr>
                <w:sz w:val="20"/>
                <w:szCs w:val="20"/>
                <w:color w:val="auto"/>
              </w:rPr>
            </w:pPr>
            <w:r>
              <w:rPr>
                <w:rFonts w:ascii="Verdana" w:cs="Verdana" w:eastAsia="Verdana" w:hAnsi="Verdana"/>
                <w:sz w:val="13"/>
                <w:szCs w:val="13"/>
                <w:b w:val="1"/>
                <w:bCs w:val="1"/>
                <w:color w:val="auto"/>
              </w:rPr>
              <w:t>Amount</w:t>
            </w:r>
          </w:p>
        </w:tc>
        <w:tc>
          <w:tcPr>
            <w:tcW w:w="920" w:type="dxa"/>
            <w:vAlign w:val="bottom"/>
            <w:tcBorders>
              <w:top w:val="single" w:sz="8" w:color="auto"/>
            </w:tcBorders>
          </w:tcPr>
          <w:p>
            <w:pPr>
              <w:jc w:val="right"/>
              <w:ind w:right="253"/>
              <w:spacing w:after="0"/>
              <w:rPr>
                <w:sz w:val="20"/>
                <w:szCs w:val="20"/>
                <w:color w:val="auto"/>
              </w:rPr>
            </w:pPr>
            <w:r>
              <w:rPr>
                <w:rFonts w:ascii="Verdana" w:cs="Verdana" w:eastAsia="Verdana" w:hAnsi="Verdana"/>
                <w:sz w:val="13"/>
                <w:szCs w:val="13"/>
                <w:b w:val="1"/>
                <w:bCs w:val="1"/>
                <w:color w:val="auto"/>
              </w:rPr>
              <w:t>Ratio</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120"/>
              <w:spacing w:after="0"/>
              <w:rPr>
                <w:sz w:val="20"/>
                <w:szCs w:val="20"/>
                <w:color w:val="auto"/>
              </w:rPr>
            </w:pPr>
            <w:r>
              <w:rPr>
                <w:rFonts w:ascii="Verdana" w:cs="Verdana" w:eastAsia="Verdana" w:hAnsi="Verdana"/>
                <w:sz w:val="13"/>
                <w:szCs w:val="13"/>
                <w:b w:val="1"/>
                <w:bCs w:val="1"/>
                <w:color w:val="auto"/>
              </w:rPr>
              <w:t>Amount</w:t>
            </w:r>
          </w:p>
        </w:tc>
        <w:tc>
          <w:tcPr>
            <w:tcW w:w="800" w:type="dxa"/>
            <w:vAlign w:val="bottom"/>
            <w:tcBorders>
              <w:top w:val="single" w:sz="8" w:color="auto"/>
            </w:tcBorders>
          </w:tcPr>
          <w:p>
            <w:pPr>
              <w:ind w:left="100"/>
              <w:spacing w:after="0"/>
              <w:rPr>
                <w:sz w:val="20"/>
                <w:szCs w:val="20"/>
                <w:color w:val="auto"/>
              </w:rPr>
            </w:pPr>
            <w:r>
              <w:rPr>
                <w:rFonts w:ascii="Verdana" w:cs="Verdana" w:eastAsia="Verdana" w:hAnsi="Verdana"/>
                <w:sz w:val="13"/>
                <w:szCs w:val="13"/>
                <w:b w:val="1"/>
                <w:bCs w:val="1"/>
                <w:color w:val="auto"/>
              </w:rPr>
              <w:t>Ratio</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140"/>
              <w:spacing w:after="0"/>
              <w:rPr>
                <w:sz w:val="20"/>
                <w:szCs w:val="20"/>
                <w:color w:val="auto"/>
              </w:rPr>
            </w:pPr>
            <w:r>
              <w:rPr>
                <w:rFonts w:ascii="Verdana" w:cs="Verdana" w:eastAsia="Verdana" w:hAnsi="Verdana"/>
                <w:sz w:val="13"/>
                <w:szCs w:val="13"/>
                <w:b w:val="1"/>
                <w:bCs w:val="1"/>
                <w:color w:val="auto"/>
              </w:rPr>
              <w:t>Amount</w:t>
            </w:r>
          </w:p>
        </w:tc>
        <w:tc>
          <w:tcPr>
            <w:tcW w:w="840" w:type="dxa"/>
            <w:vAlign w:val="bottom"/>
            <w:tcBorders>
              <w:top w:val="single" w:sz="8" w:color="auto"/>
            </w:tcBorders>
          </w:tcPr>
          <w:p>
            <w:pPr>
              <w:jc w:val="right"/>
              <w:ind w:right="253"/>
              <w:spacing w:after="0"/>
              <w:rPr>
                <w:sz w:val="20"/>
                <w:szCs w:val="20"/>
                <w:color w:val="auto"/>
              </w:rPr>
            </w:pPr>
            <w:r>
              <w:rPr>
                <w:rFonts w:ascii="Verdana" w:cs="Verdana" w:eastAsia="Verdana" w:hAnsi="Verdana"/>
                <w:sz w:val="13"/>
                <w:szCs w:val="13"/>
                <w:b w:val="1"/>
                <w:bCs w:val="1"/>
                <w:color w:val="auto"/>
              </w:rPr>
              <w:t>Ratio</w:t>
            </w:r>
          </w:p>
        </w:tc>
        <w:tc>
          <w:tcPr>
            <w:tcW w:w="0" w:type="dxa"/>
            <w:vAlign w:val="bottom"/>
          </w:tcPr>
          <w:p>
            <w:pPr>
              <w:spacing w:after="0"/>
              <w:rPr>
                <w:sz w:val="1"/>
                <w:szCs w:val="1"/>
                <w:color w:val="auto"/>
              </w:rPr>
            </w:pPr>
          </w:p>
        </w:tc>
      </w:tr>
      <w:tr>
        <w:trPr>
          <w:trHeight w:val="223"/>
        </w:trPr>
        <w:tc>
          <w:tcPr>
            <w:tcW w:w="35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Common equity Tier 1 capital to</w:t>
            </w:r>
          </w:p>
        </w:tc>
        <w:tc>
          <w:tcPr>
            <w:tcW w:w="220" w:type="dxa"/>
            <w:vAlign w:val="bottom"/>
            <w:tcBorders>
              <w:top w:val="single" w:sz="8" w:color="auto"/>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40" w:type="dxa"/>
            <w:vAlign w:val="bottom"/>
            <w:tcBorders>
              <w:top w:val="single" w:sz="8" w:color="auto"/>
            </w:tcBorders>
            <w:shd w:val="clear" w:color="auto" w:fill="E0E7ED"/>
          </w:tcPr>
          <w:p>
            <w:pPr>
              <w:spacing w:after="0"/>
              <w:rPr>
                <w:sz w:val="19"/>
                <w:szCs w:val="19"/>
                <w:color w:val="auto"/>
              </w:rPr>
            </w:pPr>
          </w:p>
        </w:tc>
        <w:tc>
          <w:tcPr>
            <w:tcW w:w="9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0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8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0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8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risk weighted 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1,166,919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13.45 %</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tcPr>
          <w:p>
            <w:pPr>
              <w:ind w:left="240"/>
              <w:spacing w:after="0"/>
              <w:rPr>
                <w:sz w:val="20"/>
                <w:szCs w:val="20"/>
                <w:color w:val="auto"/>
              </w:rPr>
            </w:pPr>
            <w:r>
              <w:rPr>
                <w:rFonts w:ascii="Verdana" w:cs="Verdana" w:eastAsia="Verdana" w:hAnsi="Verdana"/>
                <w:sz w:val="18"/>
                <w:szCs w:val="18"/>
                <w:color w:val="auto"/>
              </w:rPr>
              <w:t>390,433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4.50 %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563,958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6.50 %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1,365,033</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15.79 %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shd w:val="clear" w:color="auto" w:fill="E0E7ED"/>
          </w:tcPr>
          <w:p>
            <w:pPr>
              <w:ind w:left="240"/>
              <w:spacing w:after="0"/>
              <w:rPr>
                <w:sz w:val="20"/>
                <w:szCs w:val="20"/>
                <w:color w:val="auto"/>
              </w:rPr>
            </w:pPr>
            <w:r>
              <w:rPr>
                <w:rFonts w:ascii="Verdana" w:cs="Verdana" w:eastAsia="Verdana" w:hAnsi="Verdana"/>
                <w:sz w:val="18"/>
                <w:szCs w:val="18"/>
                <w:color w:val="auto"/>
              </w:rPr>
              <w:t>389,113</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4.50 %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562,052</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Tier 1 capital to risk weighted</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1,240,919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14.30 %</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tcPr>
          <w:p>
            <w:pPr>
              <w:ind w:left="240"/>
              <w:spacing w:after="0"/>
              <w:rPr>
                <w:sz w:val="20"/>
                <w:szCs w:val="20"/>
                <w:color w:val="auto"/>
              </w:rPr>
            </w:pPr>
            <w:r>
              <w:rPr>
                <w:rFonts w:ascii="Verdana" w:cs="Verdana" w:eastAsia="Verdana" w:hAnsi="Verdana"/>
                <w:sz w:val="18"/>
                <w:szCs w:val="18"/>
                <w:color w:val="auto"/>
              </w:rPr>
              <w:t>520,577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6.00 %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694,103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8.00 %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1,365,033</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15.79 %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shd w:val="clear" w:color="auto" w:fill="E0E7ED"/>
          </w:tcPr>
          <w:p>
            <w:pPr>
              <w:ind w:left="240"/>
              <w:spacing w:after="0"/>
              <w:rPr>
                <w:sz w:val="20"/>
                <w:szCs w:val="20"/>
                <w:color w:val="auto"/>
              </w:rPr>
            </w:pPr>
            <w:r>
              <w:rPr>
                <w:rFonts w:ascii="Verdana" w:cs="Verdana" w:eastAsia="Verdana" w:hAnsi="Verdana"/>
                <w:sz w:val="18"/>
                <w:szCs w:val="18"/>
                <w:color w:val="auto"/>
              </w:rPr>
              <w:t>518,817</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6.00 %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691,756</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8.00 %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capital to risk weighted</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1,557,137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17.95 %</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tcPr>
          <w:p>
            <w:pPr>
              <w:ind w:left="240"/>
              <w:spacing w:after="0"/>
              <w:rPr>
                <w:sz w:val="20"/>
                <w:szCs w:val="20"/>
                <w:color w:val="auto"/>
              </w:rPr>
            </w:pPr>
            <w:r>
              <w:rPr>
                <w:rFonts w:ascii="Verdana" w:cs="Verdana" w:eastAsia="Verdana" w:hAnsi="Verdana"/>
                <w:sz w:val="18"/>
                <w:szCs w:val="18"/>
                <w:color w:val="auto"/>
              </w:rPr>
              <w:t>694,103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8.00 %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867,628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10.00 %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1,456,250</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16.84 %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shd w:val="clear" w:color="auto" w:fill="E0E7ED"/>
          </w:tcPr>
          <w:p>
            <w:pPr>
              <w:ind w:left="240"/>
              <w:spacing w:after="0"/>
              <w:rPr>
                <w:sz w:val="20"/>
                <w:szCs w:val="20"/>
                <w:color w:val="auto"/>
              </w:rPr>
            </w:pPr>
            <w:r>
              <w:rPr>
                <w:rFonts w:ascii="Verdana" w:cs="Verdana" w:eastAsia="Verdana" w:hAnsi="Verdana"/>
                <w:sz w:val="18"/>
                <w:szCs w:val="18"/>
                <w:color w:val="auto"/>
              </w:rPr>
              <w:t>691,756</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8.00 %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864,695</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Leverage ratio of Tier 1 capital to</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average 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1,240,919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10.46 %</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tcPr>
          <w:p>
            <w:pPr>
              <w:ind w:left="240"/>
              <w:spacing w:after="0"/>
              <w:rPr>
                <w:sz w:val="20"/>
                <w:szCs w:val="20"/>
                <w:color w:val="auto"/>
              </w:rPr>
            </w:pPr>
            <w:r>
              <w:rPr>
                <w:rFonts w:ascii="Verdana" w:cs="Verdana" w:eastAsia="Verdana" w:hAnsi="Verdana"/>
                <w:sz w:val="18"/>
                <w:szCs w:val="18"/>
                <w:color w:val="auto"/>
              </w:rPr>
              <w:t>474,678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4.00 %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3"/>
          </w:tcPr>
          <w:p>
            <w:pPr>
              <w:ind w:left="720"/>
              <w:spacing w:after="0"/>
              <w:rPr>
                <w:sz w:val="20"/>
                <w:szCs w:val="20"/>
                <w:color w:val="auto"/>
              </w:rPr>
            </w:pPr>
            <w:r>
              <w:rPr>
                <w:rFonts w:ascii="Verdana" w:cs="Verdana" w:eastAsia="Verdana" w:hAnsi="Verdana"/>
                <w:sz w:val="18"/>
                <w:szCs w:val="18"/>
                <w:color w:val="auto"/>
              </w:rPr>
              <w:t>N/A</w:t>
            </w:r>
          </w:p>
        </w:tc>
        <w:tc>
          <w:tcPr>
            <w:tcW w:w="840" w:type="dxa"/>
            <w:vAlign w:val="bottom"/>
          </w:tcPr>
          <w:p>
            <w:pPr>
              <w:jc w:val="right"/>
              <w:spacing w:after="0"/>
              <w:rPr>
                <w:sz w:val="20"/>
                <w:szCs w:val="20"/>
                <w:color w:val="auto"/>
              </w:rPr>
            </w:pPr>
            <w:r>
              <w:rPr>
                <w:rFonts w:ascii="Verdana" w:cs="Verdana" w:eastAsia="Verdana" w:hAnsi="Verdana"/>
                <w:sz w:val="18"/>
                <w:szCs w:val="18"/>
                <w:color w:val="auto"/>
              </w:rPr>
              <w:t>N/A</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1,365,033</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11.53 %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shd w:val="clear" w:color="auto" w:fill="E0E7ED"/>
          </w:tcPr>
          <w:p>
            <w:pPr>
              <w:ind w:left="240"/>
              <w:spacing w:after="0"/>
              <w:rPr>
                <w:sz w:val="20"/>
                <w:szCs w:val="20"/>
                <w:color w:val="auto"/>
              </w:rPr>
            </w:pPr>
            <w:r>
              <w:rPr>
                <w:rFonts w:ascii="Verdana" w:cs="Verdana" w:eastAsia="Verdana" w:hAnsi="Verdana"/>
                <w:sz w:val="18"/>
                <w:szCs w:val="18"/>
                <w:color w:val="auto"/>
              </w:rPr>
              <w:t>473,422</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4.00 %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591,777</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07"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type w:val="continuous"/>
        </w:sectPr>
      </w:pPr>
    </w:p>
    <w:bookmarkStart w:id="38" w:name="page39"/>
    <w:bookmarkEnd w:id="3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100"/>
              <w:spacing w:after="0"/>
              <w:rPr>
                <w:sz w:val="20"/>
                <w:szCs w:val="20"/>
                <w:color w:val="auto"/>
              </w:rPr>
            </w:pPr>
            <w:r>
              <w:rPr>
                <w:rFonts w:ascii="Verdana" w:cs="Verdana" w:eastAsia="Verdana" w:hAnsi="Verdana"/>
                <w:sz w:val="13"/>
                <w:szCs w:val="13"/>
                <w:b w:val="1"/>
                <w:bCs w:val="1"/>
                <w:color w:val="auto"/>
              </w:rPr>
              <w:t>As of December 31, 2023</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vMerge w:val="restart"/>
          </w:tcPr>
          <w:p>
            <w:pPr>
              <w:ind w:left="660"/>
              <w:spacing w:after="0"/>
              <w:rPr>
                <w:sz w:val="20"/>
                <w:szCs w:val="20"/>
                <w:color w:val="auto"/>
              </w:rPr>
            </w:pPr>
            <w:r>
              <w:rPr>
                <w:rFonts w:ascii="Verdana" w:cs="Verdana" w:eastAsia="Verdana" w:hAnsi="Verdana"/>
                <w:sz w:val="13"/>
                <w:szCs w:val="13"/>
                <w:b w:val="1"/>
                <w:bCs w:val="1"/>
                <w:color w:val="auto"/>
              </w:rPr>
              <w:t>Minimum</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left="499"/>
              <w:spacing w:after="0" w:line="122" w:lineRule="exact"/>
              <w:rPr>
                <w:sz w:val="20"/>
                <w:szCs w:val="20"/>
                <w:color w:val="auto"/>
              </w:rPr>
            </w:pPr>
            <w:r>
              <w:rPr>
                <w:rFonts w:ascii="Verdana" w:cs="Verdana" w:eastAsia="Verdana" w:hAnsi="Verdana"/>
                <w:sz w:val="13"/>
                <w:szCs w:val="13"/>
                <w:b w:val="1"/>
                <w:bCs w:val="1"/>
                <w:color w:val="auto"/>
                <w:w w:val="98"/>
              </w:rPr>
              <w:t>Minimum</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3"/>
            <w:vMerge w:val="restart"/>
          </w:tcPr>
          <w:p>
            <w:pPr>
              <w:ind w:left="800"/>
              <w:spacing w:after="0"/>
              <w:rPr>
                <w:sz w:val="20"/>
                <w:szCs w:val="20"/>
                <w:color w:val="auto"/>
              </w:rPr>
            </w:pPr>
            <w:r>
              <w:rPr>
                <w:rFonts w:ascii="Verdana" w:cs="Verdana" w:eastAsia="Verdana" w:hAnsi="Verdana"/>
                <w:sz w:val="13"/>
                <w:szCs w:val="13"/>
                <w:b w:val="1"/>
                <w:bCs w:val="1"/>
                <w:color w:val="auto"/>
              </w:rPr>
              <w:t>Actual</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left="499"/>
              <w:spacing w:after="0" w:line="122" w:lineRule="exact"/>
              <w:rPr>
                <w:sz w:val="20"/>
                <w:szCs w:val="20"/>
                <w:color w:val="auto"/>
              </w:rPr>
            </w:pPr>
            <w:r>
              <w:rPr>
                <w:rFonts w:ascii="Verdana" w:cs="Verdana" w:eastAsia="Verdana" w:hAnsi="Verdana"/>
                <w:sz w:val="13"/>
                <w:szCs w:val="13"/>
                <w:b w:val="1"/>
                <w:bCs w:val="1"/>
                <w:color w:val="auto"/>
                <w:w w:val="95"/>
              </w:rPr>
              <w:t>To Be Well</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ind w:left="260"/>
              <w:spacing w:after="0"/>
              <w:rPr>
                <w:sz w:val="20"/>
                <w:szCs w:val="20"/>
                <w:color w:val="auto"/>
              </w:rPr>
            </w:pPr>
            <w:r>
              <w:rPr>
                <w:rFonts w:ascii="Verdana" w:cs="Verdana" w:eastAsia="Verdana" w:hAnsi="Verdana"/>
                <w:sz w:val="13"/>
                <w:szCs w:val="13"/>
                <w:b w:val="1"/>
                <w:bCs w:val="1"/>
                <w:color w:val="auto"/>
              </w:rPr>
              <w:t>Capital Requirement</w:t>
            </w:r>
          </w:p>
        </w:tc>
        <w:tc>
          <w:tcPr>
            <w:tcW w:w="260" w:type="dxa"/>
            <w:vAlign w:val="bottom"/>
          </w:tcPr>
          <w:p>
            <w:pPr>
              <w:spacing w:after="0"/>
              <w:rPr>
                <w:sz w:val="14"/>
                <w:szCs w:val="14"/>
                <w:color w:val="auto"/>
              </w:rPr>
            </w:pPr>
          </w:p>
        </w:tc>
        <w:tc>
          <w:tcPr>
            <w:tcW w:w="1400" w:type="dxa"/>
            <w:vAlign w:val="bottom"/>
            <w:gridSpan w:val="3"/>
          </w:tcPr>
          <w:p>
            <w:pPr>
              <w:jc w:val="center"/>
              <w:ind w:left="499"/>
              <w:spacing w:after="0"/>
              <w:rPr>
                <w:sz w:val="20"/>
                <w:szCs w:val="20"/>
                <w:color w:val="auto"/>
              </w:rPr>
            </w:pPr>
            <w:r>
              <w:rPr>
                <w:rFonts w:ascii="Verdana" w:cs="Verdana" w:eastAsia="Verdana" w:hAnsi="Verdana"/>
                <w:sz w:val="13"/>
                <w:szCs w:val="13"/>
                <w:b w:val="1"/>
                <w:bCs w:val="1"/>
                <w:color w:val="auto"/>
                <w:w w:val="96"/>
              </w:rPr>
              <w:t>Capitalized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3"/>
          </w:tcPr>
          <w:p>
            <w:pPr>
              <w:ind w:left="180"/>
              <w:spacing w:after="0"/>
              <w:rPr>
                <w:sz w:val="20"/>
                <w:szCs w:val="20"/>
                <w:color w:val="auto"/>
              </w:rPr>
            </w:pPr>
            <w:r>
              <w:rPr>
                <w:rFonts w:ascii="Verdana" w:cs="Verdana" w:eastAsia="Verdana" w:hAnsi="Verdana"/>
                <w:sz w:val="13"/>
                <w:szCs w:val="13"/>
                <w:b w:val="1"/>
                <w:bCs w:val="1"/>
                <w:color w:val="auto"/>
              </w:rPr>
              <w:t>Amount</w:t>
            </w:r>
          </w:p>
        </w:tc>
        <w:tc>
          <w:tcPr>
            <w:tcW w:w="920" w:type="dxa"/>
            <w:vAlign w:val="bottom"/>
            <w:tcBorders>
              <w:top w:val="single" w:sz="8" w:color="auto"/>
            </w:tcBorders>
          </w:tcPr>
          <w:p>
            <w:pPr>
              <w:jc w:val="right"/>
              <w:ind w:right="253"/>
              <w:spacing w:after="0"/>
              <w:rPr>
                <w:sz w:val="20"/>
                <w:szCs w:val="20"/>
                <w:color w:val="auto"/>
              </w:rPr>
            </w:pPr>
            <w:r>
              <w:rPr>
                <w:rFonts w:ascii="Verdana" w:cs="Verdana" w:eastAsia="Verdana" w:hAnsi="Verdana"/>
                <w:sz w:val="13"/>
                <w:szCs w:val="13"/>
                <w:b w:val="1"/>
                <w:bCs w:val="1"/>
                <w:color w:val="auto"/>
              </w:rPr>
              <w:t>Ratio</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3"/>
          </w:tcPr>
          <w:p>
            <w:pPr>
              <w:ind w:left="140"/>
              <w:spacing w:after="0"/>
              <w:rPr>
                <w:sz w:val="20"/>
                <w:szCs w:val="20"/>
                <w:color w:val="auto"/>
              </w:rPr>
            </w:pPr>
            <w:r>
              <w:rPr>
                <w:rFonts w:ascii="Verdana" w:cs="Verdana" w:eastAsia="Verdana" w:hAnsi="Verdana"/>
                <w:sz w:val="13"/>
                <w:szCs w:val="13"/>
                <w:b w:val="1"/>
                <w:bCs w:val="1"/>
                <w:color w:val="auto"/>
              </w:rPr>
              <w:t>Amount</w:t>
            </w:r>
          </w:p>
        </w:tc>
        <w:tc>
          <w:tcPr>
            <w:tcW w:w="800" w:type="dxa"/>
            <w:vAlign w:val="bottom"/>
            <w:tcBorders>
              <w:top w:val="single" w:sz="8" w:color="auto"/>
            </w:tcBorders>
          </w:tcPr>
          <w:p>
            <w:pPr>
              <w:ind w:left="100"/>
              <w:spacing w:after="0"/>
              <w:rPr>
                <w:sz w:val="20"/>
                <w:szCs w:val="20"/>
                <w:color w:val="auto"/>
              </w:rPr>
            </w:pPr>
            <w:r>
              <w:rPr>
                <w:rFonts w:ascii="Verdana" w:cs="Verdana" w:eastAsia="Verdana" w:hAnsi="Verdana"/>
                <w:sz w:val="13"/>
                <w:szCs w:val="13"/>
                <w:b w:val="1"/>
                <w:bCs w:val="1"/>
                <w:color w:val="auto"/>
              </w:rPr>
              <w:t>Ratio</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140"/>
              <w:spacing w:after="0"/>
              <w:rPr>
                <w:sz w:val="20"/>
                <w:szCs w:val="20"/>
                <w:color w:val="auto"/>
              </w:rPr>
            </w:pPr>
            <w:r>
              <w:rPr>
                <w:rFonts w:ascii="Verdana" w:cs="Verdana" w:eastAsia="Verdana" w:hAnsi="Verdana"/>
                <w:sz w:val="13"/>
                <w:szCs w:val="13"/>
                <w:b w:val="1"/>
                <w:bCs w:val="1"/>
                <w:color w:val="auto"/>
              </w:rPr>
              <w:t>Amount</w:t>
            </w:r>
          </w:p>
        </w:tc>
        <w:tc>
          <w:tcPr>
            <w:tcW w:w="840" w:type="dxa"/>
            <w:vAlign w:val="bottom"/>
            <w:tcBorders>
              <w:top w:val="single" w:sz="8" w:color="auto"/>
            </w:tcBorders>
          </w:tcPr>
          <w:p>
            <w:pPr>
              <w:jc w:val="right"/>
              <w:ind w:right="253"/>
              <w:spacing w:after="0"/>
              <w:rPr>
                <w:sz w:val="20"/>
                <w:szCs w:val="20"/>
                <w:color w:val="auto"/>
              </w:rPr>
            </w:pPr>
            <w:r>
              <w:rPr>
                <w:rFonts w:ascii="Verdana" w:cs="Verdana" w:eastAsia="Verdana" w:hAnsi="Verdana"/>
                <w:sz w:val="13"/>
                <w:szCs w:val="13"/>
                <w:b w:val="1"/>
                <w:bCs w:val="1"/>
                <w:color w:val="auto"/>
              </w:rPr>
              <w:t>Ratio</w:t>
            </w:r>
          </w:p>
        </w:tc>
        <w:tc>
          <w:tcPr>
            <w:tcW w:w="0" w:type="dxa"/>
            <w:vAlign w:val="bottom"/>
          </w:tcPr>
          <w:p>
            <w:pPr>
              <w:spacing w:after="0"/>
              <w:rPr>
                <w:sz w:val="1"/>
                <w:szCs w:val="1"/>
                <w:color w:val="auto"/>
              </w:rPr>
            </w:pPr>
          </w:p>
        </w:tc>
      </w:tr>
      <w:tr>
        <w:trPr>
          <w:trHeight w:val="223"/>
        </w:trPr>
        <w:tc>
          <w:tcPr>
            <w:tcW w:w="35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Common equity Tier 1 capital to</w:t>
            </w:r>
          </w:p>
        </w:tc>
        <w:tc>
          <w:tcPr>
            <w:tcW w:w="220" w:type="dxa"/>
            <w:vAlign w:val="bottom"/>
            <w:tcBorders>
              <w:top w:val="single" w:sz="8" w:color="auto"/>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40" w:type="dxa"/>
            <w:vAlign w:val="bottom"/>
            <w:tcBorders>
              <w:top w:val="single" w:sz="8" w:color="auto"/>
            </w:tcBorders>
            <w:shd w:val="clear" w:color="auto" w:fill="E0E7ED"/>
          </w:tcPr>
          <w:p>
            <w:pPr>
              <w:spacing w:after="0"/>
              <w:rPr>
                <w:sz w:val="19"/>
                <w:szCs w:val="19"/>
                <w:color w:val="auto"/>
              </w:rPr>
            </w:pPr>
          </w:p>
        </w:tc>
        <w:tc>
          <w:tcPr>
            <w:tcW w:w="9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1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8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0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8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risk weighted 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1,155,973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13.09 %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ind w:left="260"/>
              <w:spacing w:after="0"/>
              <w:rPr>
                <w:sz w:val="20"/>
                <w:szCs w:val="20"/>
                <w:color w:val="auto"/>
              </w:rPr>
            </w:pPr>
            <w:r>
              <w:rPr>
                <w:rFonts w:ascii="Verdana" w:cs="Verdana" w:eastAsia="Verdana" w:hAnsi="Verdana"/>
                <w:sz w:val="18"/>
                <w:szCs w:val="18"/>
                <w:color w:val="auto"/>
              </w:rPr>
              <w:t>397,331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4.50 %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573,923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6.50 %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1,362,962</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15.48 %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ind w:left="260"/>
              <w:spacing w:after="0"/>
              <w:rPr>
                <w:sz w:val="20"/>
                <w:szCs w:val="20"/>
                <w:color w:val="auto"/>
              </w:rPr>
            </w:pPr>
            <w:r>
              <w:rPr>
                <w:rFonts w:ascii="Verdana" w:cs="Verdana" w:eastAsia="Verdana" w:hAnsi="Verdana"/>
                <w:sz w:val="18"/>
                <w:szCs w:val="18"/>
                <w:color w:val="auto"/>
              </w:rPr>
              <w:t>396,128</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4.50 %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572,185</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Tier 1 capital to risk weighted</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1,229,973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13.93 %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ind w:left="260"/>
              <w:spacing w:after="0"/>
              <w:rPr>
                <w:sz w:val="20"/>
                <w:szCs w:val="20"/>
                <w:color w:val="auto"/>
              </w:rPr>
            </w:pPr>
            <w:r>
              <w:rPr>
                <w:rFonts w:ascii="Verdana" w:cs="Verdana" w:eastAsia="Verdana" w:hAnsi="Verdana"/>
                <w:sz w:val="18"/>
                <w:szCs w:val="18"/>
                <w:color w:val="auto"/>
              </w:rPr>
              <w:t>529,775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6.00 %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706,367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8.00 %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1,362,962</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15.48 %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ind w:left="260"/>
              <w:spacing w:after="0"/>
              <w:rPr>
                <w:sz w:val="20"/>
                <w:szCs w:val="20"/>
                <w:color w:val="auto"/>
              </w:rPr>
            </w:pPr>
            <w:r>
              <w:rPr>
                <w:rFonts w:ascii="Verdana" w:cs="Verdana" w:eastAsia="Verdana" w:hAnsi="Verdana"/>
                <w:sz w:val="18"/>
                <w:szCs w:val="18"/>
                <w:color w:val="auto"/>
              </w:rPr>
              <w:t>528,171</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6.00 %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704,228</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8.00 %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capital to risk weighted</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1,540,318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17.44 %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ind w:left="260"/>
              <w:spacing w:after="0"/>
              <w:rPr>
                <w:sz w:val="20"/>
                <w:szCs w:val="20"/>
                <w:color w:val="auto"/>
              </w:rPr>
            </w:pPr>
            <w:r>
              <w:rPr>
                <w:rFonts w:ascii="Verdana" w:cs="Verdana" w:eastAsia="Verdana" w:hAnsi="Verdana"/>
                <w:sz w:val="18"/>
                <w:szCs w:val="18"/>
                <w:color w:val="auto"/>
              </w:rPr>
              <w:t>706,367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8.00 %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882,958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10.00 %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1,448,307</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16.45 %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ind w:left="260"/>
              <w:spacing w:after="0"/>
              <w:rPr>
                <w:sz w:val="20"/>
                <w:szCs w:val="20"/>
                <w:color w:val="auto"/>
              </w:rPr>
            </w:pPr>
            <w:r>
              <w:rPr>
                <w:rFonts w:ascii="Verdana" w:cs="Verdana" w:eastAsia="Verdana" w:hAnsi="Verdana"/>
                <w:sz w:val="18"/>
                <w:szCs w:val="18"/>
                <w:color w:val="auto"/>
              </w:rPr>
              <w:t>704,228</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8.00 %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880,285</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Leverage ratio of Tier 1 capital to</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average 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1,229,973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10.08 %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ind w:left="260"/>
              <w:spacing w:after="0"/>
              <w:rPr>
                <w:sz w:val="20"/>
                <w:szCs w:val="20"/>
                <w:color w:val="auto"/>
              </w:rPr>
            </w:pPr>
            <w:r>
              <w:rPr>
                <w:rFonts w:ascii="Verdana" w:cs="Verdana" w:eastAsia="Verdana" w:hAnsi="Verdana"/>
                <w:sz w:val="18"/>
                <w:szCs w:val="18"/>
                <w:color w:val="auto"/>
              </w:rPr>
              <w:t>488,315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4.00 %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3"/>
          </w:tcPr>
          <w:p>
            <w:pPr>
              <w:ind w:left="720"/>
              <w:spacing w:after="0"/>
              <w:rPr>
                <w:sz w:val="20"/>
                <w:szCs w:val="20"/>
                <w:color w:val="auto"/>
              </w:rPr>
            </w:pPr>
            <w:r>
              <w:rPr>
                <w:rFonts w:ascii="Verdana" w:cs="Verdana" w:eastAsia="Verdana" w:hAnsi="Verdana"/>
                <w:sz w:val="18"/>
                <w:szCs w:val="18"/>
                <w:color w:val="auto"/>
              </w:rPr>
              <w:t>N/A</w:t>
            </w:r>
          </w:p>
        </w:tc>
        <w:tc>
          <w:tcPr>
            <w:tcW w:w="840" w:type="dxa"/>
            <w:vAlign w:val="bottom"/>
          </w:tcPr>
          <w:p>
            <w:pPr>
              <w:jc w:val="right"/>
              <w:spacing w:after="0"/>
              <w:rPr>
                <w:sz w:val="20"/>
                <w:szCs w:val="20"/>
                <w:color w:val="auto"/>
              </w:rPr>
            </w:pPr>
            <w:r>
              <w:rPr>
                <w:rFonts w:ascii="Verdana" w:cs="Verdana" w:eastAsia="Verdana" w:hAnsi="Verdana"/>
                <w:sz w:val="18"/>
                <w:szCs w:val="18"/>
                <w:color w:val="auto"/>
              </w:rPr>
              <w:t>N/A</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1,362,962</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11.19 %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ind w:left="260"/>
              <w:spacing w:after="0"/>
              <w:rPr>
                <w:sz w:val="20"/>
                <w:szCs w:val="20"/>
                <w:color w:val="auto"/>
              </w:rPr>
            </w:pPr>
            <w:r>
              <w:rPr>
                <w:rFonts w:ascii="Verdana" w:cs="Verdana" w:eastAsia="Verdana" w:hAnsi="Verdana"/>
                <w:sz w:val="18"/>
                <w:szCs w:val="18"/>
                <w:color w:val="auto"/>
              </w:rPr>
              <w:t>487,103</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4.00 %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608,879</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5.00 %</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Capital Conservation Buffer</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(1) common equity Tier 1 capital to risk-weighted assets of at least 7.0%, (2) Tier 1 capital to risk-weighted assets of at least 8.5%, and (3) total capital to risk-weighted assets of at least 10.5%.</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9" w:name="page40"/>
    <w:bookmarkEnd w:id="39"/>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8. TAX CREDIT AND OTHER INVESTMENTS IN UNCONSOLIDATED ENTITIES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has invested in certain tax-advantaged projects promoting affordable housing, new markets, and historic rehabilitation. These investments are designed to generate returns primarily though the realization of federal and state income tax credits and other tax benefits, such as tax deductions from operating losses of the investments, over specified time periods. These investments are considered to be variable interest entities, and are accounted for under the equity, deferral, or proportional amortization practical expedient methods, as appropriate. Busey is not required to consolidate variable interest entities in which it has concluded it does not have a controlling financial interest, and is not the primary beneficiary. Busey’s maximum exposure to loss related to its investments in these unconsolidated variable interest entities is limited to the carrying amount of the investment, net of any unfunded capital commitments and previously recorded tax credits which remain subject to recapture by taxing authorities based on compliance features required to be met at the project level. Busey believes potential losses from these investments are remote.</w:t>
      </w:r>
    </w:p>
    <w:p>
      <w:pPr>
        <w:spacing w:after="0" w:line="17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In addition, Busey has private equity investments, which are primarily in funds that invest in small businesses across diverse sectors including, but not limited to, financial technology, business services, manufacturing, agribusiness, healthcare, software as a service, and environmental, or supporting the preservation of affordable housing.</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Busey’s investments in these unconsolidated entities and related unfunded investment obligations are reflected in other assets and other liabilities on the Consolidated Balance Sheets (Unaudited), and are summarized in the table below for the periods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6560" w:type="dxa"/>
            <w:vAlign w:val="bottom"/>
          </w:tcPr>
          <w:p>
            <w:pPr>
              <w:spacing w:after="0"/>
              <w:rPr>
                <w:sz w:val="10"/>
                <w:szCs w:val="10"/>
                <w:color w:val="auto"/>
              </w:rPr>
            </w:pPr>
          </w:p>
        </w:tc>
        <w:tc>
          <w:tcPr>
            <w:tcW w:w="1560" w:type="dxa"/>
            <w:vAlign w:val="bottom"/>
            <w:gridSpan w:val="2"/>
            <w:vMerge w:val="restart"/>
          </w:tcPr>
          <w:p>
            <w:pPr>
              <w:ind w:left="440"/>
              <w:spacing w:after="0"/>
              <w:rPr>
                <w:sz w:val="20"/>
                <w:szCs w:val="20"/>
                <w:color w:val="auto"/>
              </w:rPr>
            </w:pPr>
            <w:r>
              <w:rPr>
                <w:rFonts w:ascii="Verdana" w:cs="Verdana" w:eastAsia="Verdana" w:hAnsi="Verdana"/>
                <w:sz w:val="13"/>
                <w:szCs w:val="13"/>
                <w:b w:val="1"/>
                <w:bCs w:val="1"/>
                <w:color w:val="auto"/>
              </w:rPr>
              <w:t>Location</w:t>
            </w:r>
          </w:p>
        </w:tc>
        <w:tc>
          <w:tcPr>
            <w:tcW w:w="280" w:type="dxa"/>
            <w:vAlign w:val="bottom"/>
          </w:tcPr>
          <w:p>
            <w:pPr>
              <w:spacing w:after="0"/>
              <w:rPr>
                <w:sz w:val="10"/>
                <w:szCs w:val="10"/>
                <w:color w:val="auto"/>
              </w:rPr>
            </w:pPr>
          </w:p>
        </w:tc>
        <w:tc>
          <w:tcPr>
            <w:tcW w:w="1320" w:type="dxa"/>
            <w:vAlign w:val="bottom"/>
            <w:gridSpan w:val="2"/>
          </w:tcPr>
          <w:p>
            <w:pPr>
              <w:ind w:left="120"/>
              <w:spacing w:after="0" w:line="122" w:lineRule="exact"/>
              <w:rPr>
                <w:sz w:val="20"/>
                <w:szCs w:val="20"/>
                <w:color w:val="auto"/>
              </w:rPr>
            </w:pPr>
            <w:r>
              <w:rPr>
                <w:rFonts w:ascii="Verdana" w:cs="Verdana" w:eastAsia="Verdana" w:hAnsi="Verdana"/>
                <w:sz w:val="13"/>
                <w:szCs w:val="13"/>
                <w:b w:val="1"/>
                <w:bCs w:val="1"/>
                <w:color w:val="auto"/>
              </w:rPr>
              <w:t>March 31,</w:t>
            </w:r>
          </w:p>
        </w:tc>
        <w:tc>
          <w:tcPr>
            <w:tcW w:w="200" w:type="dxa"/>
            <w:vAlign w:val="bottom"/>
          </w:tcPr>
          <w:p>
            <w:pPr>
              <w:spacing w:after="0"/>
              <w:rPr>
                <w:sz w:val="10"/>
                <w:szCs w:val="10"/>
                <w:color w:val="auto"/>
              </w:rPr>
            </w:pPr>
          </w:p>
        </w:tc>
        <w:tc>
          <w:tcPr>
            <w:tcW w:w="1320" w:type="dxa"/>
            <w:vAlign w:val="bottom"/>
          </w:tcPr>
          <w:p>
            <w:pPr>
              <w:jc w:val="right"/>
              <w:ind w:right="179"/>
              <w:spacing w:after="0" w:line="122" w:lineRule="exact"/>
              <w:rPr>
                <w:sz w:val="20"/>
                <w:szCs w:val="20"/>
                <w:color w:val="auto"/>
              </w:rPr>
            </w:pPr>
            <w:r>
              <w:rPr>
                <w:rFonts w:ascii="Verdana" w:cs="Verdana" w:eastAsia="Verdana" w:hAnsi="Verdana"/>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65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502"/>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499"/>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55"/>
        </w:trPr>
        <w:tc>
          <w:tcPr>
            <w:tcW w:w="65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Investments in unconsolidated entities</w:t>
            </w:r>
          </w:p>
        </w:tc>
        <w:tc>
          <w:tcPr>
            <w:tcW w:w="14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560" w:type="dxa"/>
            <w:vAlign w:val="bottom"/>
          </w:tcPr>
          <w:p>
            <w:pPr>
              <w:ind w:left="180"/>
              <w:spacing w:after="0"/>
              <w:rPr>
                <w:sz w:val="20"/>
                <w:szCs w:val="20"/>
                <w:color w:val="auto"/>
              </w:rPr>
            </w:pPr>
            <w:r>
              <w:rPr>
                <w:rFonts w:ascii="Verdana" w:cs="Verdana" w:eastAsia="Verdana" w:hAnsi="Verdana"/>
                <w:sz w:val="18"/>
                <w:szCs w:val="18"/>
                <w:color w:val="auto"/>
              </w:rPr>
              <w:t>Funded investments</w:t>
            </w:r>
          </w:p>
        </w:tc>
        <w:tc>
          <w:tcPr>
            <w:tcW w:w="1560" w:type="dxa"/>
            <w:vAlign w:val="bottom"/>
            <w:gridSpan w:val="2"/>
          </w:tcPr>
          <w:p>
            <w:pPr>
              <w:ind w:left="20"/>
              <w:spacing w:after="0"/>
              <w:rPr>
                <w:sz w:val="20"/>
                <w:szCs w:val="20"/>
                <w:color w:val="auto"/>
              </w:rPr>
            </w:pPr>
            <w:r>
              <w:rPr>
                <w:rFonts w:ascii="Verdana" w:cs="Verdana" w:eastAsia="Verdana" w:hAnsi="Verdana"/>
                <w:sz w:val="18"/>
                <w:szCs w:val="18"/>
                <w:color w:val="auto"/>
              </w:rPr>
              <w:t>Other assets</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22"/>
              <w:spacing w:after="0"/>
              <w:rPr>
                <w:sz w:val="20"/>
                <w:szCs w:val="20"/>
                <w:color w:val="auto"/>
              </w:rPr>
            </w:pPr>
            <w:r>
              <w:rPr>
                <w:rFonts w:ascii="Verdana" w:cs="Verdana" w:eastAsia="Verdana" w:hAnsi="Verdana"/>
                <w:sz w:val="18"/>
                <w:szCs w:val="18"/>
                <w:color w:val="auto"/>
              </w:rPr>
              <w:t>64,516</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68,516</w:t>
            </w:r>
          </w:p>
        </w:tc>
        <w:tc>
          <w:tcPr>
            <w:tcW w:w="0" w:type="dxa"/>
            <w:vAlign w:val="bottom"/>
          </w:tcPr>
          <w:p>
            <w:pPr>
              <w:spacing w:after="0"/>
              <w:rPr>
                <w:sz w:val="1"/>
                <w:szCs w:val="1"/>
                <w:color w:val="auto"/>
              </w:rPr>
            </w:pPr>
          </w:p>
        </w:tc>
      </w:tr>
      <w:tr>
        <w:trPr>
          <w:trHeight w:val="277"/>
        </w:trPr>
        <w:tc>
          <w:tcPr>
            <w:tcW w:w="6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Unfunded investments</w:t>
            </w:r>
          </w:p>
        </w:tc>
        <w:tc>
          <w:tcPr>
            <w:tcW w:w="15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Other assets</w:t>
            </w:r>
          </w:p>
        </w:tc>
        <w:tc>
          <w:tcPr>
            <w:tcW w:w="28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ind w:right="22"/>
              <w:spacing w:after="0"/>
              <w:rPr>
                <w:sz w:val="20"/>
                <w:szCs w:val="20"/>
                <w:color w:val="auto"/>
              </w:rPr>
            </w:pPr>
            <w:r>
              <w:rPr>
                <w:rFonts w:ascii="Verdana" w:cs="Verdana" w:eastAsia="Verdana" w:hAnsi="Verdana"/>
                <w:sz w:val="18"/>
                <w:szCs w:val="18"/>
                <w:color w:val="auto"/>
              </w:rPr>
              <w:t>56,362</w:t>
            </w:r>
          </w:p>
        </w:tc>
        <w:tc>
          <w:tcPr>
            <w:tcW w:w="80" w:type="dxa"/>
            <w:vAlign w:val="bottom"/>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spacing w:after="0"/>
              <w:rPr>
                <w:sz w:val="24"/>
                <w:szCs w:val="24"/>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58,552</w:t>
            </w:r>
          </w:p>
        </w:tc>
        <w:tc>
          <w:tcPr>
            <w:tcW w:w="0" w:type="dxa"/>
            <w:vAlign w:val="bottom"/>
          </w:tcPr>
          <w:p>
            <w:pPr>
              <w:spacing w:after="0"/>
              <w:rPr>
                <w:sz w:val="1"/>
                <w:szCs w:val="1"/>
                <w:color w:val="auto"/>
              </w:rPr>
            </w:pPr>
          </w:p>
        </w:tc>
      </w:tr>
      <w:tr>
        <w:trPr>
          <w:trHeight w:val="257"/>
        </w:trPr>
        <w:tc>
          <w:tcPr>
            <w:tcW w:w="6560" w:type="dxa"/>
            <w:vAlign w:val="bottom"/>
          </w:tcPr>
          <w:p>
            <w:pPr>
              <w:ind w:left="20"/>
              <w:spacing w:after="0"/>
              <w:rPr>
                <w:sz w:val="20"/>
                <w:szCs w:val="20"/>
                <w:color w:val="auto"/>
              </w:rPr>
            </w:pPr>
            <w:r>
              <w:rPr>
                <w:rFonts w:ascii="Verdana" w:cs="Verdana" w:eastAsia="Verdana" w:hAnsi="Verdana"/>
                <w:sz w:val="18"/>
                <w:szCs w:val="18"/>
                <w:color w:val="auto"/>
              </w:rPr>
              <w:t>Investments in unconsolidated entities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8"/>
                <w:szCs w:val="18"/>
                <w:color w:val="auto"/>
              </w:rPr>
              <w:t>120,878</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127,068</w:t>
            </w:r>
          </w:p>
        </w:tc>
        <w:tc>
          <w:tcPr>
            <w:tcW w:w="0" w:type="dxa"/>
            <w:vAlign w:val="bottom"/>
          </w:tcPr>
          <w:p>
            <w:pPr>
              <w:spacing w:after="0"/>
              <w:rPr>
                <w:sz w:val="1"/>
                <w:szCs w:val="1"/>
                <w:color w:val="auto"/>
              </w:rPr>
            </w:pPr>
          </w:p>
        </w:tc>
      </w:tr>
      <w:tr>
        <w:trPr>
          <w:trHeight w:val="21"/>
        </w:trPr>
        <w:tc>
          <w:tcPr>
            <w:tcW w:w="6560" w:type="dxa"/>
            <w:vAlign w:val="bottom"/>
            <w:tcBorders>
              <w:bottom w:val="single" w:sz="8" w:color="E0E7ED"/>
            </w:tcBorders>
          </w:tcPr>
          <w:p>
            <w:pPr>
              <w:spacing w:after="0" w:line="20" w:lineRule="exact"/>
              <w:rPr>
                <w:sz w:val="1"/>
                <w:szCs w:val="1"/>
                <w:color w:val="auto"/>
              </w:rPr>
            </w:pPr>
          </w:p>
        </w:tc>
        <w:tc>
          <w:tcPr>
            <w:tcW w:w="146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E0E7ED"/>
          </w:tcPr>
          <w:p>
            <w:pPr>
              <w:spacing w:after="0"/>
              <w:rPr>
                <w:sz w:val="21"/>
                <w:szCs w:val="21"/>
                <w:color w:val="auto"/>
              </w:rPr>
            </w:pPr>
          </w:p>
        </w:tc>
        <w:tc>
          <w:tcPr>
            <w:tcW w:w="14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tcPr>
          <w:p>
            <w:pPr>
              <w:ind w:left="20"/>
              <w:spacing w:after="0"/>
              <w:rPr>
                <w:sz w:val="20"/>
                <w:szCs w:val="20"/>
                <w:color w:val="auto"/>
              </w:rPr>
            </w:pPr>
            <w:r>
              <w:rPr>
                <w:rFonts w:ascii="Verdana" w:cs="Verdana" w:eastAsia="Verdana" w:hAnsi="Verdana"/>
                <w:sz w:val="18"/>
                <w:szCs w:val="18"/>
                <w:color w:val="auto"/>
              </w:rPr>
              <w:t>Unfunded investment obligations</w:t>
            </w:r>
          </w:p>
        </w:tc>
        <w:tc>
          <w:tcPr>
            <w:tcW w:w="1560" w:type="dxa"/>
            <w:vAlign w:val="bottom"/>
            <w:gridSpan w:val="2"/>
          </w:tcPr>
          <w:p>
            <w:pPr>
              <w:ind w:left="20"/>
              <w:spacing w:after="0"/>
              <w:rPr>
                <w:sz w:val="20"/>
                <w:szCs w:val="20"/>
                <w:color w:val="auto"/>
              </w:rPr>
            </w:pPr>
            <w:r>
              <w:rPr>
                <w:rFonts w:ascii="Verdana" w:cs="Verdana" w:eastAsia="Verdana" w:hAnsi="Verdana"/>
                <w:sz w:val="18"/>
                <w:szCs w:val="18"/>
                <w:color w:val="auto"/>
              </w:rPr>
              <w:t>Other liabilities</w:t>
            </w:r>
          </w:p>
        </w:tc>
        <w:tc>
          <w:tcPr>
            <w:tcW w:w="28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8"/>
                <w:szCs w:val="18"/>
                <w:color w:val="auto"/>
              </w:rPr>
              <w:t>56,362</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58,552</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Upon adoption of ASU 2023-02 on January 1, 2024, Busey elected to apply the proportional amortization method in accounting for investments in tax-advantaged projects. Income tax credits and other tax benefits, net of investment amortization, were included as a component of our estimated annual effective tax rate used for the calculation of income taxes presented in the Consolidated Statements of Income (Unaudited). These income tax credits and other benefits, along with the investment amortization, are presented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0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Verdana" w:cs="Verdana" w:eastAsia="Verdana" w:hAnsi="Verdana"/>
                <w:sz w:val="13"/>
                <w:szCs w:val="13"/>
                <w:b w:val="1"/>
                <w:bCs w:val="1"/>
                <w:color w:val="auto"/>
                <w:w w:val="97"/>
              </w:rPr>
              <w:t>Three Months Ended</w:t>
            </w:r>
          </w:p>
        </w:tc>
      </w:tr>
      <w:tr>
        <w:trPr>
          <w:trHeight w:val="170"/>
        </w:trPr>
        <w:tc>
          <w:tcPr>
            <w:tcW w:w="5500" w:type="dxa"/>
            <w:vAlign w:val="bottom"/>
            <w:tcBorders>
              <w:bottom w:val="single" w:sz="8" w:color="E0E7ED"/>
            </w:tcBorders>
          </w:tcPr>
          <w:p>
            <w:pPr>
              <w:spacing w:after="0"/>
              <w:rPr>
                <w:sz w:val="14"/>
                <w:szCs w:val="14"/>
                <w:color w:val="auto"/>
              </w:rPr>
            </w:pPr>
          </w:p>
        </w:tc>
        <w:tc>
          <w:tcPr>
            <w:tcW w:w="42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19"/>
              <w:spacing w:after="0"/>
              <w:rPr>
                <w:sz w:val="20"/>
                <w:szCs w:val="20"/>
                <w:color w:val="auto"/>
              </w:rPr>
            </w:pPr>
            <w:r>
              <w:rPr>
                <w:rFonts w:ascii="Verdana" w:cs="Verdana" w:eastAsia="Verdana" w:hAnsi="Verdana"/>
                <w:sz w:val="13"/>
                <w:szCs w:val="13"/>
                <w:b w:val="1"/>
                <w:bCs w:val="1"/>
                <w:color w:val="auto"/>
                <w:w w:val="98"/>
              </w:rPr>
              <w:t>March 31, 2024</w:t>
            </w:r>
          </w:p>
        </w:tc>
      </w:tr>
      <w:tr>
        <w:trPr>
          <w:trHeight w:val="255"/>
        </w:trPr>
        <w:tc>
          <w:tcPr>
            <w:tcW w:w="55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w w:val="99"/>
              </w:rPr>
              <w:t>Tax effects of investments in tax-advantaged projects</w:t>
            </w:r>
          </w:p>
        </w:tc>
        <w:tc>
          <w:tcPr>
            <w:tcW w:w="422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r>
      <w:tr>
        <w:trPr>
          <w:trHeight w:val="263"/>
        </w:trPr>
        <w:tc>
          <w:tcPr>
            <w:tcW w:w="5500" w:type="dxa"/>
            <w:vAlign w:val="bottom"/>
          </w:tcPr>
          <w:p>
            <w:pPr>
              <w:ind w:left="180"/>
              <w:spacing w:after="0"/>
              <w:rPr>
                <w:sz w:val="20"/>
                <w:szCs w:val="20"/>
                <w:color w:val="auto"/>
              </w:rPr>
            </w:pPr>
            <w:r>
              <w:rPr>
                <w:rFonts w:ascii="Verdana" w:cs="Verdana" w:eastAsia="Verdana" w:hAnsi="Verdana"/>
                <w:sz w:val="18"/>
                <w:szCs w:val="18"/>
                <w:color w:val="auto"/>
              </w:rPr>
              <w:t>Income tax credits and other tax benefits</w:t>
            </w:r>
          </w:p>
        </w:tc>
        <w:tc>
          <w:tcPr>
            <w:tcW w:w="4400" w:type="dxa"/>
            <w:vAlign w:val="bottom"/>
            <w:gridSpan w:val="2"/>
          </w:tcPr>
          <w:p>
            <w:pPr>
              <w:ind w:left="4240"/>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9"/>
              <w:spacing w:after="0"/>
              <w:rPr>
                <w:sz w:val="20"/>
                <w:szCs w:val="20"/>
                <w:color w:val="auto"/>
              </w:rPr>
            </w:pPr>
            <w:r>
              <w:rPr>
                <w:rFonts w:ascii="Verdana" w:cs="Verdana" w:eastAsia="Verdana" w:hAnsi="Verdana"/>
                <w:sz w:val="18"/>
                <w:szCs w:val="18"/>
                <w:color w:val="auto"/>
              </w:rPr>
              <w:t>4,101</w:t>
            </w:r>
          </w:p>
        </w:tc>
      </w:tr>
      <w:tr>
        <w:trPr>
          <w:trHeight w:val="277"/>
        </w:trPr>
        <w:tc>
          <w:tcPr>
            <w:tcW w:w="55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investments in tax-advantaged projects</w:t>
            </w:r>
          </w:p>
        </w:tc>
        <w:tc>
          <w:tcPr>
            <w:tcW w:w="422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3,647</w:t>
            </w:r>
          </w:p>
        </w:tc>
      </w:tr>
      <w:tr>
        <w:trPr>
          <w:trHeight w:val="904"/>
        </w:trPr>
        <w:tc>
          <w:tcPr>
            <w:tcW w:w="5500" w:type="dxa"/>
            <w:vAlign w:val="bottom"/>
          </w:tcPr>
          <w:p>
            <w:pPr>
              <w:spacing w:after="0"/>
              <w:rPr>
                <w:sz w:val="24"/>
                <w:szCs w:val="24"/>
                <w:color w:val="auto"/>
              </w:rPr>
            </w:pPr>
          </w:p>
        </w:tc>
        <w:tc>
          <w:tcPr>
            <w:tcW w:w="4220" w:type="dxa"/>
            <w:vAlign w:val="bottom"/>
          </w:tcPr>
          <w:p>
            <w:pPr>
              <w:jc w:val="right"/>
              <w:ind w:right="3890"/>
              <w:spacing w:after="0"/>
              <w:rPr>
                <w:sz w:val="20"/>
                <w:szCs w:val="20"/>
                <w:color w:val="auto"/>
              </w:rPr>
            </w:pPr>
            <w:r>
              <w:rPr>
                <w:rFonts w:ascii="Verdana" w:cs="Verdana" w:eastAsia="Verdana" w:hAnsi="Verdana"/>
                <w:sz w:val="18"/>
                <w:szCs w:val="18"/>
                <w:color w:val="auto"/>
                <w:w w:val="95"/>
              </w:rPr>
              <w:t>40</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1"/>
        </w:trPr>
        <w:tc>
          <w:tcPr>
            <w:tcW w:w="55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0" w:name="page41"/>
    <w:bookmarkEnd w:id="40"/>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9. STOCK-BASED COMPENSATION</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Stock Options</w:t>
      </w:r>
    </w:p>
    <w:p>
      <w:pPr>
        <w:spacing w:after="0" w:line="183" w:lineRule="exact"/>
        <w:rPr>
          <w:sz w:val="20"/>
          <w:szCs w:val="20"/>
          <w:color w:val="auto"/>
        </w:rPr>
      </w:pPr>
    </w:p>
    <w:p>
      <w:pPr>
        <w:spacing w:after="0"/>
        <w:rPr>
          <w:sz w:val="20"/>
          <w:szCs w:val="20"/>
          <w:color w:val="auto"/>
        </w:rPr>
      </w:pPr>
      <w:r>
        <w:rPr>
          <w:rFonts w:ascii="Verdana" w:cs="Verdana" w:eastAsia="Verdana" w:hAnsi="Verdana"/>
          <w:sz w:val="18"/>
          <w:szCs w:val="18"/>
          <w:color w:val="auto"/>
        </w:rPr>
        <w:t>Busey has outstanding stock options assumed from acquisitions. A summary of the status of, and changes in, the</w:t>
      </w:r>
    </w:p>
    <w:p>
      <w:pPr>
        <w:spacing w:after="0"/>
        <w:rPr>
          <w:sz w:val="20"/>
          <w:szCs w:val="20"/>
          <w:color w:val="auto"/>
        </w:rPr>
      </w:pPr>
      <w:r>
        <w:rPr>
          <w:rFonts w:ascii="Verdana" w:cs="Verdana" w:eastAsia="Verdana" w:hAnsi="Verdana"/>
          <w:sz w:val="18"/>
          <w:szCs w:val="18"/>
          <w:color w:val="auto"/>
        </w:rPr>
        <w:t>Company's stock option awards for the three months ended March 31, 2024,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40"/>
              <w:spacing w:after="0"/>
              <w:rPr>
                <w:sz w:val="20"/>
                <w:szCs w:val="20"/>
                <w:color w:val="auto"/>
              </w:rPr>
            </w:pPr>
            <w:r>
              <w:rPr>
                <w:rFonts w:ascii="Verdana" w:cs="Verdana" w:eastAsia="Verdana" w:hAnsi="Verdana"/>
                <w:sz w:val="13"/>
                <w:szCs w:val="13"/>
                <w:b w:val="1"/>
                <w:bCs w:val="1"/>
                <w:color w:val="auto"/>
                <w:w w:val="97"/>
              </w:rPr>
              <w:t>Weighted-</w:t>
            </w:r>
          </w:p>
        </w:tc>
        <w:tc>
          <w:tcPr>
            <w:tcW w:w="1480" w:type="dxa"/>
            <w:vAlign w:val="bottom"/>
          </w:tcPr>
          <w:p>
            <w:pPr>
              <w:jc w:val="center"/>
              <w:spacing w:after="0"/>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2"/>
        </w:trPr>
        <w:tc>
          <w:tcPr>
            <w:tcW w:w="6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22"/>
        </w:trPr>
        <w:tc>
          <w:tcPr>
            <w:tcW w:w="6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center"/>
              <w:ind w:right="340"/>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148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7"/>
              </w:rPr>
              <w:t>Remaining</w:t>
            </w:r>
          </w:p>
        </w:tc>
        <w:tc>
          <w:tcPr>
            <w:tcW w:w="0" w:type="dxa"/>
            <w:vAlign w:val="bottom"/>
          </w:tcPr>
          <w:p>
            <w:pPr>
              <w:spacing w:after="0"/>
              <w:rPr>
                <w:sz w:val="1"/>
                <w:szCs w:val="1"/>
                <w:color w:val="auto"/>
              </w:rPr>
            </w:pPr>
          </w:p>
        </w:tc>
      </w:tr>
      <w:tr>
        <w:trPr>
          <w:trHeight w:val="108"/>
        </w:trPr>
        <w:tc>
          <w:tcPr>
            <w:tcW w:w="648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Options</w:t>
            </w:r>
          </w:p>
        </w:tc>
        <w:tc>
          <w:tcPr>
            <w:tcW w:w="100" w:type="dxa"/>
            <w:vAlign w:val="bottom"/>
            <w:vMerge w:val="restart"/>
          </w:tcPr>
          <w:p>
            <w:pPr>
              <w:spacing w:after="0"/>
              <w:rPr>
                <w:sz w:val="9"/>
                <w:szCs w:val="9"/>
                <w:color w:val="auto"/>
              </w:rPr>
            </w:pPr>
          </w:p>
        </w:tc>
        <w:tc>
          <w:tcPr>
            <w:tcW w:w="1480" w:type="dxa"/>
            <w:vAlign w:val="bottom"/>
            <w:vMerge w:val="restart"/>
          </w:tcPr>
          <w:p>
            <w:pPr>
              <w:jc w:val="right"/>
              <w:ind w:right="415"/>
              <w:spacing w:after="0"/>
              <w:rPr>
                <w:sz w:val="20"/>
                <w:szCs w:val="20"/>
                <w:color w:val="auto"/>
              </w:rPr>
            </w:pPr>
            <w:r>
              <w:rPr>
                <w:rFonts w:ascii="Verdana" w:cs="Verdana" w:eastAsia="Verdana" w:hAnsi="Verdana"/>
                <w:sz w:val="13"/>
                <w:szCs w:val="13"/>
                <w:b w:val="1"/>
                <w:bCs w:val="1"/>
                <w:color w:val="auto"/>
              </w:rPr>
              <w:t>Shares</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gridSpan w:val="2"/>
          </w:tcPr>
          <w:p>
            <w:pPr>
              <w:jc w:val="center"/>
              <w:ind w:right="360"/>
              <w:spacing w:after="0" w:line="108" w:lineRule="exact"/>
              <w:rPr>
                <w:sz w:val="20"/>
                <w:szCs w:val="20"/>
                <w:color w:val="auto"/>
              </w:rPr>
            </w:pPr>
            <w:r>
              <w:rPr>
                <w:rFonts w:ascii="Verdana" w:cs="Verdana" w:eastAsia="Verdana" w:hAnsi="Verdana"/>
                <w:sz w:val="10"/>
                <w:szCs w:val="10"/>
                <w:b w:val="1"/>
                <w:bCs w:val="1"/>
                <w:color w:val="auto"/>
              </w:rPr>
              <w:t>Exercise</w:t>
            </w:r>
          </w:p>
        </w:tc>
        <w:tc>
          <w:tcPr>
            <w:tcW w:w="1480" w:type="dxa"/>
            <w:vAlign w:val="bottom"/>
          </w:tcPr>
          <w:p>
            <w:pPr>
              <w:jc w:val="center"/>
              <w:spacing w:after="0" w:line="108" w:lineRule="exact"/>
              <w:rPr>
                <w:sz w:val="20"/>
                <w:szCs w:val="20"/>
                <w:color w:val="auto"/>
              </w:rPr>
            </w:pPr>
            <w:r>
              <w:rPr>
                <w:rFonts w:ascii="Verdana" w:cs="Verdana" w:eastAsia="Verdana" w:hAnsi="Verdana"/>
                <w:sz w:val="10"/>
                <w:szCs w:val="10"/>
                <w:b w:val="1"/>
                <w:bCs w:val="1"/>
                <w:color w:val="auto"/>
              </w:rPr>
              <w:t>Contractual</w:t>
            </w:r>
          </w:p>
        </w:tc>
        <w:tc>
          <w:tcPr>
            <w:tcW w:w="0" w:type="dxa"/>
            <w:vAlign w:val="bottom"/>
          </w:tcPr>
          <w:p>
            <w:pPr>
              <w:spacing w:after="0"/>
              <w:rPr>
                <w:sz w:val="1"/>
                <w:szCs w:val="1"/>
                <w:color w:val="auto"/>
              </w:rPr>
            </w:pPr>
          </w:p>
        </w:tc>
      </w:tr>
      <w:tr>
        <w:trPr>
          <w:trHeight w:val="170"/>
        </w:trPr>
        <w:tc>
          <w:tcPr>
            <w:tcW w:w="64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5"/>
              <w:spacing w:after="0"/>
              <w:rPr>
                <w:sz w:val="20"/>
                <w:szCs w:val="20"/>
                <w:color w:val="auto"/>
              </w:rPr>
            </w:pPr>
            <w:r>
              <w:rPr>
                <w:rFonts w:ascii="Verdana" w:cs="Verdana" w:eastAsia="Verdana" w:hAnsi="Verdana"/>
                <w:sz w:val="13"/>
                <w:szCs w:val="13"/>
                <w:b w:val="1"/>
                <w:bCs w:val="1"/>
                <w:color w:val="auto"/>
                <w:w w:val="97"/>
              </w:rPr>
              <w:t>Price</w:t>
            </w:r>
          </w:p>
        </w:tc>
        <w:tc>
          <w:tcPr>
            <w:tcW w:w="100" w:type="dxa"/>
            <w:vAlign w:val="bottom"/>
            <w:tcBorders>
              <w:bottom w:val="single" w:sz="8" w:color="E0E7ED"/>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Life</w:t>
            </w:r>
          </w:p>
        </w:tc>
        <w:tc>
          <w:tcPr>
            <w:tcW w:w="0" w:type="dxa"/>
            <w:vAlign w:val="bottom"/>
          </w:tcPr>
          <w:p>
            <w:pPr>
              <w:spacing w:after="0"/>
              <w:rPr>
                <w:sz w:val="1"/>
                <w:szCs w:val="1"/>
                <w:color w:val="auto"/>
              </w:rPr>
            </w:pPr>
          </w:p>
        </w:tc>
      </w:tr>
      <w:tr>
        <w:trPr>
          <w:trHeight w:val="269"/>
        </w:trPr>
        <w:tc>
          <w:tcPr>
            <w:tcW w:w="65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Outstanding at December 31, 2023</w:t>
            </w: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21,266</w:t>
            </w:r>
          </w:p>
        </w:tc>
        <w:tc>
          <w:tcPr>
            <w:tcW w:w="3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5"/>
              <w:spacing w:after="0"/>
              <w:rPr>
                <w:sz w:val="20"/>
                <w:szCs w:val="20"/>
                <w:color w:val="auto"/>
              </w:rPr>
            </w:pPr>
            <w:r>
              <w:rPr>
                <w:rFonts w:ascii="Verdana" w:cs="Verdana" w:eastAsia="Verdana" w:hAnsi="Verdana"/>
                <w:sz w:val="18"/>
                <w:szCs w:val="18"/>
                <w:color w:val="auto"/>
              </w:rPr>
              <w:t>23.53</w:t>
            </w:r>
          </w:p>
        </w:tc>
        <w:tc>
          <w:tcPr>
            <w:tcW w:w="100" w:type="dxa"/>
            <w:vAlign w:val="bottom"/>
            <w:shd w:val="clear" w:color="auto" w:fill="E0E7ED"/>
          </w:tcPr>
          <w:p>
            <w:pPr>
              <w:spacing w:after="0"/>
              <w:rPr>
                <w:sz w:val="23"/>
                <w:szCs w:val="23"/>
                <w:color w:val="auto"/>
              </w:rPr>
            </w:pPr>
          </w:p>
        </w:tc>
        <w:tc>
          <w:tcPr>
            <w:tcW w:w="1480" w:type="dxa"/>
            <w:vAlign w:val="bottom"/>
            <w:shd w:val="clear" w:color="auto" w:fill="E0E7ED"/>
          </w:tcPr>
          <w:p>
            <w:pPr>
              <w:ind w:left="500"/>
              <w:spacing w:after="0"/>
              <w:rPr>
                <w:sz w:val="20"/>
                <w:szCs w:val="20"/>
                <w:color w:val="auto"/>
              </w:rPr>
            </w:pPr>
            <w:r>
              <w:rPr>
                <w:rFonts w:ascii="Verdana" w:cs="Verdana" w:eastAsia="Verdana" w:hAnsi="Verdana"/>
                <w:sz w:val="18"/>
                <w:szCs w:val="18"/>
                <w:color w:val="auto"/>
                <w:w w:val="99"/>
              </w:rPr>
              <w:t>2.88 years</w:t>
            </w:r>
          </w:p>
        </w:tc>
        <w:tc>
          <w:tcPr>
            <w:tcW w:w="0" w:type="dxa"/>
            <w:vAlign w:val="bottom"/>
          </w:tcPr>
          <w:p>
            <w:pPr>
              <w:spacing w:after="0"/>
              <w:rPr>
                <w:sz w:val="1"/>
                <w:szCs w:val="1"/>
                <w:color w:val="auto"/>
              </w:rPr>
            </w:pPr>
          </w:p>
        </w:tc>
      </w:tr>
      <w:tr>
        <w:trPr>
          <w:trHeight w:val="263"/>
        </w:trPr>
        <w:tc>
          <w:tcPr>
            <w:tcW w:w="6580" w:type="dxa"/>
            <w:vAlign w:val="bottom"/>
            <w:tcBorders>
              <w:bottom w:val="single" w:sz="8" w:color="E0E7ED"/>
            </w:tcBorders>
            <w:gridSpan w:val="2"/>
          </w:tcPr>
          <w:p>
            <w:pPr>
              <w:ind w:left="180"/>
              <w:spacing w:after="0"/>
              <w:rPr>
                <w:sz w:val="20"/>
                <w:szCs w:val="20"/>
                <w:color w:val="auto"/>
              </w:rPr>
            </w:pPr>
            <w:r>
              <w:rPr>
                <w:rFonts w:ascii="Verdana" w:cs="Verdana" w:eastAsia="Verdana" w:hAnsi="Verdana"/>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(880)</w:t>
            </w:r>
          </w:p>
        </w:tc>
        <w:tc>
          <w:tcPr>
            <w:tcW w:w="80" w:type="dxa"/>
            <w:vAlign w:val="bottom"/>
            <w:tcBorders>
              <w:bottom w:val="single" w:sz="8" w:color="E0E7ED"/>
            </w:tcBorders>
          </w:tcPr>
          <w:p>
            <w:pPr>
              <w:spacing w:after="0"/>
              <w:rPr>
                <w:sz w:val="22"/>
                <w:szCs w:val="22"/>
                <w:color w:val="auto"/>
              </w:rPr>
            </w:pPr>
          </w:p>
        </w:tc>
        <w:tc>
          <w:tcPr>
            <w:tcW w:w="260" w:type="dxa"/>
            <w:vAlign w:val="bottom"/>
            <w:tcBorders>
              <w:bottom w:val="single" w:sz="8" w:color="E0E7ED"/>
            </w:tcBorders>
          </w:tcPr>
          <w:p>
            <w:pPr>
              <w:spacing w:after="0"/>
              <w:rPr>
                <w:sz w:val="22"/>
                <w:szCs w:val="22"/>
                <w:color w:val="auto"/>
              </w:rPr>
            </w:pPr>
          </w:p>
        </w:tc>
        <w:tc>
          <w:tcPr>
            <w:tcW w:w="1260" w:type="dxa"/>
            <w:vAlign w:val="bottom"/>
            <w:tcBorders>
              <w:bottom w:val="single" w:sz="8" w:color="E0E7ED"/>
            </w:tcBorders>
          </w:tcPr>
          <w:p>
            <w:pPr>
              <w:jc w:val="right"/>
              <w:ind w:right="5"/>
              <w:spacing w:after="0"/>
              <w:rPr>
                <w:sz w:val="20"/>
                <w:szCs w:val="20"/>
                <w:color w:val="auto"/>
              </w:rPr>
            </w:pPr>
            <w:r>
              <w:rPr>
                <w:rFonts w:ascii="Verdana" w:cs="Verdana" w:eastAsia="Verdana" w:hAnsi="Verdana"/>
                <w:sz w:val="18"/>
                <w:szCs w:val="18"/>
                <w:color w:val="auto"/>
              </w:rPr>
              <w:t>23.53</w:t>
            </w:r>
          </w:p>
        </w:tc>
        <w:tc>
          <w:tcPr>
            <w:tcW w:w="100" w:type="dxa"/>
            <w:vAlign w:val="bottom"/>
            <w:tcBorders>
              <w:bottom w:val="single" w:sz="8" w:color="E0E7ED"/>
            </w:tcBorders>
          </w:tcPr>
          <w:p>
            <w:pPr>
              <w:spacing w:after="0"/>
              <w:rPr>
                <w:sz w:val="22"/>
                <w:szCs w:val="22"/>
                <w:color w:val="auto"/>
              </w:rPr>
            </w:pPr>
          </w:p>
        </w:tc>
        <w:tc>
          <w:tcPr>
            <w:tcW w:w="1480" w:type="dxa"/>
            <w:vAlign w:val="bottom"/>
            <w:tcBorders>
              <w:bottom w:val="single" w:sz="8" w:color="E0E7ED"/>
            </w:tcBorders>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6580" w:type="dxa"/>
            <w:vAlign w:val="bottom"/>
            <w:tcBorders>
              <w:bottom w:val="single" w:sz="8" w:color="E0E7ED"/>
            </w:tcBorders>
            <w:gridSpan w:val="2"/>
            <w:shd w:val="clear" w:color="auto" w:fill="E0E7ED"/>
          </w:tcPr>
          <w:p>
            <w:pPr>
              <w:ind w:left="20"/>
              <w:spacing w:after="0"/>
              <w:rPr>
                <w:sz w:val="20"/>
                <w:szCs w:val="20"/>
                <w:color w:val="auto"/>
              </w:rPr>
            </w:pPr>
            <w:r>
              <w:rPr>
                <w:rFonts w:ascii="Verdana" w:cs="Verdana" w:eastAsia="Verdana" w:hAnsi="Verdana"/>
                <w:sz w:val="18"/>
                <w:szCs w:val="18"/>
                <w:color w:val="auto"/>
              </w:rPr>
              <w:t>Outstanding at March 31, 2024</w:t>
            </w: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20,386</w:t>
            </w:r>
          </w:p>
        </w:tc>
        <w:tc>
          <w:tcPr>
            <w:tcW w:w="8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E0E7ED"/>
            </w:tcBorders>
            <w:shd w:val="clear" w:color="auto" w:fill="E0E7ED"/>
          </w:tcPr>
          <w:p>
            <w:pPr>
              <w:spacing w:after="0"/>
              <w:rPr>
                <w:sz w:val="24"/>
                <w:szCs w:val="24"/>
                <w:color w:val="auto"/>
              </w:rPr>
            </w:pPr>
          </w:p>
        </w:tc>
        <w:tc>
          <w:tcPr>
            <w:tcW w:w="1260" w:type="dxa"/>
            <w:vAlign w:val="bottom"/>
            <w:tcBorders>
              <w:bottom w:val="single" w:sz="8" w:color="E0E7ED"/>
            </w:tcBorders>
            <w:shd w:val="clear" w:color="auto" w:fill="E0E7ED"/>
          </w:tcPr>
          <w:p>
            <w:pPr>
              <w:jc w:val="right"/>
              <w:ind w:right="5"/>
              <w:spacing w:after="0"/>
              <w:rPr>
                <w:sz w:val="20"/>
                <w:szCs w:val="20"/>
                <w:color w:val="auto"/>
              </w:rPr>
            </w:pPr>
            <w:r>
              <w:rPr>
                <w:rFonts w:ascii="Verdana" w:cs="Verdana" w:eastAsia="Verdana" w:hAnsi="Verdana"/>
                <w:sz w:val="18"/>
                <w:szCs w:val="18"/>
                <w:color w:val="auto"/>
              </w:rPr>
              <w:t>23.53</w:t>
            </w:r>
          </w:p>
        </w:tc>
        <w:tc>
          <w:tcPr>
            <w:tcW w:w="100" w:type="dxa"/>
            <w:vAlign w:val="bottom"/>
            <w:tcBorders>
              <w:bottom w:val="single" w:sz="8" w:color="E0E7ED"/>
            </w:tcBorders>
            <w:shd w:val="clear" w:color="auto" w:fill="E0E7ED"/>
          </w:tcPr>
          <w:p>
            <w:pPr>
              <w:spacing w:after="0"/>
              <w:rPr>
                <w:sz w:val="24"/>
                <w:szCs w:val="24"/>
                <w:color w:val="auto"/>
              </w:rPr>
            </w:pPr>
          </w:p>
        </w:tc>
        <w:tc>
          <w:tcPr>
            <w:tcW w:w="1480" w:type="dxa"/>
            <w:vAlign w:val="bottom"/>
            <w:tcBorders>
              <w:bottom w:val="single" w:sz="8" w:color="E0E7ED"/>
            </w:tcBorders>
            <w:shd w:val="clear" w:color="auto" w:fill="E0E7ED"/>
          </w:tcPr>
          <w:p>
            <w:pPr>
              <w:ind w:left="500"/>
              <w:spacing w:after="0"/>
              <w:rPr>
                <w:sz w:val="20"/>
                <w:szCs w:val="20"/>
                <w:color w:val="auto"/>
              </w:rPr>
            </w:pPr>
            <w:r>
              <w:rPr>
                <w:rFonts w:ascii="Verdana" w:cs="Verdana" w:eastAsia="Verdana" w:hAnsi="Verdana"/>
                <w:sz w:val="18"/>
                <w:szCs w:val="18"/>
                <w:color w:val="auto"/>
                <w:w w:val="99"/>
              </w:rPr>
              <w:t>2.63 years</w:t>
            </w:r>
          </w:p>
        </w:tc>
        <w:tc>
          <w:tcPr>
            <w:tcW w:w="0" w:type="dxa"/>
            <w:vAlign w:val="bottom"/>
          </w:tcPr>
          <w:p>
            <w:pPr>
              <w:spacing w:after="0"/>
              <w:rPr>
                <w:sz w:val="1"/>
                <w:szCs w:val="1"/>
                <w:color w:val="auto"/>
              </w:rPr>
            </w:pPr>
          </w:p>
        </w:tc>
      </w:tr>
      <w:tr>
        <w:trPr>
          <w:trHeight w:val="20"/>
        </w:trPr>
        <w:tc>
          <w:tcPr>
            <w:tcW w:w="64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tcBorders>
          </w:tcPr>
          <w:p>
            <w:pPr>
              <w:spacing w:after="0" w:line="20" w:lineRule="exact"/>
              <w:rPr>
                <w:sz w:val="1"/>
                <w:szCs w:val="1"/>
                <w:color w:val="auto"/>
              </w:rPr>
            </w:pPr>
          </w:p>
        </w:tc>
        <w:tc>
          <w:tcPr>
            <w:tcW w:w="126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5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Exercisable at March 31, 2024</w:t>
            </w: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20,386</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5"/>
              <w:spacing w:after="0"/>
              <w:rPr>
                <w:sz w:val="20"/>
                <w:szCs w:val="20"/>
                <w:color w:val="auto"/>
              </w:rPr>
            </w:pPr>
            <w:r>
              <w:rPr>
                <w:rFonts w:ascii="Verdana" w:cs="Verdana" w:eastAsia="Verdana" w:hAnsi="Verdana"/>
                <w:sz w:val="18"/>
                <w:szCs w:val="18"/>
                <w:color w:val="auto"/>
              </w:rPr>
              <w:t>23.53</w:t>
            </w:r>
          </w:p>
        </w:tc>
        <w:tc>
          <w:tcPr>
            <w:tcW w:w="100" w:type="dxa"/>
            <w:vAlign w:val="bottom"/>
            <w:shd w:val="clear" w:color="auto" w:fill="E0E7ED"/>
          </w:tcPr>
          <w:p>
            <w:pPr>
              <w:spacing w:after="0"/>
              <w:rPr>
                <w:sz w:val="23"/>
                <w:szCs w:val="23"/>
                <w:color w:val="auto"/>
              </w:rPr>
            </w:pPr>
          </w:p>
        </w:tc>
        <w:tc>
          <w:tcPr>
            <w:tcW w:w="1480" w:type="dxa"/>
            <w:vAlign w:val="bottom"/>
            <w:shd w:val="clear" w:color="auto" w:fill="E0E7ED"/>
          </w:tcPr>
          <w:p>
            <w:pPr>
              <w:ind w:left="500"/>
              <w:spacing w:after="0"/>
              <w:rPr>
                <w:sz w:val="20"/>
                <w:szCs w:val="20"/>
                <w:color w:val="auto"/>
              </w:rPr>
            </w:pPr>
            <w:r>
              <w:rPr>
                <w:rFonts w:ascii="Verdana" w:cs="Verdana" w:eastAsia="Verdana" w:hAnsi="Verdana"/>
                <w:sz w:val="18"/>
                <w:szCs w:val="18"/>
                <w:color w:val="auto"/>
                <w:w w:val="99"/>
              </w:rPr>
              <w:t>2.63 years</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2020 Equity Plan</w:t>
      </w:r>
    </w:p>
    <w:p>
      <w:pPr>
        <w:spacing w:after="0" w:line="173" w:lineRule="exact"/>
        <w:rPr>
          <w:sz w:val="20"/>
          <w:szCs w:val="20"/>
          <w:color w:val="auto"/>
        </w:rPr>
      </w:pPr>
    </w:p>
    <w:p>
      <w:pPr>
        <w:jc w:val="both"/>
        <w:spacing w:after="0" w:line="239" w:lineRule="auto"/>
        <w:rPr>
          <w:rFonts w:ascii="Verdana" w:cs="Verdana" w:eastAsia="Verdana" w:hAnsi="Verdana"/>
          <w:sz w:val="18"/>
          <w:szCs w:val="18"/>
          <w:color w:val="0000FF"/>
        </w:rPr>
      </w:pPr>
      <w:r>
        <w:rPr>
          <w:rFonts w:ascii="Verdana" w:cs="Verdana" w:eastAsia="Verdana" w:hAnsi="Verdana"/>
          <w:sz w:val="18"/>
          <w:szCs w:val="18"/>
          <w:color w:val="auto"/>
        </w:rPr>
        <w:t xml:space="preserve">The 2020 Equity Plan was originally approved by stockholders at the 2020 Annual Meeting of Stockholders. A description of </w:t>
      </w:r>
      <w:hyperlink r:id="rId64">
        <w:r>
          <w:rPr>
            <w:rFonts w:ascii="Verdana" w:cs="Verdana" w:eastAsia="Verdana" w:hAnsi="Verdana"/>
            <w:sz w:val="18"/>
            <w:szCs w:val="18"/>
            <w:color w:val="auto"/>
          </w:rPr>
          <w:t xml:space="preserve">the 2020 Equity Plan, as originally approved, can be found in </w:t>
        </w:r>
        <w:r>
          <w:rPr>
            <w:rFonts w:ascii="Verdana" w:cs="Verdana" w:eastAsia="Verdana" w:hAnsi="Verdana"/>
            <w:sz w:val="18"/>
            <w:szCs w:val="18"/>
            <w:u w:val="single" w:color="auto"/>
            <w:color w:val="0000FF"/>
          </w:rPr>
          <w:t>Appendix A</w:t>
        </w:r>
        <w:r>
          <w:rPr>
            <w:rFonts w:ascii="Verdana" w:cs="Verdana" w:eastAsia="Verdana" w:hAnsi="Verdana"/>
            <w:sz w:val="18"/>
            <w:szCs w:val="18"/>
            <w:color w:val="auto"/>
          </w:rPr>
          <w:t xml:space="preserve"> within </w:t>
        </w:r>
        <w:r>
          <w:rPr>
            <w:rFonts w:ascii="Verdana" w:cs="Verdana" w:eastAsia="Verdana" w:hAnsi="Verdana"/>
            <w:sz w:val="18"/>
            <w:szCs w:val="18"/>
            <w:u w:val="single" w:color="auto"/>
            <w:color w:val="0000FF"/>
          </w:rPr>
          <w:t>Busey’s Proxy Statement for the 2020</w:t>
        </w:r>
      </w:hyperlink>
      <w:r>
        <w:rPr>
          <w:rFonts w:ascii="Verdana" w:cs="Verdana" w:eastAsia="Verdana" w:hAnsi="Verdana"/>
          <w:sz w:val="18"/>
          <w:szCs w:val="18"/>
          <w:color w:val="auto"/>
        </w:rPr>
        <w:t xml:space="preserve"> </w:t>
      </w:r>
      <w:hyperlink r:id="rId64">
        <w:r>
          <w:rPr>
            <w:rFonts w:ascii="Verdana" w:cs="Verdana" w:eastAsia="Verdana" w:hAnsi="Verdana"/>
            <w:sz w:val="18"/>
            <w:szCs w:val="18"/>
            <w:u w:val="single" w:color="auto"/>
            <w:color w:val="0000FF"/>
          </w:rPr>
          <w:t>Annual Meeting of Stockholders filed on April 9, 2020</w:t>
        </w:r>
        <w:r>
          <w:rPr>
            <w:rFonts w:ascii="Verdana" w:cs="Verdana" w:eastAsia="Verdana" w:hAnsi="Verdana"/>
            <w:sz w:val="18"/>
            <w:szCs w:val="18"/>
            <w:color w:val="000000"/>
          </w:rPr>
          <w:t>. An amendment and restatement of the 2020 Equity Plan was</w:t>
        </w:r>
      </w:hyperlink>
      <w:r>
        <w:rPr>
          <w:rFonts w:ascii="Verdana" w:cs="Verdana" w:eastAsia="Verdana" w:hAnsi="Verdana"/>
          <w:sz w:val="18"/>
          <w:szCs w:val="18"/>
          <w:color w:val="0000FF"/>
        </w:rPr>
        <w:t xml:space="preserve"> </w:t>
      </w:r>
      <w:r>
        <w:rPr>
          <w:rFonts w:ascii="Verdana" w:cs="Verdana" w:eastAsia="Verdana" w:hAnsi="Verdana"/>
          <w:sz w:val="18"/>
          <w:szCs w:val="18"/>
          <w:color w:val="000000"/>
        </w:rPr>
        <w:t xml:space="preserve">approved by stockholders at the 2023 Annual Meeting of Stockholders. Terms of the amended and restated 2020 Equity Plan are substantially identical to those of the originally approved 2020 Equity Plan, other than a 1,350,000 increase in the </w:t>
      </w:r>
      <w:hyperlink r:id="rId65">
        <w:r>
          <w:rPr>
            <w:rFonts w:ascii="Verdana" w:cs="Verdana" w:eastAsia="Verdana" w:hAnsi="Verdana"/>
            <w:sz w:val="18"/>
            <w:szCs w:val="18"/>
            <w:color w:val="000000"/>
          </w:rPr>
          <w:t xml:space="preserve">number of shares authorized for issuance under the plan. More information can be found in </w:t>
        </w:r>
        <w:r>
          <w:rPr>
            <w:rFonts w:ascii="Verdana" w:cs="Verdana" w:eastAsia="Verdana" w:hAnsi="Verdana"/>
            <w:sz w:val="18"/>
            <w:szCs w:val="18"/>
            <w:u w:val="single" w:color="auto"/>
            <w:color w:val="0000FF"/>
          </w:rPr>
          <w:t>Appendix A</w:t>
        </w:r>
        <w:r>
          <w:rPr>
            <w:rFonts w:ascii="Verdana" w:cs="Verdana" w:eastAsia="Verdana" w:hAnsi="Verdana"/>
            <w:sz w:val="18"/>
            <w:szCs w:val="18"/>
            <w:color w:val="000000"/>
          </w:rPr>
          <w:t xml:space="preserve"> within </w:t>
        </w:r>
        <w:r>
          <w:rPr>
            <w:rFonts w:ascii="Verdana" w:cs="Verdana" w:eastAsia="Verdana" w:hAnsi="Verdana"/>
            <w:sz w:val="18"/>
            <w:szCs w:val="18"/>
            <w:u w:val="single" w:color="auto"/>
            <w:color w:val="0000FF"/>
          </w:rPr>
          <w:t>Busey’s</w:t>
        </w:r>
      </w:hyperlink>
      <w:r>
        <w:rPr>
          <w:rFonts w:ascii="Verdana" w:cs="Verdana" w:eastAsia="Verdana" w:hAnsi="Verdana"/>
          <w:sz w:val="18"/>
          <w:szCs w:val="18"/>
          <w:color w:val="000000"/>
        </w:rPr>
        <w:t xml:space="preserve"> </w:t>
      </w:r>
      <w:hyperlink r:id="rId65">
        <w:r>
          <w:rPr>
            <w:rFonts w:ascii="Verdana" w:cs="Verdana" w:eastAsia="Verdana" w:hAnsi="Verdana"/>
            <w:sz w:val="18"/>
            <w:szCs w:val="18"/>
            <w:u w:val="single" w:color="auto"/>
            <w:color w:val="0000FF"/>
          </w:rPr>
          <w:t>Proxy Statement for the 2023 Annual Meeting of Stockholders filed on April 14, 2023</w:t>
        </w:r>
        <w:r>
          <w:rPr>
            <w:rFonts w:ascii="Verdana" w:cs="Verdana" w:eastAsia="Verdana" w:hAnsi="Verdana"/>
            <w:sz w:val="18"/>
            <w:szCs w:val="18"/>
            <w:color w:val="000000"/>
          </w:rPr>
          <w:t>.</w:t>
        </w:r>
      </w:hyperlink>
    </w:p>
    <w:p>
      <w:pPr>
        <w:spacing w:after="0" w:line="163" w:lineRule="exact"/>
        <w:rPr>
          <w:rFonts w:ascii="Verdana" w:cs="Verdana" w:eastAsia="Verdana" w:hAnsi="Verdana"/>
          <w:sz w:val="18"/>
          <w:szCs w:val="18"/>
          <w:color w:val="0000FF"/>
        </w:rPr>
      </w:pPr>
    </w:p>
    <w:p>
      <w:pPr>
        <w:jc w:val="both"/>
        <w:spacing w:after="0" w:line="245" w:lineRule="auto"/>
        <w:rPr>
          <w:sz w:val="20"/>
          <w:szCs w:val="20"/>
          <w:color w:val="auto"/>
        </w:rPr>
      </w:pPr>
      <w:r>
        <w:rPr>
          <w:rFonts w:ascii="Verdana" w:cs="Verdana" w:eastAsia="Verdana" w:hAnsi="Verdana"/>
          <w:sz w:val="18"/>
          <w:szCs w:val="18"/>
          <w:color w:val="auto"/>
        </w:rPr>
        <w:t>Busey has granted RSU, PSU, and DSU awards under the terms of the 2020 Equity Plan. Upon vesting and delivery, shares are expected, though not required, to be issued from treasury stock. There were 1,333,769 shares available for issuance under the 2020 Equity Plan as of March 31, 2024.</w:t>
      </w:r>
    </w:p>
    <w:p>
      <w:pPr>
        <w:spacing w:after="0" w:line="167" w:lineRule="exact"/>
        <w:rPr>
          <w:rFonts w:ascii="Verdana" w:cs="Verdana" w:eastAsia="Verdana" w:hAnsi="Verdana"/>
          <w:sz w:val="18"/>
          <w:szCs w:val="18"/>
          <w:color w:val="0000FF"/>
        </w:rPr>
      </w:pPr>
    </w:p>
    <w:p>
      <w:pPr>
        <w:jc w:val="both"/>
        <w:spacing w:after="0" w:line="245" w:lineRule="auto"/>
        <w:rPr>
          <w:sz w:val="20"/>
          <w:szCs w:val="20"/>
          <w:color w:val="auto"/>
        </w:rPr>
      </w:pPr>
      <w:r>
        <w:rPr>
          <w:rFonts w:ascii="Verdana" w:cs="Verdana" w:eastAsia="Verdana" w:hAnsi="Verdana"/>
          <w:sz w:val="18"/>
          <w:szCs w:val="18"/>
          <w:color w:val="auto"/>
        </w:rPr>
        <w:t>A description of RSU, PSU, and DSU awards granted in 2024 under the terms of the 2020 Equity Plan is provided below. Further information related to awards granted in prior years has been presented in the Annual Reports previously filed with the SEC corresponding to the year of each award grant.</w:t>
      </w:r>
    </w:p>
    <w:p>
      <w:pPr>
        <w:spacing w:after="0" w:line="154" w:lineRule="exact"/>
        <w:rPr>
          <w:rFonts w:ascii="Verdana" w:cs="Verdana" w:eastAsia="Verdana" w:hAnsi="Verdana"/>
          <w:sz w:val="18"/>
          <w:szCs w:val="18"/>
          <w:color w:val="0000FF"/>
        </w:rPr>
      </w:pPr>
    </w:p>
    <w:p>
      <w:pPr>
        <w:spacing w:after="0"/>
        <w:rPr>
          <w:sz w:val="20"/>
          <w:szCs w:val="20"/>
          <w:color w:val="auto"/>
        </w:rPr>
      </w:pPr>
      <w:r>
        <w:rPr>
          <w:rFonts w:ascii="Verdana" w:cs="Verdana" w:eastAsia="Verdana" w:hAnsi="Verdana"/>
          <w:sz w:val="18"/>
          <w:szCs w:val="18"/>
          <w:u w:val="single" w:color="auto"/>
          <w:color w:val="auto"/>
        </w:rPr>
        <w:t>RSU Awards</w:t>
      </w:r>
    </w:p>
    <w:p>
      <w:pPr>
        <w:spacing w:after="0" w:line="173" w:lineRule="exact"/>
        <w:rPr>
          <w:rFonts w:ascii="Verdana" w:cs="Verdana" w:eastAsia="Verdana" w:hAnsi="Verdana"/>
          <w:sz w:val="18"/>
          <w:szCs w:val="18"/>
          <w:color w:val="0000FF"/>
        </w:rPr>
      </w:pPr>
    </w:p>
    <w:p>
      <w:pPr>
        <w:jc w:val="both"/>
        <w:spacing w:after="0"/>
        <w:rPr>
          <w:sz w:val="20"/>
          <w:szCs w:val="20"/>
          <w:color w:val="auto"/>
        </w:rPr>
      </w:pPr>
      <w:r>
        <w:rPr>
          <w:rFonts w:ascii="Verdana" w:cs="Verdana" w:eastAsia="Verdana" w:hAnsi="Verdana"/>
          <w:sz w:val="18"/>
          <w:szCs w:val="18"/>
          <w:color w:val="auto"/>
        </w:rPr>
        <w:t>Busey grants RSU awards to members of management periodically throughout the year. RSU awards are stock-based awards for which vesting is conditional upon meeting established service criteria. Each RSU is equivalent to one share of Busey’s common stock. Busey’s RSUs have requisite service periods ranging from one year to five years, and are subject to accelerated vesting upon eligible retirement from Busey. Recipients earn quarterly dividend equivalents on their respective RSUs, which entitle the recipients to additional units. Therefore, dividends earned each quarter compound based upon the updated unit balances.</w:t>
      </w:r>
    </w:p>
    <w:p>
      <w:pPr>
        <w:spacing w:after="0" w:line="172" w:lineRule="exact"/>
        <w:rPr>
          <w:rFonts w:ascii="Verdana" w:cs="Verdana" w:eastAsia="Verdana" w:hAnsi="Verdana"/>
          <w:sz w:val="18"/>
          <w:szCs w:val="18"/>
          <w:color w:val="0000FF"/>
        </w:rPr>
      </w:pPr>
    </w:p>
    <w:p>
      <w:pPr>
        <w:jc w:val="both"/>
        <w:spacing w:after="0" w:line="241" w:lineRule="auto"/>
        <w:rPr>
          <w:sz w:val="20"/>
          <w:szCs w:val="20"/>
          <w:color w:val="auto"/>
        </w:rPr>
      </w:pPr>
      <w:r>
        <w:rPr>
          <w:rFonts w:ascii="Verdana" w:cs="Verdana" w:eastAsia="Verdana" w:hAnsi="Verdana"/>
          <w:sz w:val="18"/>
          <w:szCs w:val="18"/>
          <w:color w:val="auto"/>
        </w:rPr>
        <w:t>On March 20, 2024, under the terms of the 2020 Equity Plan, Busey granted 189,179 RSUs to members of management. The grant date fair value of the award was $4.4 million, which will be recognized as compensation expense over the requisite service period ranging from one year to five years. The terms of these awards included an accelerated vesting provision upon eligible retirement from Busey, after a one-year minimum requisite service period. Subsequent to the requisite service period, the awards will become 100% vested.</w:t>
      </w:r>
    </w:p>
    <w:p>
      <w:pPr>
        <w:spacing w:after="0" w:line="200" w:lineRule="exact"/>
        <w:rPr>
          <w:rFonts w:ascii="Verdana" w:cs="Verdana" w:eastAsia="Verdana" w:hAnsi="Verdana"/>
          <w:sz w:val="18"/>
          <w:szCs w:val="18"/>
          <w:color w:val="0000FF"/>
        </w:rPr>
      </w:pPr>
    </w:p>
    <w:p>
      <w:pPr>
        <w:spacing w:after="0" w:line="376" w:lineRule="exact"/>
        <w:rPr>
          <w:rFonts w:ascii="Verdana" w:cs="Verdana" w:eastAsia="Verdana" w:hAnsi="Verdana"/>
          <w:sz w:val="18"/>
          <w:szCs w:val="18"/>
          <w:color w:val="0000FF"/>
        </w:rPr>
      </w:pPr>
    </w:p>
    <w:p>
      <w:pPr>
        <w:jc w:val="center"/>
        <w:spacing w:after="0"/>
        <w:rPr>
          <w:sz w:val="20"/>
          <w:szCs w:val="20"/>
          <w:color w:val="auto"/>
        </w:rPr>
      </w:pPr>
      <w:r>
        <w:rPr>
          <w:rFonts w:ascii="Verdana" w:cs="Verdana" w:eastAsia="Verdana" w:hAnsi="Verdana"/>
          <w:sz w:val="18"/>
          <w:szCs w:val="18"/>
          <w:color w:val="auto"/>
        </w:rPr>
        <w:t>41</w:t>
      </w:r>
    </w:p>
    <w:p>
      <w:pPr>
        <w:spacing w:after="0" w:line="20" w:lineRule="exact"/>
        <w:rPr>
          <w:rFonts w:ascii="Verdana" w:cs="Verdana" w:eastAsia="Verdana" w:hAnsi="Verdana"/>
          <w:sz w:val="18"/>
          <w:szCs w:val="18"/>
          <w:color w:val="0000FF"/>
        </w:rPr>
      </w:pPr>
      <w:r>
        <w:rPr>
          <w:rFonts w:ascii="Verdana" w:cs="Verdana" w:eastAsia="Verdana" w:hAnsi="Verdana"/>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1" w:name="page42"/>
    <w:bookmarkEnd w:id="4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color w:val="auto"/>
        </w:rPr>
        <w:t>A summary of changes in Busey’s RSU awards for the three months ended March 31, 2024,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61"/>
              <w:spacing w:after="0"/>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2"/>
        </w:trPr>
        <w:tc>
          <w:tcPr>
            <w:tcW w:w="8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61"/>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21"/>
        </w:trPr>
        <w:tc>
          <w:tcPr>
            <w:tcW w:w="806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RSU Awards</w:t>
            </w:r>
          </w:p>
        </w:tc>
        <w:tc>
          <w:tcPr>
            <w:tcW w:w="80" w:type="dxa"/>
            <w:vAlign w:val="bottom"/>
            <w:vMerge w:val="restart"/>
          </w:tcPr>
          <w:p>
            <w:pPr>
              <w:spacing w:after="0"/>
              <w:rPr>
                <w:sz w:val="10"/>
                <w:szCs w:val="10"/>
                <w:color w:val="auto"/>
              </w:rPr>
            </w:pPr>
          </w:p>
        </w:tc>
        <w:tc>
          <w:tcPr>
            <w:tcW w:w="1500" w:type="dxa"/>
            <w:vAlign w:val="bottom"/>
            <w:vMerge w:val="restart"/>
          </w:tcPr>
          <w:p>
            <w:pPr>
              <w:jc w:val="right"/>
              <w:ind w:right="414"/>
              <w:spacing w:after="0"/>
              <w:rPr>
                <w:sz w:val="20"/>
                <w:szCs w:val="20"/>
                <w:color w:val="auto"/>
              </w:rPr>
            </w:pPr>
            <w:r>
              <w:rPr>
                <w:rFonts w:ascii="Verdana" w:cs="Verdana" w:eastAsia="Verdana" w:hAnsi="Verdana"/>
                <w:sz w:val="13"/>
                <w:szCs w:val="13"/>
                <w:b w:val="1"/>
                <w:bCs w:val="1"/>
                <w:color w:val="auto"/>
              </w:rPr>
              <w:t>Shares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81"/>
              <w:spacing w:after="0" w:line="122" w:lineRule="exact"/>
              <w:rPr>
                <w:sz w:val="20"/>
                <w:szCs w:val="20"/>
                <w:color w:val="auto"/>
              </w:rPr>
            </w:pPr>
            <w:r>
              <w:rPr>
                <w:rFonts w:ascii="Verdana" w:cs="Verdana" w:eastAsia="Verdana" w:hAnsi="Verdana"/>
                <w:sz w:val="13"/>
                <w:szCs w:val="13"/>
                <w:b w:val="1"/>
                <w:bCs w:val="1"/>
                <w:color w:val="auto"/>
                <w:w w:val="95"/>
              </w:rPr>
              <w:t>Grant Date</w:t>
            </w:r>
          </w:p>
        </w:tc>
        <w:tc>
          <w:tcPr>
            <w:tcW w:w="0" w:type="dxa"/>
            <w:vAlign w:val="bottom"/>
          </w:tcPr>
          <w:p>
            <w:pPr>
              <w:spacing w:after="0"/>
              <w:rPr>
                <w:sz w:val="1"/>
                <w:szCs w:val="1"/>
                <w:color w:val="auto"/>
              </w:rPr>
            </w:pPr>
          </w:p>
        </w:tc>
      </w:tr>
      <w:tr>
        <w:trPr>
          <w:trHeight w:val="162"/>
        </w:trPr>
        <w:tc>
          <w:tcPr>
            <w:tcW w:w="80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1"/>
              <w:spacing w:after="0"/>
              <w:rPr>
                <w:sz w:val="20"/>
                <w:szCs w:val="20"/>
                <w:color w:val="auto"/>
              </w:rPr>
            </w:pPr>
            <w:r>
              <w:rPr>
                <w:rFonts w:ascii="Verdana" w:cs="Verdana" w:eastAsia="Verdana" w:hAnsi="Verdana"/>
                <w:sz w:val="13"/>
                <w:szCs w:val="13"/>
                <w:b w:val="1"/>
                <w:bCs w:val="1"/>
                <w:color w:val="auto"/>
                <w:w w:val="97"/>
              </w:rPr>
              <w:t>Fair Value</w:t>
            </w:r>
          </w:p>
        </w:tc>
        <w:tc>
          <w:tcPr>
            <w:tcW w:w="0" w:type="dxa"/>
            <w:vAlign w:val="bottom"/>
          </w:tcPr>
          <w:p>
            <w:pPr>
              <w:spacing w:after="0"/>
              <w:rPr>
                <w:sz w:val="1"/>
                <w:szCs w:val="1"/>
                <w:color w:val="auto"/>
              </w:rPr>
            </w:pPr>
          </w:p>
        </w:tc>
      </w:tr>
      <w:tr>
        <w:trPr>
          <w:trHeight w:val="263"/>
        </w:trPr>
        <w:tc>
          <w:tcPr>
            <w:tcW w:w="81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Nonvested at December 31, 2023</w:t>
            </w:r>
          </w:p>
        </w:tc>
        <w:tc>
          <w:tcPr>
            <w:tcW w:w="15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1,041,444</w:t>
            </w:r>
          </w:p>
        </w:tc>
        <w:tc>
          <w:tcPr>
            <w:tcW w:w="3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22.05</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Granted</w:t>
            </w:r>
          </w:p>
        </w:tc>
        <w:tc>
          <w:tcPr>
            <w:tcW w:w="1500" w:type="dxa"/>
            <w:vAlign w:val="bottom"/>
          </w:tcPr>
          <w:p>
            <w:pPr>
              <w:jc w:val="right"/>
              <w:spacing w:after="0"/>
              <w:rPr>
                <w:sz w:val="20"/>
                <w:szCs w:val="20"/>
                <w:color w:val="auto"/>
              </w:rPr>
            </w:pPr>
            <w:r>
              <w:rPr>
                <w:rFonts w:ascii="Verdana" w:cs="Verdana" w:eastAsia="Verdana" w:hAnsi="Verdana"/>
                <w:sz w:val="18"/>
                <w:szCs w:val="18"/>
                <w:color w:val="auto"/>
              </w:rPr>
              <w:t>189,179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Verdana" w:cs="Verdana" w:eastAsia="Verdana" w:hAnsi="Verdana"/>
                <w:sz w:val="18"/>
                <w:szCs w:val="18"/>
                <w:color w:val="auto"/>
              </w:rPr>
              <w:t>23.35</w:t>
            </w:r>
          </w:p>
        </w:tc>
        <w:tc>
          <w:tcPr>
            <w:tcW w:w="0" w:type="dxa"/>
            <w:vAlign w:val="bottom"/>
          </w:tcPr>
          <w:p>
            <w:pPr>
              <w:spacing w:after="0"/>
              <w:rPr>
                <w:sz w:val="1"/>
                <w:szCs w:val="1"/>
                <w:color w:val="auto"/>
              </w:rPr>
            </w:pPr>
          </w:p>
        </w:tc>
      </w:tr>
      <w:tr>
        <w:trPr>
          <w:trHeight w:val="277"/>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Dividend equivalents earned</w:t>
            </w:r>
          </w:p>
        </w:tc>
        <w:tc>
          <w:tcPr>
            <w:tcW w:w="15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10,219</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24.46</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Vested</w:t>
            </w:r>
          </w:p>
        </w:tc>
        <w:tc>
          <w:tcPr>
            <w:tcW w:w="1500" w:type="dxa"/>
            <w:vAlign w:val="bottom"/>
          </w:tcPr>
          <w:p>
            <w:pPr>
              <w:jc w:val="right"/>
              <w:spacing w:after="0"/>
              <w:rPr>
                <w:sz w:val="20"/>
                <w:szCs w:val="20"/>
                <w:color w:val="auto"/>
              </w:rPr>
            </w:pPr>
            <w:r>
              <w:rPr>
                <w:rFonts w:ascii="Verdana" w:cs="Verdana" w:eastAsia="Verdana" w:hAnsi="Verdana"/>
                <w:sz w:val="18"/>
                <w:szCs w:val="18"/>
                <w:color w:val="auto"/>
              </w:rPr>
              <w:t>(7,681)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Verdana" w:cs="Verdana" w:eastAsia="Verdana" w:hAnsi="Verdana"/>
                <w:sz w:val="18"/>
                <w:szCs w:val="18"/>
                <w:color w:val="auto"/>
              </w:rPr>
              <w:t>23.23</w:t>
            </w:r>
          </w:p>
        </w:tc>
        <w:tc>
          <w:tcPr>
            <w:tcW w:w="0" w:type="dxa"/>
            <w:vAlign w:val="bottom"/>
          </w:tcPr>
          <w:p>
            <w:pPr>
              <w:spacing w:after="0"/>
              <w:rPr>
                <w:sz w:val="1"/>
                <w:szCs w:val="1"/>
                <w:color w:val="auto"/>
              </w:rPr>
            </w:pPr>
          </w:p>
        </w:tc>
      </w:tr>
      <w:tr>
        <w:trPr>
          <w:trHeight w:val="270"/>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Forfeited</w:t>
            </w:r>
          </w:p>
        </w:tc>
        <w:tc>
          <w:tcPr>
            <w:tcW w:w="15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(5,347)</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23.38</w:t>
            </w:r>
          </w:p>
        </w:tc>
        <w:tc>
          <w:tcPr>
            <w:tcW w:w="0" w:type="dxa"/>
            <w:vAlign w:val="bottom"/>
          </w:tcPr>
          <w:p>
            <w:pPr>
              <w:spacing w:after="0"/>
              <w:rPr>
                <w:sz w:val="1"/>
                <w:szCs w:val="1"/>
                <w:color w:val="auto"/>
              </w:rPr>
            </w:pPr>
          </w:p>
        </w:tc>
      </w:tr>
      <w:tr>
        <w:trPr>
          <w:trHeight w:val="270"/>
        </w:trPr>
        <w:tc>
          <w:tcPr>
            <w:tcW w:w="8140" w:type="dxa"/>
            <w:vAlign w:val="bottom"/>
            <w:gridSpan w:val="2"/>
          </w:tcPr>
          <w:p>
            <w:pPr>
              <w:ind w:left="20"/>
              <w:spacing w:after="0"/>
              <w:rPr>
                <w:sz w:val="20"/>
                <w:szCs w:val="20"/>
                <w:color w:val="auto"/>
              </w:rPr>
            </w:pPr>
            <w:r>
              <w:rPr>
                <w:rFonts w:ascii="Verdana" w:cs="Verdana" w:eastAsia="Verdana" w:hAnsi="Verdana"/>
                <w:sz w:val="18"/>
                <w:szCs w:val="18"/>
                <w:color w:val="auto"/>
              </w:rPr>
              <w:t>Nonvested at March 31, 2024</w:t>
            </w:r>
          </w:p>
        </w:tc>
        <w:tc>
          <w:tcPr>
            <w:tcW w:w="15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1,227,814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Verdana" w:cs="Verdana" w:eastAsia="Verdana" w:hAnsi="Verdana"/>
                <w:sz w:val="18"/>
                <w:szCs w:val="18"/>
                <w:color w:val="auto"/>
              </w:rPr>
              <w:t>22.25</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PSU Awards</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grants PSU awards to members of management periodically throughout the year. PSU awards are stock-based awards for which vesting is conditional upon meeting established performance criteria. Each PSU is equivalent to one share of Busey’s common stock. The number of PSUs that ultimately vest will be determined based on the extent to which market or other performance goals are achieved. Busey’s PSUs are subject to accelerated service-based vesting conditions upon eligible retirement from Busey. After performance determination, dividend equivalents are compounded based upon the updated PSU balances at each dividend date during the performance period.</w:t>
      </w:r>
    </w:p>
    <w:p>
      <w:pPr>
        <w:spacing w:after="0" w:line="159"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On March 20, 2024, under the terms of the 2020 Equity Plan, Busey granted a target of 94,604 PSUs with a maximum award of 151,366 units. The actual number of units issued at the vesting date could range from 0% to 160% of the initial grant, depending on attaining a market-based total stockholder return performance goal. The estimated grant date fair value of the award was $2.2 million, which will be recognized in compensation expense over the performance period ending December 31, 2026. Busey expects to finalize the grant date fair value of these awards in the second quarter of 2024.</w:t>
      </w:r>
    </w:p>
    <w:p>
      <w:pPr>
        <w:spacing w:after="0" w:line="159"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On March 20, 2024, under the terms of the 2020 Equity Plan, Busey granted a target of 94,604 PSUs with a maximum award of 151,366 units. The actual number of units issued at the vesting date could range from 0% to 160% of the initial grant, depending on attaining an adjusted return on average tangible common equity performance goal. The grant date fair value of the award was $2.2 million, which will be recognized in compensation expense over the performance period ending December 31, 2026. The actual amount of compensation expense recognized for these awards may vary, subject to achievement of the performance goal.</w:t>
      </w:r>
    </w:p>
    <w:p>
      <w:pPr>
        <w:spacing w:after="0" w:line="172" w:lineRule="exact"/>
        <w:rPr>
          <w:sz w:val="20"/>
          <w:szCs w:val="20"/>
          <w:color w:val="auto"/>
        </w:rPr>
      </w:pPr>
    </w:p>
    <w:p>
      <w:pPr>
        <w:spacing w:after="0"/>
        <w:rPr>
          <w:sz w:val="20"/>
          <w:szCs w:val="20"/>
          <w:color w:val="auto"/>
        </w:rPr>
      </w:pPr>
      <w:r>
        <w:rPr>
          <w:rFonts w:ascii="Verdana" w:cs="Verdana" w:eastAsia="Verdana" w:hAnsi="Verdana"/>
          <w:sz w:val="18"/>
          <w:szCs w:val="18"/>
          <w:color w:val="auto"/>
        </w:rPr>
        <w:t>A summary of changes in Busey’s PSU awards for the three months ended March 31, 2024,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61"/>
              <w:spacing w:after="0"/>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1"/>
        </w:trPr>
        <w:tc>
          <w:tcPr>
            <w:tcW w:w="8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61"/>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22"/>
        </w:trPr>
        <w:tc>
          <w:tcPr>
            <w:tcW w:w="806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PSU Awards</w:t>
            </w:r>
          </w:p>
        </w:tc>
        <w:tc>
          <w:tcPr>
            <w:tcW w:w="80" w:type="dxa"/>
            <w:vAlign w:val="bottom"/>
            <w:vMerge w:val="restart"/>
          </w:tcPr>
          <w:p>
            <w:pPr>
              <w:spacing w:after="0"/>
              <w:rPr>
                <w:sz w:val="10"/>
                <w:szCs w:val="10"/>
                <w:color w:val="auto"/>
              </w:rPr>
            </w:pPr>
          </w:p>
        </w:tc>
        <w:tc>
          <w:tcPr>
            <w:tcW w:w="1500" w:type="dxa"/>
            <w:vAlign w:val="bottom"/>
            <w:vMerge w:val="restart"/>
          </w:tcPr>
          <w:p>
            <w:pPr>
              <w:jc w:val="right"/>
              <w:ind w:right="394"/>
              <w:spacing w:after="0"/>
              <w:rPr>
                <w:sz w:val="20"/>
                <w:szCs w:val="20"/>
                <w:color w:val="auto"/>
              </w:rPr>
            </w:pPr>
            <w:r>
              <w:rPr>
                <w:rFonts w:ascii="Verdana" w:cs="Verdana" w:eastAsia="Verdana" w:hAnsi="Verdana"/>
                <w:sz w:val="13"/>
                <w:szCs w:val="13"/>
                <w:b w:val="1"/>
                <w:bCs w:val="1"/>
                <w:color w:val="auto"/>
              </w:rPr>
              <w:t>Shares</w:t>
            </w:r>
            <w:r>
              <w:rPr>
                <w:rFonts w:ascii="Verdana" w:cs="Verdana" w:eastAsia="Verdana" w:hAnsi="Verdana"/>
                <w:sz w:val="16"/>
                <w:szCs w:val="16"/>
                <w:b w:val="1"/>
                <w:bCs w:val="1"/>
                <w:color w:val="auto"/>
                <w:vertAlign w:val="superscript"/>
              </w:rPr>
              <w:t>1</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81"/>
              <w:spacing w:after="0" w:line="122" w:lineRule="exact"/>
              <w:rPr>
                <w:sz w:val="20"/>
                <w:szCs w:val="20"/>
                <w:color w:val="auto"/>
              </w:rPr>
            </w:pPr>
            <w:r>
              <w:rPr>
                <w:rFonts w:ascii="Verdana" w:cs="Verdana" w:eastAsia="Verdana" w:hAnsi="Verdana"/>
                <w:sz w:val="13"/>
                <w:szCs w:val="13"/>
                <w:b w:val="1"/>
                <w:bCs w:val="1"/>
                <w:color w:val="auto"/>
                <w:w w:val="95"/>
              </w:rPr>
              <w:t>Grant Date</w:t>
            </w:r>
          </w:p>
        </w:tc>
        <w:tc>
          <w:tcPr>
            <w:tcW w:w="0" w:type="dxa"/>
            <w:vAlign w:val="bottom"/>
          </w:tcPr>
          <w:p>
            <w:pPr>
              <w:spacing w:after="0"/>
              <w:rPr>
                <w:sz w:val="1"/>
                <w:szCs w:val="1"/>
                <w:color w:val="auto"/>
              </w:rPr>
            </w:pPr>
          </w:p>
        </w:tc>
      </w:tr>
      <w:tr>
        <w:trPr>
          <w:trHeight w:val="162"/>
        </w:trPr>
        <w:tc>
          <w:tcPr>
            <w:tcW w:w="80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1"/>
              <w:spacing w:after="0"/>
              <w:rPr>
                <w:sz w:val="20"/>
                <w:szCs w:val="20"/>
                <w:color w:val="auto"/>
              </w:rPr>
            </w:pPr>
            <w:r>
              <w:rPr>
                <w:rFonts w:ascii="Verdana" w:cs="Verdana" w:eastAsia="Verdana" w:hAnsi="Verdana"/>
                <w:sz w:val="13"/>
                <w:szCs w:val="13"/>
                <w:b w:val="1"/>
                <w:bCs w:val="1"/>
                <w:color w:val="auto"/>
                <w:w w:val="97"/>
              </w:rPr>
              <w:t>Fair Value</w:t>
            </w:r>
          </w:p>
        </w:tc>
        <w:tc>
          <w:tcPr>
            <w:tcW w:w="0" w:type="dxa"/>
            <w:vAlign w:val="bottom"/>
          </w:tcPr>
          <w:p>
            <w:pPr>
              <w:spacing w:after="0"/>
              <w:rPr>
                <w:sz w:val="1"/>
                <w:szCs w:val="1"/>
                <w:color w:val="auto"/>
              </w:rPr>
            </w:pPr>
          </w:p>
        </w:tc>
      </w:tr>
      <w:tr>
        <w:trPr>
          <w:trHeight w:val="263"/>
        </w:trPr>
        <w:tc>
          <w:tcPr>
            <w:tcW w:w="81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Nonvested at December 31, 2023</w:t>
            </w:r>
          </w:p>
        </w:tc>
        <w:tc>
          <w:tcPr>
            <w:tcW w:w="150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341,700</w:t>
            </w:r>
          </w:p>
        </w:tc>
        <w:tc>
          <w:tcPr>
            <w:tcW w:w="3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22.67</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Granted</w:t>
            </w:r>
          </w:p>
        </w:tc>
        <w:tc>
          <w:tcPr>
            <w:tcW w:w="1500" w:type="dxa"/>
            <w:vAlign w:val="bottom"/>
          </w:tcPr>
          <w:p>
            <w:pPr>
              <w:jc w:val="right"/>
              <w:ind w:right="14"/>
              <w:spacing w:after="0"/>
              <w:rPr>
                <w:sz w:val="20"/>
                <w:szCs w:val="20"/>
                <w:color w:val="auto"/>
              </w:rPr>
            </w:pPr>
            <w:r>
              <w:rPr>
                <w:rFonts w:ascii="Verdana" w:cs="Verdana" w:eastAsia="Verdana" w:hAnsi="Verdana"/>
                <w:sz w:val="18"/>
                <w:szCs w:val="18"/>
                <w:color w:val="auto"/>
              </w:rPr>
              <w:t>189,208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Verdana" w:cs="Verdana" w:eastAsia="Verdana" w:hAnsi="Verdana"/>
                <w:sz w:val="18"/>
                <w:szCs w:val="18"/>
                <w:color w:val="auto"/>
              </w:rPr>
              <w:t>23.35</w:t>
            </w:r>
          </w:p>
        </w:tc>
        <w:tc>
          <w:tcPr>
            <w:tcW w:w="0" w:type="dxa"/>
            <w:vAlign w:val="bottom"/>
          </w:tcPr>
          <w:p>
            <w:pPr>
              <w:spacing w:after="0"/>
              <w:rPr>
                <w:sz w:val="1"/>
                <w:szCs w:val="1"/>
                <w:color w:val="auto"/>
              </w:rPr>
            </w:pPr>
          </w:p>
        </w:tc>
      </w:tr>
      <w:tr>
        <w:trPr>
          <w:trHeight w:val="277"/>
        </w:trPr>
        <w:tc>
          <w:tcPr>
            <w:tcW w:w="8140" w:type="dxa"/>
            <w:vAlign w:val="bottom"/>
            <w:gridSpan w:val="2"/>
            <w:shd w:val="clear" w:color="auto" w:fill="E0E7ED"/>
          </w:tcPr>
          <w:p>
            <w:pPr>
              <w:ind w:left="180"/>
              <w:spacing w:after="0" w:line="277" w:lineRule="exact"/>
              <w:rPr>
                <w:sz w:val="20"/>
                <w:szCs w:val="20"/>
                <w:color w:val="auto"/>
              </w:rPr>
            </w:pPr>
            <w:r>
              <w:rPr>
                <w:rFonts w:ascii="Verdana" w:cs="Verdana" w:eastAsia="Verdana" w:hAnsi="Verdana"/>
                <w:sz w:val="18"/>
                <w:szCs w:val="18"/>
                <w:color w:val="auto"/>
              </w:rPr>
              <w:t>Dividend equivalents earned</w:t>
            </w:r>
            <w:r>
              <w:rPr>
                <w:rFonts w:ascii="Verdana" w:cs="Verdana" w:eastAsia="Verdana" w:hAnsi="Verdana"/>
                <w:sz w:val="23"/>
                <w:szCs w:val="23"/>
                <w:color w:val="auto"/>
                <w:vertAlign w:val="superscript"/>
              </w:rPr>
              <w:t>2</w:t>
            </w:r>
          </w:p>
        </w:tc>
        <w:tc>
          <w:tcPr>
            <w:tcW w:w="150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4,264</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22.95</w:t>
            </w:r>
          </w:p>
        </w:tc>
        <w:tc>
          <w:tcPr>
            <w:tcW w:w="0" w:type="dxa"/>
            <w:vAlign w:val="bottom"/>
          </w:tcPr>
          <w:p>
            <w:pPr>
              <w:spacing w:after="0"/>
              <w:rPr>
                <w:sz w:val="1"/>
                <w:szCs w:val="1"/>
                <w:color w:val="auto"/>
              </w:rPr>
            </w:pPr>
          </w:p>
        </w:tc>
      </w:tr>
      <w:tr>
        <w:trPr>
          <w:trHeight w:val="270"/>
        </w:trPr>
        <w:tc>
          <w:tcPr>
            <w:tcW w:w="8140" w:type="dxa"/>
            <w:vAlign w:val="bottom"/>
            <w:gridSpan w:val="2"/>
          </w:tcPr>
          <w:p>
            <w:pPr>
              <w:ind w:left="180"/>
              <w:spacing w:after="0" w:line="270" w:lineRule="exact"/>
              <w:rPr>
                <w:sz w:val="20"/>
                <w:szCs w:val="20"/>
                <w:color w:val="auto"/>
              </w:rPr>
            </w:pPr>
            <w:r>
              <w:rPr>
                <w:rFonts w:ascii="Verdana" w:cs="Verdana" w:eastAsia="Verdana" w:hAnsi="Verdana"/>
                <w:sz w:val="18"/>
                <w:szCs w:val="18"/>
                <w:color w:val="auto"/>
              </w:rPr>
              <w:t>Vested</w:t>
            </w:r>
            <w:r>
              <w:rPr>
                <w:rFonts w:ascii="Verdana" w:cs="Verdana" w:eastAsia="Verdana" w:hAnsi="Verdana"/>
                <w:sz w:val="23"/>
                <w:szCs w:val="23"/>
                <w:color w:val="auto"/>
                <w:vertAlign w:val="superscript"/>
              </w:rPr>
              <w:t>2</w:t>
            </w:r>
          </w:p>
        </w:tc>
        <w:tc>
          <w:tcPr>
            <w:tcW w:w="1500" w:type="dxa"/>
            <w:vAlign w:val="bottom"/>
          </w:tcPr>
          <w:p>
            <w:pPr>
              <w:jc w:val="right"/>
              <w:spacing w:after="0"/>
              <w:rPr>
                <w:sz w:val="20"/>
                <w:szCs w:val="20"/>
                <w:color w:val="auto"/>
              </w:rPr>
            </w:pPr>
            <w:r>
              <w:rPr>
                <w:rFonts w:ascii="Verdana" w:cs="Verdana" w:eastAsia="Verdana" w:hAnsi="Verdana"/>
                <w:sz w:val="18"/>
                <w:szCs w:val="18"/>
                <w:color w:val="auto"/>
              </w:rPr>
              <w:t>(4,264)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Verdana" w:cs="Verdana" w:eastAsia="Verdana" w:hAnsi="Verdana"/>
                <w:sz w:val="18"/>
                <w:szCs w:val="18"/>
                <w:color w:val="auto"/>
              </w:rPr>
              <w:t>22.95</w:t>
            </w:r>
          </w:p>
        </w:tc>
        <w:tc>
          <w:tcPr>
            <w:tcW w:w="0" w:type="dxa"/>
            <w:vAlign w:val="bottom"/>
          </w:tcPr>
          <w:p>
            <w:pPr>
              <w:spacing w:after="0"/>
              <w:rPr>
                <w:sz w:val="1"/>
                <w:szCs w:val="1"/>
                <w:color w:val="auto"/>
              </w:rPr>
            </w:pPr>
          </w:p>
        </w:tc>
      </w:tr>
      <w:tr>
        <w:trPr>
          <w:trHeight w:val="264"/>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Forfeited</w:t>
            </w:r>
          </w:p>
        </w:tc>
        <w:tc>
          <w:tcPr>
            <w:tcW w:w="15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(1,754)</w:t>
            </w:r>
          </w:p>
        </w:tc>
        <w:tc>
          <w:tcPr>
            <w:tcW w:w="8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26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22.76</w:t>
            </w:r>
          </w:p>
        </w:tc>
        <w:tc>
          <w:tcPr>
            <w:tcW w:w="0" w:type="dxa"/>
            <w:vAlign w:val="bottom"/>
          </w:tcPr>
          <w:p>
            <w:pPr>
              <w:spacing w:after="0"/>
              <w:rPr>
                <w:sz w:val="1"/>
                <w:szCs w:val="1"/>
                <w:color w:val="auto"/>
              </w:rPr>
            </w:pPr>
          </w:p>
        </w:tc>
      </w:tr>
      <w:tr>
        <w:trPr>
          <w:trHeight w:val="270"/>
        </w:trPr>
        <w:tc>
          <w:tcPr>
            <w:tcW w:w="8140" w:type="dxa"/>
            <w:vAlign w:val="bottom"/>
            <w:gridSpan w:val="2"/>
          </w:tcPr>
          <w:p>
            <w:pPr>
              <w:ind w:left="20"/>
              <w:spacing w:after="0"/>
              <w:rPr>
                <w:sz w:val="20"/>
                <w:szCs w:val="20"/>
                <w:color w:val="auto"/>
              </w:rPr>
            </w:pPr>
            <w:r>
              <w:rPr>
                <w:rFonts w:ascii="Verdana" w:cs="Verdana" w:eastAsia="Verdana" w:hAnsi="Verdana"/>
                <w:sz w:val="18"/>
                <w:szCs w:val="18"/>
                <w:color w:val="auto"/>
              </w:rPr>
              <w:t>Nonvested at March 31, 2024</w:t>
            </w:r>
          </w:p>
        </w:tc>
        <w:tc>
          <w:tcPr>
            <w:tcW w:w="150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529,154</w:t>
            </w:r>
          </w:p>
        </w:tc>
        <w:tc>
          <w:tcPr>
            <w:tcW w:w="34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21"/>
              <w:spacing w:after="0"/>
              <w:rPr>
                <w:sz w:val="20"/>
                <w:szCs w:val="20"/>
                <w:color w:val="auto"/>
              </w:rPr>
            </w:pPr>
            <w:r>
              <w:rPr>
                <w:rFonts w:ascii="Verdana" w:cs="Verdana" w:eastAsia="Verdana" w:hAnsi="Verdana"/>
                <w:sz w:val="18"/>
                <w:szCs w:val="18"/>
                <w:color w:val="auto"/>
              </w:rPr>
              <w:t>22.91</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10"/>
        </w:numPr>
        <w:rPr>
          <w:rFonts w:ascii="Verdana" w:cs="Verdana" w:eastAsia="Verdana" w:hAnsi="Verdana"/>
          <w:sz w:val="13"/>
          <w:szCs w:val="13"/>
          <w:color w:val="auto"/>
        </w:rPr>
      </w:pPr>
      <w:r>
        <w:rPr>
          <w:rFonts w:ascii="Verdana" w:cs="Verdana" w:eastAsia="Verdana" w:hAnsi="Verdana"/>
          <w:sz w:val="13"/>
          <w:szCs w:val="13"/>
          <w:color w:val="auto"/>
        </w:rPr>
        <w:t>Shares for PSU awards represent target shares at the grant date.</w:t>
      </w:r>
    </w:p>
    <w:p>
      <w:pPr>
        <w:ind w:left="500" w:hanging="330"/>
        <w:spacing w:after="0" w:line="237" w:lineRule="auto"/>
        <w:tabs>
          <w:tab w:leader="none" w:pos="491" w:val="left"/>
        </w:tabs>
        <w:numPr>
          <w:ilvl w:val="0"/>
          <w:numId w:val="10"/>
        </w:numPr>
        <w:rPr>
          <w:rFonts w:ascii="Verdana" w:cs="Verdana" w:eastAsia="Verdana" w:hAnsi="Verdana"/>
          <w:sz w:val="13"/>
          <w:szCs w:val="13"/>
          <w:color w:val="auto"/>
        </w:rPr>
      </w:pPr>
      <w:r>
        <w:rPr>
          <w:rFonts w:ascii="Verdana" w:cs="Verdana" w:eastAsia="Verdana" w:hAnsi="Verdana"/>
          <w:sz w:val="13"/>
          <w:szCs w:val="13"/>
          <w:color w:val="auto"/>
        </w:rPr>
        <w:t>PSUs granted in 2021 vested on December 31, 2023, with performance determination and settlement activity in the first quarter of 2024. Final performance was determined to be at 50% of target.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2" w:name="page43"/>
    <w:bookmarkEnd w:id="4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DSU Awards</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grants DSU awards to its directors and advisory directors. DSU awards are stock-based awards with a deferred settlement date. Each DSU is equivalent to one share of Busey’s common stock. DSUs vest over a one-year period following the grant date. Under the 2020 Equity Plan, DSUs are generally subject to the same terms as RSUs, except that following vesting of DSUs, settlement occurs within 30 days following the earlier of separation from the board or a change in control of the Company. After vesting and prior to delivery, DSUs will continue to earn dividend equivalents.</w:t>
      </w:r>
    </w:p>
    <w:p>
      <w:pPr>
        <w:spacing w:after="0" w:line="17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On March 20, 2024, under the terms of the 2020 Equity Plan, Busey granted 35,847 DSUs to directors and advisory directors. The grant date fair value of the award totaled $0.8 million and will be recognized as compensation expense over the requisite service period of one year. Subsequent to the requisite service period, the awards will become 100% vested.</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color w:val="auto"/>
        </w:rPr>
        <w:t>A summary of changes in Busey’s DSU awards for the three months ended March 31, 2024,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61"/>
              <w:spacing w:after="0"/>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2"/>
        </w:trPr>
        <w:tc>
          <w:tcPr>
            <w:tcW w:w="8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61"/>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22"/>
        </w:trPr>
        <w:tc>
          <w:tcPr>
            <w:tcW w:w="806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DSU Awards</w:t>
            </w:r>
          </w:p>
        </w:tc>
        <w:tc>
          <w:tcPr>
            <w:tcW w:w="80" w:type="dxa"/>
            <w:vAlign w:val="bottom"/>
            <w:vMerge w:val="restart"/>
          </w:tcPr>
          <w:p>
            <w:pPr>
              <w:spacing w:after="0"/>
              <w:rPr>
                <w:sz w:val="10"/>
                <w:szCs w:val="10"/>
                <w:color w:val="auto"/>
              </w:rPr>
            </w:pPr>
          </w:p>
        </w:tc>
        <w:tc>
          <w:tcPr>
            <w:tcW w:w="1500" w:type="dxa"/>
            <w:vAlign w:val="bottom"/>
            <w:vMerge w:val="restart"/>
          </w:tcPr>
          <w:p>
            <w:pPr>
              <w:jc w:val="right"/>
              <w:ind w:right="414"/>
              <w:spacing w:after="0"/>
              <w:rPr>
                <w:sz w:val="20"/>
                <w:szCs w:val="20"/>
                <w:color w:val="auto"/>
              </w:rPr>
            </w:pPr>
            <w:r>
              <w:rPr>
                <w:rFonts w:ascii="Verdana" w:cs="Verdana" w:eastAsia="Verdana" w:hAnsi="Verdana"/>
                <w:sz w:val="13"/>
                <w:szCs w:val="13"/>
                <w:b w:val="1"/>
                <w:bCs w:val="1"/>
                <w:color w:val="auto"/>
              </w:rPr>
              <w:t>Shares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81"/>
              <w:spacing w:after="0" w:line="122" w:lineRule="exact"/>
              <w:rPr>
                <w:sz w:val="20"/>
                <w:szCs w:val="20"/>
                <w:color w:val="auto"/>
              </w:rPr>
            </w:pPr>
            <w:r>
              <w:rPr>
                <w:rFonts w:ascii="Verdana" w:cs="Verdana" w:eastAsia="Verdana" w:hAnsi="Verdana"/>
                <w:sz w:val="13"/>
                <w:szCs w:val="13"/>
                <w:b w:val="1"/>
                <w:bCs w:val="1"/>
                <w:color w:val="auto"/>
                <w:w w:val="95"/>
              </w:rPr>
              <w:t>Grant Date</w:t>
            </w:r>
          </w:p>
        </w:tc>
        <w:tc>
          <w:tcPr>
            <w:tcW w:w="0" w:type="dxa"/>
            <w:vAlign w:val="bottom"/>
          </w:tcPr>
          <w:p>
            <w:pPr>
              <w:spacing w:after="0"/>
              <w:rPr>
                <w:sz w:val="1"/>
                <w:szCs w:val="1"/>
                <w:color w:val="auto"/>
              </w:rPr>
            </w:pPr>
          </w:p>
        </w:tc>
      </w:tr>
      <w:tr>
        <w:trPr>
          <w:trHeight w:val="162"/>
        </w:trPr>
        <w:tc>
          <w:tcPr>
            <w:tcW w:w="80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1"/>
              <w:spacing w:after="0"/>
              <w:rPr>
                <w:sz w:val="20"/>
                <w:szCs w:val="20"/>
                <w:color w:val="auto"/>
              </w:rPr>
            </w:pPr>
            <w:r>
              <w:rPr>
                <w:rFonts w:ascii="Verdana" w:cs="Verdana" w:eastAsia="Verdana" w:hAnsi="Verdana"/>
                <w:sz w:val="13"/>
                <w:szCs w:val="13"/>
                <w:b w:val="1"/>
                <w:bCs w:val="1"/>
                <w:color w:val="auto"/>
                <w:w w:val="97"/>
              </w:rPr>
              <w:t>Fair Value</w:t>
            </w:r>
          </w:p>
        </w:tc>
        <w:tc>
          <w:tcPr>
            <w:tcW w:w="0" w:type="dxa"/>
            <w:vAlign w:val="bottom"/>
          </w:tcPr>
          <w:p>
            <w:pPr>
              <w:spacing w:after="0"/>
              <w:rPr>
                <w:sz w:val="1"/>
                <w:szCs w:val="1"/>
                <w:color w:val="auto"/>
              </w:rPr>
            </w:pPr>
          </w:p>
        </w:tc>
      </w:tr>
      <w:tr>
        <w:trPr>
          <w:trHeight w:val="264"/>
        </w:trPr>
        <w:tc>
          <w:tcPr>
            <w:tcW w:w="81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Nonvested at December 31, 2023</w:t>
            </w:r>
          </w:p>
        </w:tc>
        <w:tc>
          <w:tcPr>
            <w:tcW w:w="150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43,026</w:t>
            </w:r>
          </w:p>
        </w:tc>
        <w:tc>
          <w:tcPr>
            <w:tcW w:w="3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20.41</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Granted</w:t>
            </w:r>
          </w:p>
        </w:tc>
        <w:tc>
          <w:tcPr>
            <w:tcW w:w="1500" w:type="dxa"/>
            <w:vAlign w:val="bottom"/>
          </w:tcPr>
          <w:p>
            <w:pPr>
              <w:jc w:val="right"/>
              <w:ind w:right="14"/>
              <w:spacing w:after="0"/>
              <w:rPr>
                <w:sz w:val="20"/>
                <w:szCs w:val="20"/>
                <w:color w:val="auto"/>
              </w:rPr>
            </w:pPr>
            <w:r>
              <w:rPr>
                <w:rFonts w:ascii="Verdana" w:cs="Verdana" w:eastAsia="Verdana" w:hAnsi="Verdana"/>
                <w:sz w:val="18"/>
                <w:szCs w:val="18"/>
                <w:color w:val="auto"/>
              </w:rPr>
              <w:t>35,847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Verdana" w:cs="Verdana" w:eastAsia="Verdana" w:hAnsi="Verdana"/>
                <w:sz w:val="18"/>
                <w:szCs w:val="18"/>
                <w:color w:val="auto"/>
              </w:rPr>
              <w:t>23.35</w:t>
            </w:r>
          </w:p>
        </w:tc>
        <w:tc>
          <w:tcPr>
            <w:tcW w:w="0" w:type="dxa"/>
            <w:vAlign w:val="bottom"/>
          </w:tcPr>
          <w:p>
            <w:pPr>
              <w:spacing w:after="0"/>
              <w:rPr>
                <w:sz w:val="1"/>
                <w:szCs w:val="1"/>
                <w:color w:val="auto"/>
              </w:rPr>
            </w:pPr>
          </w:p>
        </w:tc>
      </w:tr>
      <w:tr>
        <w:trPr>
          <w:trHeight w:val="277"/>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Dividend equivalents earned</w:t>
            </w:r>
          </w:p>
        </w:tc>
        <w:tc>
          <w:tcPr>
            <w:tcW w:w="150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1,836</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24.46</w:t>
            </w:r>
          </w:p>
        </w:tc>
        <w:tc>
          <w:tcPr>
            <w:tcW w:w="0" w:type="dxa"/>
            <w:vAlign w:val="bottom"/>
          </w:tcPr>
          <w:p>
            <w:pPr>
              <w:spacing w:after="0"/>
              <w:rPr>
                <w:sz w:val="1"/>
                <w:szCs w:val="1"/>
                <w:color w:val="auto"/>
              </w:rPr>
            </w:pPr>
          </w:p>
        </w:tc>
      </w:tr>
      <w:tr>
        <w:trPr>
          <w:trHeight w:val="263"/>
        </w:trPr>
        <w:tc>
          <w:tcPr>
            <w:tcW w:w="8140" w:type="dxa"/>
            <w:vAlign w:val="bottom"/>
            <w:tcBorders>
              <w:bottom w:val="single" w:sz="8" w:color="E0E7ED"/>
            </w:tcBorders>
            <w:gridSpan w:val="2"/>
          </w:tcPr>
          <w:p>
            <w:pPr>
              <w:ind w:left="180"/>
              <w:spacing w:after="0"/>
              <w:rPr>
                <w:sz w:val="20"/>
                <w:szCs w:val="20"/>
                <w:color w:val="auto"/>
              </w:rPr>
            </w:pPr>
            <w:r>
              <w:rPr>
                <w:rFonts w:ascii="Verdana" w:cs="Verdana" w:eastAsia="Verdana" w:hAnsi="Verdana"/>
                <w:sz w:val="18"/>
                <w:szCs w:val="18"/>
                <w:color w:val="auto"/>
              </w:rPr>
              <w:t>Vested</w:t>
            </w:r>
          </w:p>
        </w:tc>
        <w:tc>
          <w:tcPr>
            <w:tcW w:w="15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(44,862)</w:t>
            </w:r>
          </w:p>
        </w:tc>
        <w:tc>
          <w:tcPr>
            <w:tcW w:w="80" w:type="dxa"/>
            <w:vAlign w:val="bottom"/>
            <w:tcBorders>
              <w:bottom w:val="single" w:sz="8" w:color="E0E7ED"/>
            </w:tcBorders>
          </w:tcPr>
          <w:p>
            <w:pPr>
              <w:spacing w:after="0"/>
              <w:rPr>
                <w:sz w:val="22"/>
                <w:szCs w:val="22"/>
                <w:color w:val="auto"/>
              </w:rPr>
            </w:pPr>
          </w:p>
        </w:tc>
        <w:tc>
          <w:tcPr>
            <w:tcW w:w="260" w:type="dxa"/>
            <w:vAlign w:val="bottom"/>
            <w:tcBorders>
              <w:bottom w:val="single" w:sz="8" w:color="E0E7ED"/>
            </w:tcBorders>
          </w:tcPr>
          <w:p>
            <w:pPr>
              <w:spacing w:after="0"/>
              <w:rPr>
                <w:sz w:val="22"/>
                <w:szCs w:val="22"/>
                <w:color w:val="auto"/>
              </w:rPr>
            </w:pPr>
          </w:p>
        </w:tc>
        <w:tc>
          <w:tcPr>
            <w:tcW w:w="1260" w:type="dxa"/>
            <w:vAlign w:val="bottom"/>
            <w:tcBorders>
              <w:bottom w:val="single" w:sz="8" w:color="E0E7ED"/>
            </w:tcBorders>
          </w:tcPr>
          <w:p>
            <w:pPr>
              <w:jc w:val="right"/>
              <w:ind w:right="21"/>
              <w:spacing w:after="0"/>
              <w:rPr>
                <w:sz w:val="20"/>
                <w:szCs w:val="20"/>
                <w:color w:val="auto"/>
              </w:rPr>
            </w:pPr>
            <w:r>
              <w:rPr>
                <w:rFonts w:ascii="Verdana" w:cs="Verdana" w:eastAsia="Verdana" w:hAnsi="Verdana"/>
                <w:sz w:val="18"/>
                <w:szCs w:val="18"/>
                <w:color w:val="auto"/>
              </w:rPr>
              <w:t>20.57</w:t>
            </w:r>
          </w:p>
        </w:tc>
        <w:tc>
          <w:tcPr>
            <w:tcW w:w="0" w:type="dxa"/>
            <w:vAlign w:val="bottom"/>
          </w:tcPr>
          <w:p>
            <w:pPr>
              <w:spacing w:after="0"/>
              <w:rPr>
                <w:sz w:val="1"/>
                <w:szCs w:val="1"/>
                <w:color w:val="auto"/>
              </w:rPr>
            </w:pPr>
          </w:p>
        </w:tc>
      </w:tr>
      <w:tr>
        <w:trPr>
          <w:trHeight w:val="295"/>
        </w:trPr>
        <w:tc>
          <w:tcPr>
            <w:tcW w:w="8140" w:type="dxa"/>
            <w:vAlign w:val="bottom"/>
            <w:tcBorders>
              <w:bottom w:val="single" w:sz="8" w:color="E0E7ED"/>
            </w:tcBorders>
            <w:gridSpan w:val="2"/>
            <w:shd w:val="clear" w:color="auto" w:fill="E0E7ED"/>
          </w:tcPr>
          <w:p>
            <w:pPr>
              <w:ind w:left="20"/>
              <w:spacing w:after="0"/>
              <w:rPr>
                <w:sz w:val="20"/>
                <w:szCs w:val="20"/>
                <w:color w:val="auto"/>
              </w:rPr>
            </w:pPr>
            <w:r>
              <w:rPr>
                <w:rFonts w:ascii="Verdana" w:cs="Verdana" w:eastAsia="Verdana" w:hAnsi="Verdana"/>
                <w:sz w:val="18"/>
                <w:szCs w:val="18"/>
                <w:color w:val="auto"/>
              </w:rPr>
              <w:t>Nonvested at March 31, 2024</w:t>
            </w:r>
          </w:p>
        </w:tc>
        <w:tc>
          <w:tcPr>
            <w:tcW w:w="150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35,847</w:t>
            </w:r>
          </w:p>
        </w:tc>
        <w:tc>
          <w:tcPr>
            <w:tcW w:w="8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E0E7ED"/>
            </w:tcBorders>
            <w:shd w:val="clear" w:color="auto" w:fill="E0E7ED"/>
          </w:tcPr>
          <w:p>
            <w:pPr>
              <w:spacing w:after="0"/>
              <w:rPr>
                <w:sz w:val="24"/>
                <w:szCs w:val="24"/>
                <w:color w:val="auto"/>
              </w:rPr>
            </w:pPr>
          </w:p>
        </w:tc>
        <w:tc>
          <w:tcPr>
            <w:tcW w:w="1260" w:type="dxa"/>
            <w:vAlign w:val="bottom"/>
            <w:tcBorders>
              <w:bottom w:val="single" w:sz="8" w:color="E0E7ED"/>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23.35</w:t>
            </w:r>
          </w:p>
        </w:tc>
        <w:tc>
          <w:tcPr>
            <w:tcW w:w="0" w:type="dxa"/>
            <w:vAlign w:val="bottom"/>
          </w:tcPr>
          <w:p>
            <w:pPr>
              <w:spacing w:after="0"/>
              <w:rPr>
                <w:sz w:val="1"/>
                <w:szCs w:val="1"/>
                <w:color w:val="auto"/>
              </w:rPr>
            </w:pPr>
          </w:p>
        </w:tc>
      </w:tr>
      <w:tr>
        <w:trPr>
          <w:trHeight w:val="20"/>
        </w:trPr>
        <w:tc>
          <w:tcPr>
            <w:tcW w:w="806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tcBorders>
          </w:tcPr>
          <w:p>
            <w:pPr>
              <w:spacing w:after="0" w:line="20" w:lineRule="exact"/>
              <w:rPr>
                <w:sz w:val="1"/>
                <w:szCs w:val="1"/>
                <w:color w:val="auto"/>
              </w:rPr>
            </w:pPr>
          </w:p>
        </w:tc>
        <w:tc>
          <w:tcPr>
            <w:tcW w:w="126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1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Vested and outstanding at March 31, 2024</w:t>
            </w:r>
          </w:p>
        </w:tc>
        <w:tc>
          <w:tcPr>
            <w:tcW w:w="150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189,000</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22.82</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2021 Employee Stock Purchase Plan</w:t>
      </w:r>
    </w:p>
    <w:p>
      <w:pPr>
        <w:spacing w:after="0" w:line="186" w:lineRule="exact"/>
        <w:rPr>
          <w:sz w:val="20"/>
          <w:szCs w:val="20"/>
          <w:color w:val="auto"/>
        </w:rPr>
      </w:pPr>
    </w:p>
    <w:p>
      <w:pPr>
        <w:jc w:val="both"/>
        <w:spacing w:after="0"/>
        <w:rPr>
          <w:rFonts w:ascii="Verdana" w:cs="Verdana" w:eastAsia="Verdana" w:hAnsi="Verdana"/>
          <w:sz w:val="18"/>
          <w:szCs w:val="18"/>
          <w:color w:val="auto"/>
        </w:rPr>
      </w:pPr>
      <w:r>
        <w:rPr>
          <w:rFonts w:ascii="Verdana" w:cs="Verdana" w:eastAsia="Verdana" w:hAnsi="Verdana"/>
          <w:sz w:val="18"/>
          <w:szCs w:val="18"/>
          <w:color w:val="auto"/>
        </w:rPr>
        <w:t xml:space="preserve">The First Busey Corporation 2021 ESPP was approved at Busey’s 2021 Annual Meeting of Stockholders and details can be found in </w:t>
      </w:r>
      <w:hyperlink r:id="rId68">
        <w:r>
          <w:rPr>
            <w:rFonts w:ascii="Verdana" w:cs="Verdana" w:eastAsia="Verdana" w:hAnsi="Verdana"/>
            <w:sz w:val="18"/>
            <w:szCs w:val="18"/>
            <w:u w:val="single" w:color="auto"/>
            <w:color w:val="0000FF"/>
          </w:rPr>
          <w:t>Appendix A</w:t>
        </w:r>
        <w:r>
          <w:rPr>
            <w:rFonts w:ascii="Verdana" w:cs="Verdana" w:eastAsia="Verdana" w:hAnsi="Verdana"/>
            <w:sz w:val="18"/>
            <w:szCs w:val="18"/>
            <w:u w:val="single" w:color="auto"/>
            <w:color w:val="auto"/>
          </w:rPr>
          <w:t xml:space="preserve"> </w:t>
        </w:r>
      </w:hyperlink>
      <w:r>
        <w:rPr>
          <w:rFonts w:ascii="Verdana" w:cs="Verdana" w:eastAsia="Verdana" w:hAnsi="Verdana"/>
          <w:sz w:val="18"/>
          <w:szCs w:val="18"/>
          <w:color w:val="auto"/>
        </w:rPr>
        <w:t xml:space="preserve">within </w:t>
      </w:r>
      <w:hyperlink r:id="rId69">
        <w:r>
          <w:rPr>
            <w:rFonts w:ascii="Verdana" w:cs="Verdana" w:eastAsia="Verdana" w:hAnsi="Verdana"/>
            <w:sz w:val="18"/>
            <w:szCs w:val="18"/>
            <w:u w:val="single" w:color="auto"/>
            <w:color w:val="0000FF"/>
          </w:rPr>
          <w:t>Busey’s Definitive Proxy Statement filed with the SEC on April 8, 2021</w:t>
        </w:r>
      </w:hyperlink>
      <w:r>
        <w:rPr>
          <w:rFonts w:ascii="Verdana" w:cs="Verdana" w:eastAsia="Verdana" w:hAnsi="Verdana"/>
          <w:sz w:val="18"/>
          <w:szCs w:val="18"/>
          <w:color w:val="auto"/>
        </w:rPr>
        <w:t>. The purpose of the 2021 ESPP is to provide a means through which our employees may acquire a proprietary interest in Busey by purchasing shares of our common stock at a 15% discount through voluntary payroll deductions, to assist us in retaining the services of our employees and securing and retaining the services of new employees, and to provide incentives for our employees to exert maximum efforts toward our success.</w:t>
      </w:r>
    </w:p>
    <w:p>
      <w:pPr>
        <w:spacing w:after="0" w:line="15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2021 ESPP initially reserved for issuance and purchase an aggregate of 600,000 shares of Busey’s common stock. The first offering under the 2021 ESPP began on July 1, 2021. There were 429,074 shares available for issuance under the 2021 ESPP as of March 31, 2024.</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Stock-based Compensation Expense</w:t>
      </w:r>
    </w:p>
    <w:p>
      <w:pPr>
        <w:spacing w:after="0" w:line="21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did not record any stock option compensation expense for the three months ended March 31, 2024, or 2023. Busey did not have any unrecognized stock option compensation expense as of March 31,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3" w:name="page44"/>
    <w:bookmarkEnd w:id="4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Busey recognized compensation expense related to nonvested RSU, PSU, and DSU awards, as well as the 2021 ESPP, as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4"/>
          </w:tcPr>
          <w:p>
            <w:pPr>
              <w:jc w:val="right"/>
              <w:ind w:right="375"/>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85"/>
        </w:trPr>
        <w:tc>
          <w:tcPr>
            <w:tcW w:w="8120" w:type="dxa"/>
            <w:vAlign w:val="bottom"/>
            <w:tcBorders>
              <w:bottom w:val="single" w:sz="8" w:color="E0E7ED"/>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8"/>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r>
      <w:tr>
        <w:trPr>
          <w:trHeight w:val="256"/>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Stock-based compensation expense</w:t>
            </w:r>
          </w:p>
        </w:tc>
        <w:tc>
          <w:tcPr>
            <w:tcW w:w="30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RSU awards</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8"/>
              <w:spacing w:after="0"/>
              <w:rPr>
                <w:sz w:val="20"/>
                <w:szCs w:val="20"/>
                <w:color w:val="auto"/>
              </w:rPr>
            </w:pPr>
            <w:r>
              <w:rPr>
                <w:rFonts w:ascii="Verdana" w:cs="Verdana" w:eastAsia="Verdana" w:hAnsi="Verdana"/>
                <w:sz w:val="18"/>
                <w:szCs w:val="18"/>
                <w:color w:val="auto"/>
              </w:rPr>
              <w:t>894</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ind w:right="15"/>
              <w:spacing w:after="0"/>
              <w:rPr>
                <w:sz w:val="20"/>
                <w:szCs w:val="20"/>
                <w:color w:val="auto"/>
              </w:rPr>
            </w:pPr>
            <w:r>
              <w:rPr>
                <w:rFonts w:ascii="Verdana" w:cs="Verdana" w:eastAsia="Verdana" w:hAnsi="Verdana"/>
                <w:sz w:val="18"/>
                <w:szCs w:val="18"/>
                <w:color w:val="auto"/>
              </w:rPr>
              <w:t>1,020</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PSU awards</w:t>
            </w:r>
            <w:r>
              <w:rPr>
                <w:rFonts w:ascii="Verdana" w:cs="Verdana" w:eastAsia="Verdana" w:hAnsi="Verdana"/>
                <w:sz w:val="11"/>
                <w:szCs w:val="11"/>
                <w:color w:val="auto"/>
              </w:rPr>
              <w:t>1</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1,210</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360</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DSU awards</w:t>
            </w:r>
          </w:p>
        </w:tc>
        <w:tc>
          <w:tcPr>
            <w:tcW w:w="300" w:type="dxa"/>
            <w:vAlign w:val="bottom"/>
          </w:tcPr>
          <w:p>
            <w:pPr>
              <w:spacing w:after="0"/>
              <w:rPr>
                <w:sz w:val="22"/>
                <w:szCs w:val="22"/>
                <w:color w:val="auto"/>
              </w:rPr>
            </w:pPr>
          </w:p>
        </w:tc>
        <w:tc>
          <w:tcPr>
            <w:tcW w:w="1220" w:type="dxa"/>
            <w:vAlign w:val="bottom"/>
          </w:tcPr>
          <w:p>
            <w:pPr>
              <w:jc w:val="right"/>
              <w:ind w:right="18"/>
              <w:spacing w:after="0"/>
              <w:rPr>
                <w:sz w:val="20"/>
                <w:szCs w:val="20"/>
                <w:color w:val="auto"/>
              </w:rPr>
            </w:pPr>
            <w:r>
              <w:rPr>
                <w:rFonts w:ascii="Verdana" w:cs="Verdana" w:eastAsia="Verdana" w:hAnsi="Verdana"/>
                <w:sz w:val="18"/>
                <w:szCs w:val="18"/>
                <w:color w:val="auto"/>
              </w:rPr>
              <w:t>215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Verdana" w:cs="Verdana" w:eastAsia="Verdana" w:hAnsi="Verdana"/>
                <w:sz w:val="18"/>
                <w:szCs w:val="18"/>
                <w:color w:val="auto"/>
              </w:rPr>
              <w:t>196</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2021 ESPP</w:t>
            </w:r>
          </w:p>
        </w:tc>
        <w:tc>
          <w:tcPr>
            <w:tcW w:w="30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8"/>
                <w:szCs w:val="18"/>
                <w:color w:val="auto"/>
              </w:rPr>
              <w:t>84</w:t>
            </w:r>
          </w:p>
        </w:tc>
        <w:tc>
          <w:tcPr>
            <w:tcW w:w="8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93</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Total stock-based compensation expense</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2,403</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1,669</w:t>
            </w:r>
          </w:p>
        </w:tc>
      </w:tr>
      <w:tr>
        <w:trPr>
          <w:trHeight w:val="21"/>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jc w:val="both"/>
        <w:ind w:left="500" w:hanging="330"/>
        <w:spacing w:after="0"/>
        <w:tabs>
          <w:tab w:leader="none" w:pos="491" w:val="left"/>
        </w:tabs>
        <w:numPr>
          <w:ilvl w:val="0"/>
          <w:numId w:val="11"/>
        </w:numPr>
        <w:rPr>
          <w:rFonts w:ascii="Verdana" w:cs="Verdana" w:eastAsia="Verdana" w:hAnsi="Verdana"/>
          <w:sz w:val="13"/>
          <w:szCs w:val="13"/>
          <w:color w:val="auto"/>
        </w:rPr>
      </w:pPr>
      <w:r>
        <w:rPr>
          <w:rFonts w:ascii="Verdana" w:cs="Verdana" w:eastAsia="Verdana" w:hAnsi="Verdana"/>
          <w:sz w:val="13"/>
          <w:szCs w:val="13"/>
          <w:color w:val="auto"/>
        </w:rPr>
        <w:t>Expense for PSU awards with a market-based total stockholder return performance goal represents amounts based on target shares at the grant date. Expense for PSU awards with return on average tangible common equity and compounded annual revenue growth rate performance goals represents amounts based on target shares at the grant date, adjusted for performance expectations as of the date indicated.</w:t>
      </w:r>
    </w:p>
    <w:p>
      <w:pPr>
        <w:spacing w:after="0" w:line="160"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Unamortized compensation expense related to nonvested RSU, PSU, and DSU awards is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ind w:left="120"/>
              <w:spacing w:after="0" w:line="122" w:lineRule="exact"/>
              <w:rPr>
                <w:sz w:val="20"/>
                <w:szCs w:val="20"/>
                <w:color w:val="auto"/>
              </w:rPr>
            </w:pPr>
            <w:r>
              <w:rPr>
                <w:rFonts w:ascii="Verdana" w:cs="Verdana" w:eastAsia="Verdana" w:hAnsi="Verdana"/>
                <w:sz w:val="13"/>
                <w:szCs w:val="13"/>
                <w:b w:val="1"/>
                <w:bCs w:val="1"/>
                <w:color w:val="auto"/>
              </w:rPr>
              <w:t>March 31,</w:t>
            </w:r>
          </w:p>
        </w:tc>
        <w:tc>
          <w:tcPr>
            <w:tcW w:w="200" w:type="dxa"/>
            <w:vAlign w:val="bottom"/>
          </w:tcPr>
          <w:p>
            <w:pPr>
              <w:spacing w:after="0"/>
              <w:rPr>
                <w:sz w:val="10"/>
                <w:szCs w:val="10"/>
                <w:color w:val="auto"/>
              </w:rPr>
            </w:pPr>
          </w:p>
        </w:tc>
        <w:tc>
          <w:tcPr>
            <w:tcW w:w="1320" w:type="dxa"/>
            <w:vAlign w:val="bottom"/>
          </w:tcPr>
          <w:p>
            <w:pPr>
              <w:jc w:val="right"/>
              <w:ind w:right="178"/>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0"/>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8"/>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Unamortized stock-based compensation</w:t>
            </w:r>
          </w:p>
        </w:tc>
        <w:tc>
          <w:tcPr>
            <w:tcW w:w="2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RSU awards</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20"/>
              <w:spacing w:after="0"/>
              <w:rPr>
                <w:sz w:val="20"/>
                <w:szCs w:val="20"/>
                <w:color w:val="auto"/>
              </w:rPr>
            </w:pPr>
            <w:r>
              <w:rPr>
                <w:rFonts w:ascii="Verdana" w:cs="Verdana" w:eastAsia="Verdana" w:hAnsi="Verdana"/>
                <w:sz w:val="18"/>
                <w:szCs w:val="18"/>
                <w:color w:val="auto"/>
              </w:rPr>
              <w:t>10,259</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8"/>
              <w:spacing w:after="0"/>
              <w:rPr>
                <w:sz w:val="20"/>
                <w:szCs w:val="20"/>
                <w:color w:val="auto"/>
              </w:rPr>
            </w:pPr>
            <w:r>
              <w:rPr>
                <w:rFonts w:ascii="Verdana" w:cs="Verdana" w:eastAsia="Verdana" w:hAnsi="Verdana"/>
                <w:sz w:val="18"/>
                <w:szCs w:val="18"/>
                <w:color w:val="auto"/>
              </w:rPr>
              <w:t>6,842</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PSU awards</w:t>
            </w:r>
            <w:r>
              <w:rPr>
                <w:rFonts w:ascii="Verdana" w:cs="Verdana" w:eastAsia="Verdana" w:hAnsi="Verdana"/>
                <w:sz w:val="11"/>
                <w:szCs w:val="11"/>
                <w:color w:val="auto"/>
              </w:rPr>
              <w:t>1</w:t>
            </w:r>
          </w:p>
        </w:tc>
        <w:tc>
          <w:tcPr>
            <w:tcW w:w="2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8,743</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3,607</w:t>
            </w:r>
          </w:p>
        </w:tc>
      </w:tr>
      <w:tr>
        <w:trPr>
          <w:trHeight w:val="264"/>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DSU awards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0"/>
              <w:spacing w:after="0"/>
              <w:rPr>
                <w:sz w:val="20"/>
                <w:szCs w:val="20"/>
                <w:color w:val="auto"/>
              </w:rPr>
            </w:pPr>
            <w:r>
              <w:rPr>
                <w:rFonts w:ascii="Verdana" w:cs="Verdana" w:eastAsia="Verdana" w:hAnsi="Verdana"/>
                <w:sz w:val="18"/>
                <w:szCs w:val="18"/>
                <w:color w:val="auto"/>
              </w:rPr>
              <w:t>812</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190</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unamortized stock-based compensation</w:t>
            </w:r>
          </w:p>
        </w:tc>
        <w:tc>
          <w:tcPr>
            <w:tcW w:w="280" w:type="dxa"/>
            <w:vAlign w:val="bottom"/>
            <w:tcBorders>
              <w:bottom w:val="single" w:sz="8" w:color="auto"/>
            </w:tcBorders>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ind w:right="20"/>
              <w:spacing w:after="0"/>
              <w:rPr>
                <w:sz w:val="20"/>
                <w:szCs w:val="20"/>
                <w:color w:val="auto"/>
              </w:rPr>
            </w:pPr>
            <w:r>
              <w:rPr>
                <w:rFonts w:ascii="Verdana" w:cs="Verdana" w:eastAsia="Verdana" w:hAnsi="Verdana"/>
                <w:sz w:val="18"/>
                <w:szCs w:val="18"/>
                <w:color w:val="auto"/>
              </w:rPr>
              <w:t>19,814</w:t>
            </w:r>
          </w:p>
        </w:tc>
        <w:tc>
          <w:tcPr>
            <w:tcW w:w="8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10,639</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Weighted average period over which expense is to be recognized</w:t>
            </w:r>
          </w:p>
        </w:tc>
        <w:tc>
          <w:tcPr>
            <w:tcW w:w="280" w:type="dxa"/>
            <w:vAlign w:val="bottom"/>
            <w:shd w:val="clear" w:color="auto" w:fill="E0E7ED"/>
          </w:tcPr>
          <w:p>
            <w:pPr>
              <w:spacing w:after="0"/>
              <w:rPr>
                <w:sz w:val="23"/>
                <w:szCs w:val="23"/>
                <w:color w:val="auto"/>
              </w:rPr>
            </w:pPr>
          </w:p>
        </w:tc>
        <w:tc>
          <w:tcPr>
            <w:tcW w:w="1320" w:type="dxa"/>
            <w:vAlign w:val="bottom"/>
            <w:gridSpan w:val="2"/>
            <w:shd w:val="clear" w:color="auto" w:fill="E0E7ED"/>
          </w:tcPr>
          <w:p>
            <w:pPr>
              <w:ind w:left="360"/>
              <w:spacing w:after="0"/>
              <w:rPr>
                <w:sz w:val="20"/>
                <w:szCs w:val="20"/>
                <w:color w:val="auto"/>
              </w:rPr>
            </w:pPr>
            <w:r>
              <w:rPr>
                <w:rFonts w:ascii="Verdana" w:cs="Verdana" w:eastAsia="Verdana" w:hAnsi="Verdana"/>
                <w:sz w:val="18"/>
                <w:szCs w:val="18"/>
                <w:color w:val="auto"/>
              </w:rPr>
              <w:t>2.7 years</w:t>
            </w:r>
          </w:p>
        </w:tc>
        <w:tc>
          <w:tcPr>
            <w:tcW w:w="20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 years</w:t>
            </w:r>
          </w:p>
        </w:tc>
      </w:tr>
      <w:tr>
        <w:trPr>
          <w:trHeight w:val="238"/>
        </w:trPr>
        <w:tc>
          <w:tcPr>
            <w:tcW w:w="8120" w:type="dxa"/>
            <w:vAlign w:val="bottom"/>
          </w:tcPr>
          <w:p>
            <w:pPr>
              <w:spacing w:after="0"/>
              <w:rPr>
                <w:sz w:val="20"/>
                <w:szCs w:val="20"/>
                <w:color w:val="auto"/>
              </w:rPr>
            </w:pPr>
            <w:r>
              <w:rPr>
                <w:rFonts w:ascii="Verdana" w:cs="Verdana" w:eastAsia="Verdana" w:hAnsi="Verdana"/>
                <w:sz w:val="13"/>
                <w:szCs w:val="13"/>
                <w:color w:val="auto"/>
              </w:rPr>
              <w:t>___________________________________________</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jc w:val="both"/>
        <w:ind w:left="500" w:hanging="330"/>
        <w:spacing w:after="0"/>
        <w:tabs>
          <w:tab w:leader="none" w:pos="491" w:val="left"/>
        </w:tabs>
        <w:numPr>
          <w:ilvl w:val="0"/>
          <w:numId w:val="12"/>
        </w:numPr>
        <w:rPr>
          <w:rFonts w:ascii="Verdana" w:cs="Verdana" w:eastAsia="Verdana" w:hAnsi="Verdana"/>
          <w:sz w:val="13"/>
          <w:szCs w:val="13"/>
          <w:color w:val="auto"/>
        </w:rPr>
      </w:pPr>
      <w:r>
        <w:rPr>
          <w:rFonts w:ascii="Verdana" w:cs="Verdana" w:eastAsia="Verdana" w:hAnsi="Verdana"/>
          <w:sz w:val="13"/>
          <w:szCs w:val="13"/>
          <w:color w:val="auto"/>
        </w:rPr>
        <w:t>Unamortized expense for PSU awards with a market-based total stockholder return performance goal represents amounts based on target shares at grant date. Unamortized expense for PSU awards with return on average tangible common equity and compounded annual revenue growth rate performance goals represents amounts based on target shares at grant date, adjusted for performance expectations as of the date indicated.</w:t>
      </w:r>
    </w:p>
    <w:p>
      <w:pPr>
        <w:spacing w:after="0" w:line="160" w:lineRule="exact"/>
        <w:rPr>
          <w:sz w:val="20"/>
          <w:szCs w:val="20"/>
          <w:color w:val="auto"/>
        </w:rPr>
      </w:pPr>
    </w:p>
    <w:p>
      <w:pPr>
        <w:ind w:right="3880"/>
        <w:spacing w:after="0" w:line="436" w:lineRule="auto"/>
        <w:rPr>
          <w:sz w:val="20"/>
          <w:szCs w:val="20"/>
          <w:color w:val="auto"/>
        </w:rPr>
      </w:pPr>
      <w:r>
        <w:rPr>
          <w:rFonts w:ascii="Verdana" w:cs="Verdana" w:eastAsia="Verdana" w:hAnsi="Verdana"/>
          <w:sz w:val="18"/>
          <w:szCs w:val="18"/>
          <w:b w:val="1"/>
          <w:bCs w:val="1"/>
          <w:color w:val="auto"/>
        </w:rPr>
        <w:t xml:space="preserve">NOTE 10. OUTSTANDING COMMITMENTS AND CONTINGENT LIABILITIES </w:t>
      </w:r>
      <w:r>
        <w:rPr>
          <w:rFonts w:ascii="Verdana" w:cs="Verdana" w:eastAsia="Verdana" w:hAnsi="Verdana"/>
          <w:sz w:val="18"/>
          <w:szCs w:val="18"/>
          <w:b w:val="1"/>
          <w:bCs w:val="1"/>
          <w:i w:val="1"/>
          <w:iCs w:val="1"/>
          <w:color w:val="auto"/>
        </w:rPr>
        <w:t>Legal Matters</w:t>
      </w:r>
    </w:p>
    <w:p>
      <w:pPr>
        <w:spacing w:after="0" w:line="2"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is a party to legal actions which arise in the normal course of its business activities. Legal and administrative proceedings are subject to inherent uncertainties, and while unfavorable outcomes could occur, Busey does not believe at this time that any potential liabilities relating to pending or potential legal matters are likely to have a material impact on Busey's results of operations or financial position.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4" w:name="page45"/>
    <w:bookmarkEnd w:id="4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Credit Commitments and Contingencies</w:t>
      </w:r>
    </w:p>
    <w:p>
      <w:pPr>
        <w:spacing w:after="0" w:line="17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A summary of the contractual amount of Busey’s exposure to off-balance-sheet risk relating to the Company’s commitments to extend credit and standby letters of credit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ind w:left="120"/>
              <w:spacing w:after="0" w:line="122" w:lineRule="exact"/>
              <w:rPr>
                <w:sz w:val="20"/>
                <w:szCs w:val="20"/>
                <w:color w:val="auto"/>
              </w:rPr>
            </w:pPr>
            <w:r>
              <w:rPr>
                <w:rFonts w:ascii="Verdana" w:cs="Verdana" w:eastAsia="Verdana" w:hAnsi="Verdana"/>
                <w:sz w:val="13"/>
                <w:szCs w:val="13"/>
                <w:b w:val="1"/>
                <w:bCs w:val="1"/>
                <w:color w:val="auto"/>
              </w:rPr>
              <w:t>March 31,</w:t>
            </w:r>
          </w:p>
        </w:tc>
        <w:tc>
          <w:tcPr>
            <w:tcW w:w="200" w:type="dxa"/>
            <w:vAlign w:val="bottom"/>
          </w:tcPr>
          <w:p>
            <w:pPr>
              <w:spacing w:after="0"/>
              <w:rPr>
                <w:sz w:val="10"/>
                <w:szCs w:val="10"/>
                <w:color w:val="auto"/>
              </w:rPr>
            </w:pPr>
          </w:p>
        </w:tc>
        <w:tc>
          <w:tcPr>
            <w:tcW w:w="1320" w:type="dxa"/>
            <w:vAlign w:val="bottom"/>
          </w:tcPr>
          <w:p>
            <w:pPr>
              <w:jc w:val="right"/>
              <w:ind w:right="181"/>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1"/>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Financial instruments whose contract amounts represent credit risk</w:t>
            </w:r>
          </w:p>
        </w:tc>
        <w:tc>
          <w:tcPr>
            <w:tcW w:w="2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Commitments to extend credit</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24"/>
              <w:spacing w:after="0"/>
              <w:rPr>
                <w:sz w:val="20"/>
                <w:szCs w:val="20"/>
                <w:color w:val="auto"/>
              </w:rPr>
            </w:pPr>
            <w:r>
              <w:rPr>
                <w:rFonts w:ascii="Verdana" w:cs="Verdana" w:eastAsia="Verdana" w:hAnsi="Verdana"/>
                <w:sz w:val="18"/>
                <w:szCs w:val="18"/>
                <w:color w:val="auto"/>
              </w:rPr>
              <w:t>2,118,621</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
              <w:spacing w:after="0"/>
              <w:rPr>
                <w:sz w:val="20"/>
                <w:szCs w:val="20"/>
                <w:color w:val="auto"/>
              </w:rPr>
            </w:pPr>
            <w:r>
              <w:rPr>
                <w:rFonts w:ascii="Verdana" w:cs="Verdana" w:eastAsia="Verdana" w:hAnsi="Verdana"/>
                <w:sz w:val="18"/>
                <w:szCs w:val="18"/>
                <w:color w:val="auto"/>
              </w:rPr>
              <w:t>2,132,500</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Standby letters of credit</w:t>
            </w:r>
          </w:p>
        </w:tc>
        <w:tc>
          <w:tcPr>
            <w:tcW w:w="2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46,967</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43,996</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Total commitments</w:t>
            </w:r>
          </w:p>
        </w:tc>
        <w:tc>
          <w:tcPr>
            <w:tcW w:w="28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ind w:right="24"/>
              <w:spacing w:after="0"/>
              <w:rPr>
                <w:sz w:val="20"/>
                <w:szCs w:val="20"/>
                <w:color w:val="auto"/>
              </w:rPr>
            </w:pPr>
            <w:r>
              <w:rPr>
                <w:rFonts w:ascii="Verdana" w:cs="Verdana" w:eastAsia="Verdana" w:hAnsi="Verdana"/>
                <w:sz w:val="18"/>
                <w:szCs w:val="18"/>
                <w:color w:val="auto"/>
              </w:rPr>
              <w:t>2,165,588</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1"/>
              <w:spacing w:after="0"/>
              <w:rPr>
                <w:sz w:val="20"/>
                <w:szCs w:val="20"/>
                <w:color w:val="auto"/>
              </w:rPr>
            </w:pPr>
            <w:r>
              <w:rPr>
                <w:rFonts w:ascii="Verdana" w:cs="Verdana" w:eastAsia="Verdana" w:hAnsi="Verdana"/>
                <w:sz w:val="18"/>
                <w:szCs w:val="18"/>
                <w:color w:val="auto"/>
              </w:rPr>
              <w:t>2,176,496</w:t>
            </w:r>
          </w:p>
        </w:tc>
      </w:tr>
      <w:tr>
        <w:trPr>
          <w:trHeight w:val="21"/>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Franchise Tax Matter</w:t>
      </w:r>
    </w:p>
    <w:p>
      <w:pPr>
        <w:spacing w:after="0" w:line="17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In 2021, Busey received an inquiry from the Illinois Secretary of State (“ISOS”), pursuant to which the ISOS asked for additional information regarding certain of our franchise tax filings and the calculation of amounts due thereunder. The franchise tax is established by the Illinois Business Corporation Act (“BCA”) 805 ILCS 5/1 et seq., and is a tax imposed on foreign and domestic corporations for the privilege of conducting business in Illinois. Busey has been cooperating with the inquiry and has agreed to prepare additional BCA forms requested by the ISOS, with a full reservation of rights by Busey, including seeking judicial relief, if necessary, with respect to any potential dispute regarding Busey’s preparation of the BCA forms and the calculation of the franchise taxes due. Where a loss is believed to be reasonably possible, but not probable, or the loss cannot be reasonably estimated, as is the case with this matter, no accrual is required. It is reasonably possible that this matter could require us to pay additional taxes, including potential penalties and interest, or make other expenditures or accrue liabilities in amounts that could not be reasonably estimated as of March 31, 2024. If the likelihood of potential liabilities elevates, requiring an accrual, the potential future liabilities could be material in the period(s) in which they are recorded.</w:t>
      </w:r>
    </w:p>
    <w:p>
      <w:pPr>
        <w:spacing w:after="0" w:line="17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11. DERIVATIVE FINANCIAL INSTRUMENTS</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utilizes interest rate swap agreements as part of its asset liability management strategy to help manage its interest rate risk position. Additionally, Busey enters into derivative financial instruments, including interest rate lock commitments issued to residential loan customers for loans that will be held for sale; forward sales commitments to sell residential mortgage loans to investors; and interest rate swaps, risk participation agreements, and foreign currency exchange contracts with customers and other third parties. See “</w:t>
      </w:r>
      <w:r>
        <w:rPr>
          <w:rFonts w:ascii="Verdana" w:cs="Verdana" w:eastAsia="Verdana" w:hAnsi="Verdana"/>
          <w:sz w:val="18"/>
          <w:szCs w:val="18"/>
          <w:i w:val="1"/>
          <w:iCs w:val="1"/>
          <w:u w:val="single" w:color="auto"/>
          <w:color w:val="0000FF"/>
        </w:rPr>
        <w:t>Note 12: Fair Value Measurements</w:t>
      </w:r>
      <w:r>
        <w:rPr>
          <w:rFonts w:ascii="Verdana" w:cs="Verdana" w:eastAsia="Verdana" w:hAnsi="Verdana"/>
          <w:sz w:val="18"/>
          <w:szCs w:val="18"/>
          <w:color w:val="auto"/>
        </w:rPr>
        <w:t>” for further discussion of the fair value measurement of such derivatives.</w:t>
      </w:r>
    </w:p>
    <w:p>
      <w:pPr>
        <w:spacing w:after="0" w:line="15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To secure its obligations under derivative contracts, Busey pledged cash and held collateral as follows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ind w:left="120"/>
              <w:spacing w:after="0" w:line="122" w:lineRule="exact"/>
              <w:rPr>
                <w:sz w:val="20"/>
                <w:szCs w:val="20"/>
                <w:color w:val="auto"/>
              </w:rPr>
            </w:pPr>
            <w:r>
              <w:rPr>
                <w:rFonts w:ascii="Verdana" w:cs="Verdana" w:eastAsia="Verdana" w:hAnsi="Verdana"/>
                <w:sz w:val="13"/>
                <w:szCs w:val="13"/>
                <w:b w:val="1"/>
                <w:bCs w:val="1"/>
                <w:color w:val="auto"/>
              </w:rPr>
              <w:t>March 31,</w:t>
            </w:r>
          </w:p>
        </w:tc>
        <w:tc>
          <w:tcPr>
            <w:tcW w:w="200" w:type="dxa"/>
            <w:vAlign w:val="bottom"/>
          </w:tcPr>
          <w:p>
            <w:pPr>
              <w:spacing w:after="0"/>
              <w:rPr>
                <w:sz w:val="10"/>
                <w:szCs w:val="10"/>
                <w:color w:val="auto"/>
              </w:rPr>
            </w:pPr>
          </w:p>
        </w:tc>
        <w:tc>
          <w:tcPr>
            <w:tcW w:w="1320" w:type="dxa"/>
            <w:vAlign w:val="bottom"/>
          </w:tcPr>
          <w:p>
            <w:pPr>
              <w:jc w:val="right"/>
              <w:ind w:right="184"/>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6"/>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Cash pledged to secure obligations under derivative contracts</w:t>
            </w: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26"/>
              <w:spacing w:after="0"/>
              <w:rPr>
                <w:sz w:val="20"/>
                <w:szCs w:val="20"/>
                <w:color w:val="auto"/>
              </w:rPr>
            </w:pPr>
            <w:r>
              <w:rPr>
                <w:rFonts w:ascii="Verdana" w:cs="Verdana" w:eastAsia="Verdana" w:hAnsi="Verdana"/>
                <w:sz w:val="18"/>
                <w:szCs w:val="18"/>
                <w:color w:val="auto"/>
              </w:rPr>
              <w:t>34,210</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34,210</w:t>
            </w:r>
          </w:p>
        </w:tc>
      </w:tr>
      <w:tr>
        <w:trPr>
          <w:trHeight w:val="257"/>
        </w:trPr>
        <w:tc>
          <w:tcPr>
            <w:tcW w:w="8120" w:type="dxa"/>
            <w:vAlign w:val="bottom"/>
          </w:tcPr>
          <w:p>
            <w:pPr>
              <w:ind w:left="20"/>
              <w:spacing w:after="0"/>
              <w:rPr>
                <w:sz w:val="20"/>
                <w:szCs w:val="20"/>
                <w:color w:val="auto"/>
              </w:rPr>
            </w:pPr>
            <w:r>
              <w:rPr>
                <w:rFonts w:ascii="Verdana" w:cs="Verdana" w:eastAsia="Verdana" w:hAnsi="Verdana"/>
                <w:sz w:val="18"/>
                <w:szCs w:val="18"/>
                <w:color w:val="auto"/>
              </w:rPr>
              <w:t>Collateral held to secure obligations under derivative contracts</w:t>
            </w:r>
          </w:p>
        </w:tc>
        <w:tc>
          <w:tcPr>
            <w:tcW w:w="280" w:type="dxa"/>
            <w:vAlign w:val="bottom"/>
          </w:tcPr>
          <w:p>
            <w:pPr>
              <w:spacing w:after="0"/>
              <w:rPr>
                <w:sz w:val="22"/>
                <w:szCs w:val="22"/>
                <w:color w:val="auto"/>
              </w:rPr>
            </w:pPr>
          </w:p>
        </w:tc>
        <w:tc>
          <w:tcPr>
            <w:tcW w:w="1240" w:type="dxa"/>
            <w:vAlign w:val="bottom"/>
          </w:tcPr>
          <w:p>
            <w:pPr>
              <w:jc w:val="right"/>
              <w:ind w:right="26"/>
              <w:spacing w:after="0"/>
              <w:rPr>
                <w:sz w:val="20"/>
                <w:szCs w:val="20"/>
                <w:color w:val="auto"/>
              </w:rPr>
            </w:pPr>
            <w:r>
              <w:rPr>
                <w:rFonts w:ascii="Verdana" w:cs="Verdana" w:eastAsia="Verdana" w:hAnsi="Verdana"/>
                <w:sz w:val="18"/>
                <w:szCs w:val="18"/>
                <w:color w:val="auto"/>
              </w:rPr>
              <w:t>24,860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4"/>
              <w:spacing w:after="0"/>
              <w:rPr>
                <w:sz w:val="20"/>
                <w:szCs w:val="20"/>
                <w:color w:val="auto"/>
              </w:rPr>
            </w:pPr>
            <w:r>
              <w:rPr>
                <w:rFonts w:ascii="Verdana" w:cs="Verdana" w:eastAsia="Verdana" w:hAnsi="Verdana"/>
                <w:sz w:val="18"/>
                <w:szCs w:val="18"/>
                <w:color w:val="auto"/>
              </w:rPr>
              <w:t>19,280</w:t>
            </w:r>
          </w:p>
        </w:tc>
      </w:tr>
      <w:tr>
        <w:trPr>
          <w:trHeight w:val="918"/>
        </w:trPr>
        <w:tc>
          <w:tcPr>
            <w:tcW w:w="8120" w:type="dxa"/>
            <w:vAlign w:val="bottom"/>
          </w:tcPr>
          <w:p>
            <w:pPr>
              <w:jc w:val="right"/>
              <w:ind w:right="2290"/>
              <w:spacing w:after="0"/>
              <w:rPr>
                <w:sz w:val="20"/>
                <w:szCs w:val="20"/>
                <w:color w:val="auto"/>
              </w:rPr>
            </w:pPr>
            <w:r>
              <w:rPr>
                <w:rFonts w:ascii="Verdana" w:cs="Verdana" w:eastAsia="Verdana" w:hAnsi="Verdana"/>
                <w:sz w:val="18"/>
                <w:szCs w:val="18"/>
                <w:color w:val="auto"/>
              </w:rPr>
              <w:t>45</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1"/>
        </w:trPr>
        <w:tc>
          <w:tcPr>
            <w:tcW w:w="8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5" w:name="page46"/>
    <w:bookmarkEnd w:id="4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Derivative Instruments Designated as Hedges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entered into derivative instruments designated as cash flow hedges. For a derivative instrument that is designated and qualifies as a cash flow hedge, the change in fair value of the derivative instrument is reported as a component of OCI and reclassified into earnings in the same period or periods during which the hedged transaction affects earnings. Changes in fair value of components excluded from the assessment of effectiveness are recognized in current earnings.</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Swaps Designated as Cash Flow Hedges</w:t>
      </w:r>
    </w:p>
    <w:p>
      <w:pPr>
        <w:spacing w:after="0" w:line="17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Interest rate swaps with notional amounts totaling $450.0 million as of March 31, 2024, and $350.0 million as of December 31, 2023, were designated as cash flow hedges. Busey entered into one $50.0 million interest rate swap to hedge the risks of variability in cash flows for future interest payments attributable to changes in the 3-month CME Term SOFR benchmark interest rate on Busey’s junior subordinated debt owed to unconsolidated trusts (Debt Swap). In addition, Busey entered into one $300.0 million receive fixed pay floating interest rate swap to reduce Busey’s asset sensitivity (Prime Loan Swap). Duration was added to our loan portfolio by fixing a portion of floating prime-based loans. Interest rates had risen above their historical lows allowing Busey to lock in a portion of its loan portfolio to reduce asset sensitivity while creating a more stable margin in a volatile rate market. These hedges were determined to be highly effective during the period, and Busey expects its hedges to remain highly effective during the remaining terms of the swaps. Further, in 2024 Busey entered into one $100.0 million one year forward-starting SOFR-based receive-fixed pay-floating interest rate swap, with an effective date of March 5, 2025, to reduce Busey’s asset sensitivity (SOFR Loan Swap). Changes in fair value were recorded net of tax in OCI.</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6" w:name="page47"/>
    <w:bookmarkEnd w:id="4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A summary of the interest-rate swaps designated as cash flow hedges is presented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Verdana" w:cs="Verdana" w:eastAsia="Verdana" w:hAnsi="Verdana"/>
                <w:sz w:val="13"/>
                <w:szCs w:val="13"/>
                <w:b w:val="1"/>
                <w:bCs w:val="1"/>
                <w:color w:val="auto"/>
              </w:rPr>
              <w:t>As of</w:t>
            </w: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6200" w:type="dxa"/>
            <w:vAlign w:val="bottom"/>
          </w:tcPr>
          <w:p>
            <w:pPr>
              <w:spacing w:after="0"/>
              <w:rPr>
                <w:sz w:val="10"/>
                <w:szCs w:val="10"/>
                <w:color w:val="auto"/>
              </w:rPr>
            </w:pPr>
          </w:p>
        </w:tc>
        <w:tc>
          <w:tcPr>
            <w:tcW w:w="1600" w:type="dxa"/>
            <w:vAlign w:val="bottom"/>
            <w:gridSpan w:val="2"/>
            <w:vMerge w:val="restart"/>
          </w:tcPr>
          <w:p>
            <w:pPr>
              <w:ind w:left="440"/>
              <w:spacing w:after="0"/>
              <w:rPr>
                <w:sz w:val="20"/>
                <w:szCs w:val="20"/>
                <w:color w:val="auto"/>
              </w:rPr>
            </w:pPr>
            <w:r>
              <w:rPr>
                <w:rFonts w:ascii="Verdana" w:cs="Verdana" w:eastAsia="Verdana" w:hAnsi="Verdana"/>
                <w:sz w:val="13"/>
                <w:szCs w:val="13"/>
                <w:b w:val="1"/>
                <w:bCs w:val="1"/>
                <w:color w:val="auto"/>
              </w:rPr>
              <w:t>Location</w:t>
            </w:r>
          </w:p>
        </w:tc>
        <w:tc>
          <w:tcPr>
            <w:tcW w:w="300" w:type="dxa"/>
            <w:vAlign w:val="bottom"/>
          </w:tcPr>
          <w:p>
            <w:pPr>
              <w:spacing w:after="0"/>
              <w:rPr>
                <w:sz w:val="10"/>
                <w:szCs w:val="10"/>
                <w:color w:val="auto"/>
              </w:rPr>
            </w:pPr>
          </w:p>
        </w:tc>
        <w:tc>
          <w:tcPr>
            <w:tcW w:w="146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March 31,</w:t>
            </w:r>
          </w:p>
        </w:tc>
        <w:tc>
          <w:tcPr>
            <w:tcW w:w="240" w:type="dxa"/>
            <w:vAlign w:val="bottom"/>
          </w:tcPr>
          <w:p>
            <w:pPr>
              <w:spacing w:after="0"/>
              <w:rPr>
                <w:sz w:val="10"/>
                <w:szCs w:val="10"/>
                <w:color w:val="auto"/>
              </w:rPr>
            </w:pPr>
          </w:p>
        </w:tc>
        <w:tc>
          <w:tcPr>
            <w:tcW w:w="1440" w:type="dxa"/>
            <w:vAlign w:val="bottom"/>
          </w:tcPr>
          <w:p>
            <w:pPr>
              <w:jc w:val="right"/>
              <w:ind w:right="253"/>
              <w:spacing w:after="0" w:line="122" w:lineRule="exact"/>
              <w:rPr>
                <w:sz w:val="20"/>
                <w:szCs w:val="20"/>
                <w:color w:val="auto"/>
              </w:rPr>
            </w:pPr>
            <w:r>
              <w:rPr>
                <w:rFonts w:ascii="Verdana" w:cs="Verdana" w:eastAsia="Verdana" w:hAnsi="Verdana"/>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62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ind w:left="360"/>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55"/>
        </w:trPr>
        <w:tc>
          <w:tcPr>
            <w:tcW w:w="62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Swap</w:t>
            </w:r>
          </w:p>
        </w:tc>
        <w:tc>
          <w:tcPr>
            <w:tcW w:w="15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3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44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Notional amount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50,000</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50,000</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fixed pay rates</w:t>
            </w: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1.79 %</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1.79 %</w:t>
            </w:r>
          </w:p>
        </w:tc>
        <w:tc>
          <w:tcPr>
            <w:tcW w:w="0" w:type="dxa"/>
            <w:vAlign w:val="bottom"/>
          </w:tcPr>
          <w:p>
            <w:pPr>
              <w:spacing w:after="0"/>
              <w:rPr>
                <w:sz w:val="1"/>
                <w:szCs w:val="1"/>
                <w:color w:val="auto"/>
              </w:rPr>
            </w:pPr>
          </w:p>
        </w:tc>
      </w:tr>
      <w:tr>
        <w:trPr>
          <w:trHeight w:val="238"/>
        </w:trPr>
        <w:tc>
          <w:tcPr>
            <w:tcW w:w="6200" w:type="dxa"/>
            <w:vAlign w:val="bottom"/>
          </w:tcPr>
          <w:p>
            <w:pPr>
              <w:ind w:left="180"/>
              <w:spacing w:after="0"/>
              <w:rPr>
                <w:sz w:val="20"/>
                <w:szCs w:val="20"/>
                <w:color w:val="auto"/>
              </w:rPr>
            </w:pPr>
            <w:r>
              <w:rPr>
                <w:rFonts w:ascii="Verdana" w:cs="Verdana" w:eastAsia="Verdana" w:hAnsi="Verdana"/>
                <w:sz w:val="18"/>
                <w:szCs w:val="18"/>
                <w:color w:val="auto"/>
              </w:rPr>
              <w:t>Weighted average variable 3-month Fallback Rate (SOFR) receive</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200" w:type="dxa"/>
            <w:vAlign w:val="bottom"/>
          </w:tcPr>
          <w:p>
            <w:pPr>
              <w:ind w:left="180"/>
              <w:spacing w:after="0"/>
              <w:rPr>
                <w:sz w:val="20"/>
                <w:szCs w:val="20"/>
                <w:color w:val="auto"/>
              </w:rPr>
            </w:pPr>
            <w:r>
              <w:rPr>
                <w:rFonts w:ascii="Verdana" w:cs="Verdana" w:eastAsia="Verdana" w:hAnsi="Verdana"/>
                <w:sz w:val="18"/>
                <w:szCs w:val="18"/>
                <w:color w:val="auto"/>
              </w:rPr>
              <w:t>rates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5.62 %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5.61 %</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maturity</w:t>
            </w: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60" w:type="dxa"/>
            <w:vAlign w:val="bottom"/>
            <w:gridSpan w:val="2"/>
            <w:shd w:val="clear" w:color="auto" w:fill="E0E7ED"/>
          </w:tcPr>
          <w:p>
            <w:pPr>
              <w:ind w:left="400"/>
              <w:spacing w:after="0"/>
              <w:rPr>
                <w:sz w:val="20"/>
                <w:szCs w:val="20"/>
                <w:color w:val="auto"/>
              </w:rPr>
            </w:pPr>
            <w:r>
              <w:rPr>
                <w:rFonts w:ascii="Verdana" w:cs="Verdana" w:eastAsia="Verdana" w:hAnsi="Verdana"/>
                <w:sz w:val="18"/>
                <w:szCs w:val="18"/>
                <w:color w:val="auto"/>
              </w:rPr>
              <w:t>0.46 years</w:t>
            </w: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0.71 years</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Prime Loan Swap</w:t>
            </w:r>
          </w:p>
        </w:tc>
        <w:tc>
          <w:tcPr>
            <w:tcW w:w="15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3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Notional amount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300,000</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300,000</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fixed receive rates</w:t>
            </w: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4.81 %</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4.81 %</w:t>
            </w: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Weighted average variable Prime pay rates</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8.50 %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8.50 %</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maturity</w:t>
            </w: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460" w:type="dxa"/>
            <w:vAlign w:val="bottom"/>
            <w:gridSpan w:val="2"/>
            <w:shd w:val="clear" w:color="auto" w:fill="E0E7ED"/>
          </w:tcPr>
          <w:p>
            <w:pPr>
              <w:ind w:left="400"/>
              <w:spacing w:after="0"/>
              <w:rPr>
                <w:sz w:val="20"/>
                <w:szCs w:val="20"/>
                <w:color w:val="auto"/>
              </w:rPr>
            </w:pPr>
            <w:r>
              <w:rPr>
                <w:rFonts w:ascii="Verdana" w:cs="Verdana" w:eastAsia="Verdana" w:hAnsi="Verdana"/>
                <w:sz w:val="18"/>
                <w:szCs w:val="18"/>
                <w:color w:val="auto"/>
              </w:rPr>
              <w:t>4.85 years</w:t>
            </w: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5.10 years</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SOFR Loan Swap</w:t>
            </w:r>
          </w:p>
        </w:tc>
        <w:tc>
          <w:tcPr>
            <w:tcW w:w="15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3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Notional amount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100,000</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fixed receive rates</w:t>
            </w: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3.72 %</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Weighted average maturity</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gridSpan w:val="2"/>
          </w:tcPr>
          <w:p>
            <w:pPr>
              <w:ind w:left="400"/>
              <w:spacing w:after="0"/>
              <w:rPr>
                <w:sz w:val="20"/>
                <w:szCs w:val="20"/>
                <w:color w:val="auto"/>
              </w:rPr>
            </w:pPr>
            <w:r>
              <w:rPr>
                <w:rFonts w:ascii="Verdana" w:cs="Verdana" w:eastAsia="Verdana" w:hAnsi="Verdana"/>
                <w:sz w:val="18"/>
                <w:szCs w:val="18"/>
                <w:color w:val="auto"/>
              </w:rPr>
              <w:t>4.93 years</w:t>
            </w:r>
          </w:p>
        </w:tc>
        <w:tc>
          <w:tcPr>
            <w:tcW w:w="24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spacing w:after="0"/>
              <w:rPr>
                <w:sz w:val="24"/>
                <w:szCs w:val="24"/>
                <w:color w:val="auto"/>
              </w:rPr>
            </w:pP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20"/>
              <w:spacing w:after="0"/>
              <w:rPr>
                <w:sz w:val="20"/>
                <w:szCs w:val="20"/>
                <w:color w:val="auto"/>
              </w:rPr>
            </w:pPr>
            <w:r>
              <w:rPr>
                <w:rFonts w:ascii="Verdana" w:cs="Verdana" w:eastAsia="Verdana" w:hAnsi="Verdana"/>
                <w:sz w:val="18"/>
                <w:szCs w:val="18"/>
                <w:b w:val="1"/>
                <w:bCs w:val="1"/>
                <w:color w:val="auto"/>
              </w:rPr>
              <w:t>Gross aggregate fair value of the swaps</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Gross aggregate fair value of swap assets</w:t>
            </w:r>
          </w:p>
        </w:tc>
        <w:tc>
          <w:tcPr>
            <w:tcW w:w="1600" w:type="dxa"/>
            <w:vAlign w:val="bottom"/>
            <w:gridSpan w:val="2"/>
            <w:shd w:val="clear" w:color="auto" w:fill="E0E7ED"/>
          </w:tcPr>
          <w:p>
            <w:pPr>
              <w:spacing w:after="0"/>
              <w:rPr>
                <w:sz w:val="20"/>
                <w:szCs w:val="20"/>
                <w:color w:val="auto"/>
              </w:rPr>
            </w:pPr>
            <w:r>
              <w:rPr>
                <w:rFonts w:ascii="Verdana" w:cs="Verdana" w:eastAsia="Verdana" w:hAnsi="Verdana"/>
                <w:sz w:val="18"/>
                <w:szCs w:val="18"/>
                <w:color w:val="auto"/>
              </w:rPr>
              <w:t>Other assets</w:t>
            </w: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3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1,178</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1,293</w:t>
            </w: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Gross aggregate fair value of swap liabilities</w:t>
            </w:r>
          </w:p>
        </w:tc>
        <w:tc>
          <w:tcPr>
            <w:tcW w:w="1600" w:type="dxa"/>
            <w:vAlign w:val="bottom"/>
            <w:gridSpan w:val="2"/>
          </w:tcPr>
          <w:p>
            <w:pPr>
              <w:spacing w:after="0"/>
              <w:rPr>
                <w:sz w:val="20"/>
                <w:szCs w:val="20"/>
                <w:color w:val="auto"/>
              </w:rPr>
            </w:pPr>
            <w:r>
              <w:rPr>
                <w:rFonts w:ascii="Verdana" w:cs="Verdana" w:eastAsia="Verdana" w:hAnsi="Verdana"/>
                <w:sz w:val="18"/>
                <w:szCs w:val="18"/>
                <w:color w:val="auto"/>
              </w:rPr>
              <w:t>Other liabilities</w:t>
            </w:r>
          </w:p>
        </w:tc>
        <w:tc>
          <w:tcPr>
            <w:tcW w:w="300" w:type="dxa"/>
            <w:vAlign w:val="bottom"/>
          </w:tcPr>
          <w:p>
            <w:pPr>
              <w:spacing w:after="0"/>
              <w:rPr>
                <w:sz w:val="22"/>
                <w:szCs w:val="22"/>
                <w:color w:val="auto"/>
              </w:rPr>
            </w:pP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30,303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25,411</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spacing w:after="0"/>
              <w:rPr>
                <w:sz w:val="24"/>
                <w:szCs w:val="24"/>
                <w:color w:val="auto"/>
              </w:rPr>
            </w:pP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20"/>
              <w:spacing w:after="0"/>
              <w:rPr>
                <w:sz w:val="20"/>
                <w:szCs w:val="20"/>
                <w:color w:val="auto"/>
              </w:rPr>
            </w:pPr>
            <w:r>
              <w:rPr>
                <w:rFonts w:ascii="Verdana" w:cs="Verdana" w:eastAsia="Verdana" w:hAnsi="Verdana"/>
                <w:sz w:val="18"/>
                <w:szCs w:val="18"/>
                <w:b w:val="1"/>
                <w:bCs w:val="1"/>
                <w:color w:val="auto"/>
              </w:rPr>
              <w:t>Balances carried in AOCI</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gains (losses) on cash flow hedges, net of tax</w:t>
            </w:r>
          </w:p>
        </w:tc>
        <w:tc>
          <w:tcPr>
            <w:tcW w:w="1600" w:type="dxa"/>
            <w:vAlign w:val="bottom"/>
            <w:gridSpan w:val="2"/>
            <w:shd w:val="clear" w:color="auto" w:fill="E0E7ED"/>
          </w:tcPr>
          <w:p>
            <w:pPr>
              <w:spacing w:after="0"/>
              <w:rPr>
                <w:sz w:val="20"/>
                <w:szCs w:val="20"/>
                <w:color w:val="auto"/>
              </w:rPr>
            </w:pPr>
            <w:r>
              <w:rPr>
                <w:rFonts w:ascii="Verdana" w:cs="Verdana" w:eastAsia="Verdana" w:hAnsi="Verdana"/>
                <w:sz w:val="18"/>
                <w:szCs w:val="18"/>
                <w:color w:val="auto"/>
              </w:rPr>
              <w:t>AOCI</w:t>
            </w: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38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(20,272)</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shd w:val="clear" w:color="auto" w:fill="E0E7ED"/>
          </w:tcPr>
          <w:p>
            <w:pPr>
              <w:ind w:left="420"/>
              <w:spacing w:after="0"/>
              <w:rPr>
                <w:sz w:val="20"/>
                <w:szCs w:val="20"/>
                <w:color w:val="auto"/>
              </w:rPr>
            </w:pPr>
            <w:r>
              <w:rPr>
                <w:rFonts w:ascii="Verdana" w:cs="Verdana" w:eastAsia="Verdana" w:hAnsi="Verdana"/>
                <w:sz w:val="18"/>
                <w:szCs w:val="18"/>
                <w:color w:val="auto"/>
              </w:rPr>
              <w:t>(16,694)</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Busey expects to reclassify unrealized gains and losses from OCI to interest income and interest expense as shown in the following table, during the next 12 months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 Amounts actually recognized could differ from these expectations due to changes in interest rates, hedge de-designations, and the addition of other hedges subsequent to March 31,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ind w:right="141"/>
              <w:spacing w:after="0"/>
              <w:rPr>
                <w:sz w:val="20"/>
                <w:szCs w:val="20"/>
                <w:color w:val="auto"/>
              </w:rPr>
            </w:pPr>
            <w:r>
              <w:rPr>
                <w:rFonts w:ascii="Verdana" w:cs="Verdana" w:eastAsia="Verdana" w:hAnsi="Verdana"/>
                <w:sz w:val="13"/>
                <w:szCs w:val="13"/>
                <w:b w:val="1"/>
                <w:bCs w:val="1"/>
                <w:color w:val="auto"/>
                <w:w w:val="97"/>
              </w:rPr>
              <w:t>As of</w:t>
            </w:r>
          </w:p>
        </w:tc>
        <w:tc>
          <w:tcPr>
            <w:tcW w:w="0" w:type="dxa"/>
            <w:vAlign w:val="bottom"/>
          </w:tcPr>
          <w:p>
            <w:pPr>
              <w:spacing w:after="0"/>
              <w:rPr>
                <w:sz w:val="1"/>
                <w:szCs w:val="1"/>
                <w:color w:val="auto"/>
              </w:rPr>
            </w:pPr>
          </w:p>
        </w:tc>
      </w:tr>
      <w:tr>
        <w:trPr>
          <w:trHeight w:val="170"/>
        </w:trPr>
        <w:tc>
          <w:tcPr>
            <w:tcW w:w="972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81"/>
              <w:spacing w:after="0"/>
              <w:rPr>
                <w:sz w:val="20"/>
                <w:szCs w:val="20"/>
                <w:color w:val="auto"/>
              </w:rPr>
            </w:pPr>
            <w:r>
              <w:rPr>
                <w:rFonts w:ascii="Verdana" w:cs="Verdana" w:eastAsia="Verdana" w:hAnsi="Verdana"/>
                <w:sz w:val="13"/>
                <w:szCs w:val="13"/>
                <w:b w:val="1"/>
                <w:bCs w:val="1"/>
                <w:color w:val="auto"/>
                <w:w w:val="96"/>
              </w:rPr>
              <w:t>March 31, 2024</w:t>
            </w:r>
          </w:p>
        </w:tc>
        <w:tc>
          <w:tcPr>
            <w:tcW w:w="0" w:type="dxa"/>
            <w:vAlign w:val="bottom"/>
          </w:tcPr>
          <w:p>
            <w:pPr>
              <w:spacing w:after="0"/>
              <w:rPr>
                <w:sz w:val="1"/>
                <w:szCs w:val="1"/>
                <w:color w:val="auto"/>
              </w:rPr>
            </w:pPr>
          </w:p>
        </w:tc>
      </w:tr>
      <w:tr>
        <w:trPr>
          <w:trHeight w:val="255"/>
        </w:trPr>
        <w:tc>
          <w:tcPr>
            <w:tcW w:w="97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 gains (losses) in OCI expected to be recognized in income</w:t>
            </w:r>
          </w:p>
        </w:tc>
        <w:tc>
          <w:tcPr>
            <w:tcW w:w="18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Unrealized losses expected to be reclassified from OCI to interest income</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center"/>
              <w:ind w:left="701"/>
              <w:spacing w:after="0"/>
              <w:rPr>
                <w:sz w:val="20"/>
                <w:szCs w:val="20"/>
                <w:color w:val="auto"/>
              </w:rPr>
            </w:pPr>
            <w:r>
              <w:rPr>
                <w:rFonts w:ascii="Verdana" w:cs="Verdana" w:eastAsia="Verdana" w:hAnsi="Verdana"/>
                <w:sz w:val="18"/>
                <w:szCs w:val="18"/>
                <w:color w:val="auto"/>
              </w:rPr>
              <w:t>(952)</w:t>
            </w:r>
          </w:p>
        </w:tc>
        <w:tc>
          <w:tcPr>
            <w:tcW w:w="0" w:type="dxa"/>
            <w:vAlign w:val="bottom"/>
          </w:tcPr>
          <w:p>
            <w:pPr>
              <w:spacing w:after="0"/>
              <w:rPr>
                <w:sz w:val="1"/>
                <w:szCs w:val="1"/>
                <w:color w:val="auto"/>
              </w:rPr>
            </w:pPr>
          </w:p>
        </w:tc>
      </w:tr>
      <w:tr>
        <w:trPr>
          <w:trHeight w:val="270"/>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gains expected to be reclassified from OCI to interest expense</w:t>
            </w:r>
          </w:p>
        </w:tc>
        <w:tc>
          <w:tcPr>
            <w:tcW w:w="18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center"/>
              <w:ind w:left="741"/>
              <w:spacing w:after="0"/>
              <w:rPr>
                <w:sz w:val="20"/>
                <w:szCs w:val="20"/>
                <w:color w:val="auto"/>
              </w:rPr>
            </w:pPr>
            <w:r>
              <w:rPr>
                <w:rFonts w:ascii="Verdana" w:cs="Verdana" w:eastAsia="Verdana" w:hAnsi="Verdana"/>
                <w:sz w:val="18"/>
                <w:szCs w:val="18"/>
                <w:color w:val="auto"/>
              </w:rPr>
              <w:t>483</w:t>
            </w:r>
          </w:p>
        </w:tc>
        <w:tc>
          <w:tcPr>
            <w:tcW w:w="0" w:type="dxa"/>
            <w:vAlign w:val="bottom"/>
          </w:tcPr>
          <w:p>
            <w:pPr>
              <w:spacing w:after="0"/>
              <w:rPr>
                <w:sz w:val="1"/>
                <w:szCs w:val="1"/>
                <w:color w:val="auto"/>
              </w:rPr>
            </w:pPr>
          </w:p>
        </w:tc>
      </w:tr>
      <w:tr>
        <w:trPr>
          <w:trHeight w:val="270"/>
        </w:trPr>
        <w:tc>
          <w:tcPr>
            <w:tcW w:w="9720" w:type="dxa"/>
            <w:vAlign w:val="bottom"/>
          </w:tcPr>
          <w:p>
            <w:pPr>
              <w:ind w:left="20"/>
              <w:spacing w:after="0"/>
              <w:rPr>
                <w:sz w:val="20"/>
                <w:szCs w:val="20"/>
                <w:color w:val="auto"/>
              </w:rPr>
            </w:pPr>
            <w:r>
              <w:rPr>
                <w:rFonts w:ascii="Verdana" w:cs="Verdana" w:eastAsia="Verdana" w:hAnsi="Verdana"/>
                <w:sz w:val="18"/>
                <w:szCs w:val="18"/>
                <w:color w:val="auto"/>
              </w:rPr>
              <w:t>Net unrealized gains (losses) in OCI expected to be recognized in net interest income</w:t>
            </w: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tcPr>
          <w:p>
            <w:pPr>
              <w:jc w:val="center"/>
              <w:ind w:left="701"/>
              <w:spacing w:after="0"/>
              <w:rPr>
                <w:sz w:val="20"/>
                <w:szCs w:val="20"/>
                <w:color w:val="auto"/>
              </w:rPr>
            </w:pPr>
            <w:r>
              <w:rPr>
                <w:rFonts w:ascii="Verdana" w:cs="Verdana" w:eastAsia="Verdana" w:hAnsi="Verdana"/>
                <w:sz w:val="18"/>
                <w:szCs w:val="18"/>
                <w:color w:val="auto"/>
              </w:rPr>
              <w:t>(469)</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5500"/>
              <w:spacing w:after="0"/>
              <w:rPr>
                <w:sz w:val="20"/>
                <w:szCs w:val="20"/>
                <w:color w:val="auto"/>
              </w:rPr>
            </w:pPr>
            <w:r>
              <w:rPr>
                <w:rFonts w:ascii="Verdana" w:cs="Verdana" w:eastAsia="Verdana" w:hAnsi="Verdana"/>
                <w:sz w:val="18"/>
                <w:szCs w:val="18"/>
                <w:color w:val="auto"/>
              </w:rPr>
              <w:t>47</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9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9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7" w:name="page48"/>
    <w:bookmarkEnd w:id="4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Interest expense recorded on these swap transactions was as follows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377"/>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1"/>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Interest on swap transactions</w:t>
            </w:r>
          </w:p>
        </w:tc>
        <w:tc>
          <w:tcPr>
            <w:tcW w:w="30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Increase (decrease) in interest income on swap transactions</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(2,796)</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(2,192)</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(Increase) decrease in interest expense on swap transactions</w:t>
            </w:r>
          </w:p>
        </w:tc>
        <w:tc>
          <w:tcPr>
            <w:tcW w:w="30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483</w:t>
            </w:r>
          </w:p>
        </w:tc>
        <w:tc>
          <w:tcPr>
            <w:tcW w:w="8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383</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Net increase (decrease) in net interest income on swap transactions</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(2,313)</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(1,809)</w:t>
            </w:r>
          </w:p>
        </w:tc>
      </w:tr>
      <w:tr>
        <w:trPr>
          <w:trHeight w:val="21"/>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following table reflects the net gains (losses) relating to cash flow derivative instruments that were recorded in AOCI and the Consolidated Statements of Income (Unaudited) during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375"/>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9"/>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 gains (losses) on cash flow hedges</w:t>
            </w:r>
          </w:p>
        </w:tc>
        <w:tc>
          <w:tcPr>
            <w:tcW w:w="30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Net gain (loss) recognized in OCI, net of tax</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(5,232)</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ind w:right="15"/>
              <w:spacing w:after="0"/>
              <w:rPr>
                <w:sz w:val="20"/>
                <w:szCs w:val="20"/>
                <w:color w:val="auto"/>
              </w:rPr>
            </w:pPr>
            <w:r>
              <w:rPr>
                <w:rFonts w:ascii="Verdana" w:cs="Verdana" w:eastAsia="Verdana" w:hAnsi="Verdana"/>
                <w:sz w:val="18"/>
                <w:szCs w:val="18"/>
                <w:color w:val="auto"/>
              </w:rPr>
              <w:t>3,050</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(Gain) loss reclassified from OCI to interest income, net of tax</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1,999</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1,567</w:t>
            </w: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(Gain) loss reclassified from OCI to interest expense, net of tax</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(345)</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(274)</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Net change in unrealized gains (losses) on cash flow hedges, net of tax</w:t>
            </w: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(3,578)</w:t>
            </w:r>
          </w:p>
        </w:tc>
        <w:tc>
          <w:tcPr>
            <w:tcW w:w="8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4,343</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Derivative Instruments Not Designated as Hedges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Swaps Not Designated as Hedges</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may offer derivative contracts to its customers in connection with their risk management needs. Busey manages the risk associated with these contracts by entering into equal and offsetting derivative agreements with third-party dealers. These contracts supported variable rate, commercial loan relationships totaling $678.3 million as of March 31, 2024, and $663.1 million as of December 31, 2023. These derivatives generally worked together as an economic interest rate hedge, but Busey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60" w:lineRule="exact"/>
        <w:rPr>
          <w:sz w:val="20"/>
          <w:szCs w:val="20"/>
          <w:color w:val="auto"/>
        </w:rPr>
      </w:pPr>
    </w:p>
    <w:p>
      <w:pPr>
        <w:spacing w:after="0"/>
        <w:rPr>
          <w:sz w:val="20"/>
          <w:szCs w:val="20"/>
          <w:color w:val="auto"/>
        </w:rPr>
      </w:pPr>
      <w:r>
        <w:rPr>
          <w:rFonts w:ascii="Verdana" w:cs="Verdana" w:eastAsia="Verdana" w:hAnsi="Verdana"/>
          <w:sz w:val="18"/>
          <w:szCs w:val="18"/>
          <w:color w:val="auto"/>
        </w:rPr>
        <w:t>Amounts and fair values of derivative assets and liabilities related to customer interest rate swaps recorded in the</w:t>
      </w:r>
    </w:p>
    <w:p>
      <w:pPr>
        <w:spacing w:after="0"/>
        <w:rPr>
          <w:sz w:val="20"/>
          <w:szCs w:val="20"/>
          <w:color w:val="auto"/>
        </w:rPr>
      </w:pPr>
      <w:r>
        <w:rPr>
          <w:rFonts w:ascii="Verdana" w:cs="Verdana" w:eastAsia="Verdana" w:hAnsi="Verdana"/>
          <w:sz w:val="18"/>
          <w:szCs w:val="18"/>
          <w:color w:val="auto"/>
        </w:rPr>
        <w:t xml:space="preserve">Consolidated Balance Sheets (Unaudited)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ind w:left="260"/>
              <w:spacing w:after="0"/>
              <w:rPr>
                <w:sz w:val="20"/>
                <w:szCs w:val="20"/>
                <w:color w:val="auto"/>
              </w:rPr>
            </w:pPr>
            <w:r>
              <w:rPr>
                <w:rFonts w:ascii="Verdana" w:cs="Verdana" w:eastAsia="Verdana" w:hAnsi="Verdana"/>
                <w:sz w:val="13"/>
                <w:szCs w:val="13"/>
                <w:b w:val="1"/>
                <w:bCs w:val="1"/>
                <w:color w:val="auto"/>
              </w:rPr>
              <w:t>As of March 31, 2024</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Derivative Asset</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801"/>
              <w:spacing w:after="0"/>
              <w:rPr>
                <w:sz w:val="20"/>
                <w:szCs w:val="20"/>
                <w:color w:val="auto"/>
              </w:rPr>
            </w:pPr>
            <w:r>
              <w:rPr>
                <w:rFonts w:ascii="Verdana" w:cs="Verdana" w:eastAsia="Verdana" w:hAnsi="Verdana"/>
                <w:sz w:val="13"/>
                <w:szCs w:val="13"/>
                <w:b w:val="1"/>
                <w:bCs w:val="1"/>
                <w:color w:val="auto"/>
              </w:rPr>
              <w:t>Derivative Liability</w:t>
            </w:r>
          </w:p>
        </w:tc>
        <w:tc>
          <w:tcPr>
            <w:tcW w:w="0" w:type="dxa"/>
            <w:vAlign w:val="bottom"/>
          </w:tcPr>
          <w:p>
            <w:pPr>
              <w:spacing w:after="0"/>
              <w:rPr>
                <w:sz w:val="1"/>
                <w:szCs w:val="1"/>
                <w:color w:val="auto"/>
              </w:rPr>
            </w:pPr>
          </w:p>
        </w:tc>
      </w:tr>
      <w:tr>
        <w:trPr>
          <w:trHeight w:val="120"/>
        </w:trPr>
        <w:tc>
          <w:tcPr>
            <w:tcW w:w="4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0" w:lineRule="exact"/>
              <w:rPr>
                <w:sz w:val="20"/>
                <w:szCs w:val="20"/>
                <w:color w:val="auto"/>
              </w:rPr>
            </w:pPr>
            <w:r>
              <w:rPr>
                <w:rFonts w:ascii="Verdana" w:cs="Verdana" w:eastAsia="Verdana" w:hAnsi="Verdana"/>
                <w:sz w:val="13"/>
                <w:szCs w:val="13"/>
                <w:b w:val="1"/>
                <w:bCs w:val="1"/>
                <w:color w:val="auto"/>
              </w:rPr>
              <w:t>Notional</w:t>
            </w:r>
          </w:p>
        </w:tc>
        <w:tc>
          <w:tcPr>
            <w:tcW w:w="540" w:type="dxa"/>
            <w:vAlign w:val="bottom"/>
          </w:tcPr>
          <w:p>
            <w:pPr>
              <w:spacing w:after="0"/>
              <w:rPr>
                <w:sz w:val="10"/>
                <w:szCs w:val="10"/>
                <w:color w:val="auto"/>
              </w:rPr>
            </w:pPr>
          </w:p>
        </w:tc>
        <w:tc>
          <w:tcPr>
            <w:tcW w:w="960" w:type="dxa"/>
            <w:vAlign w:val="bottom"/>
          </w:tcPr>
          <w:p>
            <w:pPr>
              <w:jc w:val="center"/>
              <w:ind w:right="484"/>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0" w:lineRule="exact"/>
              <w:rPr>
                <w:sz w:val="20"/>
                <w:szCs w:val="20"/>
                <w:color w:val="auto"/>
              </w:rPr>
            </w:pPr>
            <w:r>
              <w:rPr>
                <w:rFonts w:ascii="Verdana" w:cs="Verdana" w:eastAsia="Verdana" w:hAnsi="Verdana"/>
                <w:sz w:val="13"/>
                <w:szCs w:val="13"/>
                <w:b w:val="1"/>
                <w:bCs w:val="1"/>
                <w:color w:val="auto"/>
              </w:rPr>
              <w:t>Notional</w:t>
            </w:r>
          </w:p>
        </w:tc>
        <w:tc>
          <w:tcPr>
            <w:tcW w:w="340" w:type="dxa"/>
            <w:vAlign w:val="bottom"/>
          </w:tcPr>
          <w:p>
            <w:pPr>
              <w:spacing w:after="0"/>
              <w:rPr>
                <w:sz w:val="10"/>
                <w:szCs w:val="10"/>
                <w:color w:val="auto"/>
              </w:rPr>
            </w:pPr>
          </w:p>
        </w:tc>
        <w:tc>
          <w:tcPr>
            <w:tcW w:w="1160" w:type="dxa"/>
            <w:vAlign w:val="bottom"/>
          </w:tcPr>
          <w:p>
            <w:pPr>
              <w:jc w:val="right"/>
              <w:ind w:right="541"/>
              <w:spacing w:after="0" w:line="120" w:lineRule="exact"/>
              <w:rPr>
                <w:sz w:val="20"/>
                <w:szCs w:val="20"/>
                <w:color w:val="auto"/>
              </w:rPr>
            </w:pPr>
            <w:r>
              <w:rPr>
                <w:rFonts w:ascii="Verdana" w:cs="Verdana" w:eastAsia="Verdana" w:hAnsi="Verdana"/>
                <w:sz w:val="13"/>
                <w:szCs w:val="13"/>
                <w:b w:val="1"/>
                <w:bCs w:val="1"/>
                <w:color w:val="auto"/>
              </w:rPr>
              <w:t>Fair</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540" w:type="dxa"/>
            <w:vAlign w:val="bottom"/>
          </w:tcPr>
          <w:p>
            <w:pPr>
              <w:spacing w:after="0"/>
              <w:rPr>
                <w:sz w:val="14"/>
                <w:szCs w:val="14"/>
                <w:color w:val="auto"/>
              </w:rPr>
            </w:pPr>
          </w:p>
        </w:tc>
        <w:tc>
          <w:tcPr>
            <w:tcW w:w="1040" w:type="dxa"/>
            <w:vAlign w:val="bottom"/>
            <w:gridSpan w:val="2"/>
          </w:tcPr>
          <w:p>
            <w:pPr>
              <w:jc w:val="center"/>
              <w:ind w:right="640"/>
              <w:spacing w:after="0"/>
              <w:rPr>
                <w:sz w:val="20"/>
                <w:szCs w:val="20"/>
                <w:color w:val="auto"/>
              </w:rPr>
            </w:pPr>
            <w:r>
              <w:rPr>
                <w:rFonts w:ascii="Verdana" w:cs="Verdana" w:eastAsia="Verdana" w:hAnsi="Verdana"/>
                <w:sz w:val="13"/>
                <w:szCs w:val="13"/>
                <w:b w:val="1"/>
                <w:bCs w:val="1"/>
                <w:color w:val="auto"/>
                <w:w w:val="97"/>
              </w:rPr>
              <w:t>Value</w:t>
            </w: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340" w:type="dxa"/>
            <w:vAlign w:val="bottom"/>
          </w:tcPr>
          <w:p>
            <w:pPr>
              <w:spacing w:after="0"/>
              <w:rPr>
                <w:sz w:val="14"/>
                <w:szCs w:val="14"/>
                <w:color w:val="auto"/>
              </w:rPr>
            </w:pPr>
          </w:p>
        </w:tc>
        <w:tc>
          <w:tcPr>
            <w:tcW w:w="1160" w:type="dxa"/>
            <w:vAlign w:val="bottom"/>
          </w:tcPr>
          <w:p>
            <w:pPr>
              <w:jc w:val="right"/>
              <w:ind w:right="481"/>
              <w:spacing w:after="0"/>
              <w:rPr>
                <w:sz w:val="20"/>
                <w:szCs w:val="20"/>
                <w:color w:val="auto"/>
              </w:rPr>
            </w:pPr>
            <w:r>
              <w:rPr>
                <w:rFonts w:ascii="Verdana" w:cs="Verdana" w:eastAsia="Verdana" w:hAnsi="Verdana"/>
                <w:sz w:val="13"/>
                <w:szCs w:val="13"/>
                <w:b w:val="1"/>
                <w:bCs w:val="1"/>
                <w:color w:val="auto"/>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Derivatives not designated as hedging</w:t>
            </w:r>
          </w:p>
        </w:tc>
        <w:tc>
          <w:tcPr>
            <w:tcW w:w="30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54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6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instruments</w:t>
            </w: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54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Interest rate swaps – pay floating, receive fixed</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2"/>
              <w:spacing w:after="0"/>
              <w:rPr>
                <w:sz w:val="20"/>
                <w:szCs w:val="20"/>
                <w:color w:val="auto"/>
              </w:rPr>
            </w:pPr>
            <w:r>
              <w:rPr>
                <w:rFonts w:ascii="Verdana" w:cs="Verdana" w:eastAsia="Verdana" w:hAnsi="Verdana"/>
                <w:sz w:val="18"/>
                <w:szCs w:val="18"/>
                <w:color w:val="auto"/>
              </w:rPr>
              <w:t>71,472</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Verdana" w:cs="Verdana" w:eastAsia="Verdana" w:hAnsi="Verdana"/>
                <w:sz w:val="18"/>
                <w:szCs w:val="18"/>
                <w:color w:val="auto"/>
                <w:w w:val="86"/>
              </w:rPr>
              <w:t>$</w:t>
            </w:r>
          </w:p>
        </w:tc>
        <w:tc>
          <w:tcPr>
            <w:tcW w:w="960" w:type="dxa"/>
            <w:vAlign w:val="bottom"/>
          </w:tcPr>
          <w:p>
            <w:pPr>
              <w:jc w:val="right"/>
              <w:ind w:right="24"/>
              <w:spacing w:after="0"/>
              <w:rPr>
                <w:sz w:val="20"/>
                <w:szCs w:val="20"/>
                <w:color w:val="auto"/>
              </w:rPr>
            </w:pPr>
            <w:r>
              <w:rPr>
                <w:rFonts w:ascii="Verdana" w:cs="Verdana" w:eastAsia="Verdana" w:hAnsi="Verdana"/>
                <w:sz w:val="18"/>
                <w:szCs w:val="18"/>
                <w:color w:val="auto"/>
              </w:rPr>
              <w:t>868</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8"/>
                <w:szCs w:val="18"/>
                <w:color w:val="auto"/>
              </w:rPr>
              <w:t>606,862</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ind w:right="1"/>
              <w:spacing w:after="0"/>
              <w:rPr>
                <w:sz w:val="20"/>
                <w:szCs w:val="20"/>
                <w:color w:val="auto"/>
              </w:rPr>
            </w:pPr>
            <w:r>
              <w:rPr>
                <w:rFonts w:ascii="Verdana" w:cs="Verdana" w:eastAsia="Verdana" w:hAnsi="Verdana"/>
                <w:sz w:val="18"/>
                <w:szCs w:val="18"/>
                <w:color w:val="auto"/>
              </w:rPr>
              <w:t>33,552</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rate swaps – pay fixed, receive floating</w:t>
            </w:r>
          </w:p>
        </w:tc>
        <w:tc>
          <w:tcPr>
            <w:tcW w:w="300" w:type="dxa"/>
            <w:vAlign w:val="bottom"/>
            <w:tcBorders>
              <w:bottom w:val="single" w:sz="8" w:color="auto"/>
            </w:tcBorders>
            <w:shd w:val="clear" w:color="auto" w:fill="E0E7ED"/>
          </w:tcPr>
          <w:p>
            <w:pPr>
              <w:spacing w:after="0"/>
              <w:rPr>
                <w:sz w:val="24"/>
                <w:szCs w:val="24"/>
                <w:color w:val="auto"/>
              </w:rPr>
            </w:pPr>
          </w:p>
        </w:tc>
        <w:tc>
          <w:tcPr>
            <w:tcW w:w="1200" w:type="dxa"/>
            <w:vAlign w:val="bottom"/>
            <w:tcBorders>
              <w:bottom w:val="single" w:sz="8" w:color="auto"/>
            </w:tcBorders>
            <w:shd w:val="clear" w:color="auto" w:fill="E0E7ED"/>
          </w:tcPr>
          <w:p>
            <w:pPr>
              <w:jc w:val="right"/>
              <w:ind w:right="2"/>
              <w:spacing w:after="0"/>
              <w:rPr>
                <w:sz w:val="20"/>
                <w:szCs w:val="20"/>
                <w:color w:val="auto"/>
              </w:rPr>
            </w:pPr>
            <w:r>
              <w:rPr>
                <w:rFonts w:ascii="Verdana" w:cs="Verdana" w:eastAsia="Verdana" w:hAnsi="Verdana"/>
                <w:sz w:val="18"/>
                <w:szCs w:val="18"/>
                <w:color w:val="auto"/>
              </w:rPr>
              <w:t>606,862</w:t>
            </w:r>
          </w:p>
        </w:tc>
        <w:tc>
          <w:tcPr>
            <w:tcW w:w="100" w:type="dxa"/>
            <w:vAlign w:val="bottom"/>
            <w:shd w:val="clear" w:color="auto" w:fill="E0E7ED"/>
          </w:tcPr>
          <w:p>
            <w:pPr>
              <w:spacing w:after="0"/>
              <w:rPr>
                <w:sz w:val="24"/>
                <w:szCs w:val="24"/>
                <w:color w:val="auto"/>
              </w:rPr>
            </w:pPr>
          </w:p>
        </w:tc>
        <w:tc>
          <w:tcPr>
            <w:tcW w:w="540" w:type="dxa"/>
            <w:vAlign w:val="bottom"/>
            <w:tcBorders>
              <w:bottom w:val="single" w:sz="8" w:color="auto"/>
            </w:tcBorders>
            <w:shd w:val="clear" w:color="auto" w:fill="E0E7ED"/>
          </w:tcPr>
          <w:p>
            <w:pPr>
              <w:spacing w:after="0"/>
              <w:rPr>
                <w:sz w:val="24"/>
                <w:szCs w:val="24"/>
                <w:color w:val="auto"/>
              </w:rPr>
            </w:pPr>
          </w:p>
        </w:tc>
        <w:tc>
          <w:tcPr>
            <w:tcW w:w="96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33,552</w:t>
            </w:r>
          </w:p>
        </w:tc>
        <w:tc>
          <w:tcPr>
            <w:tcW w:w="80" w:type="dxa"/>
            <w:vAlign w:val="bottom"/>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spacing w:after="0"/>
              <w:rPr>
                <w:sz w:val="24"/>
                <w:szCs w:val="24"/>
                <w:color w:val="auto"/>
              </w:rPr>
            </w:pPr>
          </w:p>
        </w:tc>
        <w:tc>
          <w:tcPr>
            <w:tcW w:w="1200" w:type="dxa"/>
            <w:vAlign w:val="bottom"/>
            <w:tcBorders>
              <w:bottom w:val="single" w:sz="8" w:color="auto"/>
            </w:tcBorders>
            <w:shd w:val="clear" w:color="auto" w:fill="E0E7ED"/>
          </w:tcPr>
          <w:p>
            <w:pPr>
              <w:jc w:val="right"/>
              <w:ind w:right="4"/>
              <w:spacing w:after="0"/>
              <w:rPr>
                <w:sz w:val="20"/>
                <w:szCs w:val="20"/>
                <w:color w:val="auto"/>
              </w:rPr>
            </w:pPr>
            <w:r>
              <w:rPr>
                <w:rFonts w:ascii="Verdana" w:cs="Verdana" w:eastAsia="Verdana" w:hAnsi="Verdana"/>
                <w:sz w:val="18"/>
                <w:szCs w:val="18"/>
                <w:color w:val="auto"/>
              </w:rPr>
              <w:t>71,472</w:t>
            </w:r>
          </w:p>
        </w:tc>
        <w:tc>
          <w:tcPr>
            <w:tcW w:w="100" w:type="dxa"/>
            <w:vAlign w:val="bottom"/>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spacing w:after="0"/>
              <w:rPr>
                <w:sz w:val="24"/>
                <w:szCs w:val="24"/>
                <w:color w:val="auto"/>
              </w:rPr>
            </w:pPr>
          </w:p>
        </w:tc>
        <w:tc>
          <w:tcPr>
            <w:tcW w:w="116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868</w:t>
            </w:r>
          </w:p>
        </w:tc>
        <w:tc>
          <w:tcPr>
            <w:tcW w:w="0" w:type="dxa"/>
            <w:vAlign w:val="bottom"/>
          </w:tcPr>
          <w:p>
            <w:pPr>
              <w:spacing w:after="0"/>
              <w:rPr>
                <w:sz w:val="1"/>
                <w:szCs w:val="1"/>
                <w:color w:val="auto"/>
              </w:rPr>
            </w:pPr>
          </w:p>
        </w:tc>
      </w:tr>
      <w:tr>
        <w:trPr>
          <w:trHeight w:val="218"/>
        </w:trPr>
        <w:tc>
          <w:tcPr>
            <w:tcW w:w="4960" w:type="dxa"/>
            <w:vAlign w:val="bottom"/>
          </w:tcPr>
          <w:p>
            <w:pPr>
              <w:ind w:left="20"/>
              <w:spacing w:after="0" w:line="217" w:lineRule="exact"/>
              <w:rPr>
                <w:sz w:val="20"/>
                <w:szCs w:val="20"/>
                <w:color w:val="auto"/>
              </w:rPr>
            </w:pPr>
            <w:r>
              <w:rPr>
                <w:rFonts w:ascii="Verdana" w:cs="Verdana" w:eastAsia="Verdana" w:hAnsi="Verdana"/>
                <w:sz w:val="18"/>
                <w:szCs w:val="18"/>
                <w:color w:val="auto"/>
              </w:rPr>
              <w:t>Total derivatives not designated as hedging</w:t>
            </w:r>
          </w:p>
        </w:tc>
        <w:tc>
          <w:tcPr>
            <w:tcW w:w="300" w:type="dxa"/>
            <w:vAlign w:val="bottom"/>
            <w:vMerge w:val="restart"/>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vMerge w:val="restart"/>
          </w:tcPr>
          <w:p>
            <w:pPr>
              <w:jc w:val="right"/>
              <w:ind w:right="2"/>
              <w:spacing w:after="0"/>
              <w:rPr>
                <w:sz w:val="20"/>
                <w:szCs w:val="20"/>
                <w:color w:val="auto"/>
              </w:rPr>
            </w:pPr>
            <w:r>
              <w:rPr>
                <w:rFonts w:ascii="Verdana" w:cs="Verdana" w:eastAsia="Verdana" w:hAnsi="Verdana"/>
                <w:sz w:val="18"/>
                <w:szCs w:val="18"/>
                <w:color w:val="auto"/>
              </w:rPr>
              <w:t>678,334</w:t>
            </w:r>
          </w:p>
        </w:tc>
        <w:tc>
          <w:tcPr>
            <w:tcW w:w="100" w:type="dxa"/>
            <w:vAlign w:val="bottom"/>
          </w:tcPr>
          <w:p>
            <w:pPr>
              <w:spacing w:after="0"/>
              <w:rPr>
                <w:sz w:val="18"/>
                <w:szCs w:val="18"/>
                <w:color w:val="auto"/>
              </w:rPr>
            </w:pPr>
          </w:p>
        </w:tc>
        <w:tc>
          <w:tcPr>
            <w:tcW w:w="540" w:type="dxa"/>
            <w:vAlign w:val="bottom"/>
            <w:vMerge w:val="restart"/>
          </w:tcPr>
          <w:p>
            <w:pPr>
              <w:jc w:val="right"/>
              <w:ind w:right="330"/>
              <w:spacing w:after="0"/>
              <w:rPr>
                <w:sz w:val="20"/>
                <w:szCs w:val="20"/>
                <w:color w:val="auto"/>
              </w:rPr>
            </w:pPr>
            <w:r>
              <w:rPr>
                <w:rFonts w:ascii="Verdana" w:cs="Verdana" w:eastAsia="Verdana" w:hAnsi="Verdana"/>
                <w:sz w:val="18"/>
                <w:szCs w:val="18"/>
                <w:color w:val="auto"/>
                <w:w w:val="86"/>
              </w:rPr>
              <w:t>$</w:t>
            </w:r>
          </w:p>
        </w:tc>
        <w:tc>
          <w:tcPr>
            <w:tcW w:w="960" w:type="dxa"/>
            <w:vAlign w:val="bottom"/>
            <w:vMerge w:val="restart"/>
          </w:tcPr>
          <w:p>
            <w:pPr>
              <w:jc w:val="right"/>
              <w:ind w:right="24"/>
              <w:spacing w:after="0"/>
              <w:rPr>
                <w:sz w:val="20"/>
                <w:szCs w:val="20"/>
                <w:color w:val="auto"/>
              </w:rPr>
            </w:pPr>
            <w:r>
              <w:rPr>
                <w:rFonts w:ascii="Verdana" w:cs="Verdana" w:eastAsia="Verdana" w:hAnsi="Verdana"/>
                <w:sz w:val="18"/>
                <w:szCs w:val="18"/>
                <w:color w:val="auto"/>
              </w:rPr>
              <w:t>34,420</w:t>
            </w:r>
          </w:p>
        </w:tc>
        <w:tc>
          <w:tcPr>
            <w:tcW w:w="80" w:type="dxa"/>
            <w:vAlign w:val="bottom"/>
          </w:tcPr>
          <w:p>
            <w:pPr>
              <w:spacing w:after="0"/>
              <w:rPr>
                <w:sz w:val="18"/>
                <w:szCs w:val="18"/>
                <w:color w:val="auto"/>
              </w:rPr>
            </w:pPr>
          </w:p>
        </w:tc>
        <w:tc>
          <w:tcPr>
            <w:tcW w:w="300" w:type="dxa"/>
            <w:vAlign w:val="bottom"/>
            <w:vMerge w:val="restart"/>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vMerge w:val="restart"/>
          </w:tcPr>
          <w:p>
            <w:pPr>
              <w:jc w:val="right"/>
              <w:ind w:right="4"/>
              <w:spacing w:after="0"/>
              <w:rPr>
                <w:sz w:val="20"/>
                <w:szCs w:val="20"/>
                <w:color w:val="auto"/>
              </w:rPr>
            </w:pPr>
            <w:r>
              <w:rPr>
                <w:rFonts w:ascii="Verdana" w:cs="Verdana" w:eastAsia="Verdana" w:hAnsi="Verdana"/>
                <w:sz w:val="18"/>
                <w:szCs w:val="18"/>
                <w:color w:val="auto"/>
              </w:rPr>
              <w:t>678,334</w:t>
            </w:r>
          </w:p>
        </w:tc>
        <w:tc>
          <w:tcPr>
            <w:tcW w:w="100" w:type="dxa"/>
            <w:vAlign w:val="bottom"/>
          </w:tcPr>
          <w:p>
            <w:pPr>
              <w:spacing w:after="0"/>
              <w:rPr>
                <w:sz w:val="18"/>
                <w:szCs w:val="18"/>
                <w:color w:val="auto"/>
              </w:rPr>
            </w:pPr>
          </w:p>
        </w:tc>
        <w:tc>
          <w:tcPr>
            <w:tcW w:w="340" w:type="dxa"/>
            <w:vAlign w:val="bottom"/>
            <w:vMerge w:val="restart"/>
          </w:tcPr>
          <w:p>
            <w:pPr>
              <w:jc w:val="right"/>
              <w:ind w:right="110"/>
              <w:spacing w:after="0"/>
              <w:rPr>
                <w:sz w:val="20"/>
                <w:szCs w:val="20"/>
                <w:color w:val="auto"/>
              </w:rPr>
            </w:pPr>
            <w:r>
              <w:rPr>
                <w:rFonts w:ascii="Verdana" w:cs="Verdana" w:eastAsia="Verdana" w:hAnsi="Verdana"/>
                <w:sz w:val="18"/>
                <w:szCs w:val="18"/>
                <w:color w:val="auto"/>
              </w:rPr>
              <w:t>$</w:t>
            </w:r>
          </w:p>
        </w:tc>
        <w:tc>
          <w:tcPr>
            <w:tcW w:w="1160" w:type="dxa"/>
            <w:vAlign w:val="bottom"/>
            <w:vMerge w:val="restart"/>
          </w:tcPr>
          <w:p>
            <w:pPr>
              <w:jc w:val="right"/>
              <w:ind w:right="1"/>
              <w:spacing w:after="0"/>
              <w:rPr>
                <w:sz w:val="20"/>
                <w:szCs w:val="20"/>
                <w:color w:val="auto"/>
              </w:rPr>
            </w:pPr>
            <w:r>
              <w:rPr>
                <w:rFonts w:ascii="Verdana" w:cs="Verdana" w:eastAsia="Verdana" w:hAnsi="Verdana"/>
                <w:sz w:val="18"/>
                <w:szCs w:val="18"/>
                <w:color w:val="auto"/>
              </w:rPr>
              <w:t>34,420</w:t>
            </w:r>
          </w:p>
        </w:tc>
        <w:tc>
          <w:tcPr>
            <w:tcW w:w="0" w:type="dxa"/>
            <w:vAlign w:val="bottom"/>
          </w:tcPr>
          <w:p>
            <w:pPr>
              <w:spacing w:after="0"/>
              <w:rPr>
                <w:sz w:val="1"/>
                <w:szCs w:val="1"/>
                <w:color w:val="auto"/>
              </w:rPr>
            </w:pPr>
          </w:p>
        </w:tc>
      </w:tr>
      <w:tr>
        <w:trPr>
          <w:trHeight w:val="226"/>
        </w:trPr>
        <w:tc>
          <w:tcPr>
            <w:tcW w:w="4960" w:type="dxa"/>
            <w:vAlign w:val="bottom"/>
          </w:tcPr>
          <w:p>
            <w:pPr>
              <w:ind w:left="20"/>
              <w:spacing w:after="0"/>
              <w:rPr>
                <w:sz w:val="20"/>
                <w:szCs w:val="20"/>
                <w:color w:val="auto"/>
              </w:rPr>
            </w:pPr>
            <w:r>
              <w:rPr>
                <w:rFonts w:ascii="Verdana" w:cs="Verdana" w:eastAsia="Verdana" w:hAnsi="Verdana"/>
                <w:sz w:val="18"/>
                <w:szCs w:val="18"/>
                <w:color w:val="auto"/>
              </w:rPr>
              <w:t>instruments</w:t>
            </w:r>
          </w:p>
        </w:tc>
        <w:tc>
          <w:tcPr>
            <w:tcW w:w="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642"/>
              <w:spacing w:after="0"/>
              <w:rPr>
                <w:sz w:val="20"/>
                <w:szCs w:val="20"/>
                <w:color w:val="auto"/>
              </w:rPr>
            </w:pPr>
            <w:r>
              <w:rPr>
                <w:rFonts w:ascii="Verdana" w:cs="Verdana" w:eastAsia="Verdana" w:hAnsi="Verdana"/>
                <w:sz w:val="18"/>
                <w:szCs w:val="18"/>
                <w:color w:val="auto"/>
              </w:rPr>
              <w:t>48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8" w:name="page49"/>
    <w:bookmarkEnd w:id="4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ind w:left="120"/>
              <w:spacing w:after="0"/>
              <w:rPr>
                <w:sz w:val="20"/>
                <w:szCs w:val="20"/>
                <w:color w:val="auto"/>
              </w:rPr>
            </w:pPr>
            <w:r>
              <w:rPr>
                <w:rFonts w:ascii="Verdana" w:cs="Verdana" w:eastAsia="Verdana" w:hAnsi="Verdana"/>
                <w:sz w:val="13"/>
                <w:szCs w:val="13"/>
                <w:b w:val="1"/>
                <w:bCs w:val="1"/>
                <w:color w:val="auto"/>
              </w:rPr>
              <w:t>As of December 31, 2023</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Derivative Asset</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801"/>
              <w:spacing w:after="0"/>
              <w:rPr>
                <w:sz w:val="20"/>
                <w:szCs w:val="20"/>
                <w:color w:val="auto"/>
              </w:rPr>
            </w:pPr>
            <w:r>
              <w:rPr>
                <w:rFonts w:ascii="Verdana" w:cs="Verdana" w:eastAsia="Verdana" w:hAnsi="Verdana"/>
                <w:sz w:val="13"/>
                <w:szCs w:val="13"/>
                <w:b w:val="1"/>
                <w:bCs w:val="1"/>
                <w:color w:val="auto"/>
              </w:rPr>
              <w:t>Derivative Liability</w:t>
            </w:r>
          </w:p>
        </w:tc>
        <w:tc>
          <w:tcPr>
            <w:tcW w:w="0" w:type="dxa"/>
            <w:vAlign w:val="bottom"/>
          </w:tcPr>
          <w:p>
            <w:pPr>
              <w:spacing w:after="0"/>
              <w:rPr>
                <w:sz w:val="1"/>
                <w:szCs w:val="1"/>
                <w:color w:val="auto"/>
              </w:rPr>
            </w:pPr>
          </w:p>
        </w:tc>
      </w:tr>
      <w:tr>
        <w:trPr>
          <w:trHeight w:val="120"/>
        </w:trPr>
        <w:tc>
          <w:tcPr>
            <w:tcW w:w="4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0" w:lineRule="exact"/>
              <w:rPr>
                <w:sz w:val="20"/>
                <w:szCs w:val="20"/>
                <w:color w:val="auto"/>
              </w:rPr>
            </w:pPr>
            <w:r>
              <w:rPr>
                <w:rFonts w:ascii="Verdana" w:cs="Verdana" w:eastAsia="Verdana" w:hAnsi="Verdana"/>
                <w:sz w:val="13"/>
                <w:szCs w:val="13"/>
                <w:b w:val="1"/>
                <w:bCs w:val="1"/>
                <w:color w:val="auto"/>
              </w:rPr>
              <w:t>Notional</w:t>
            </w:r>
          </w:p>
        </w:tc>
        <w:tc>
          <w:tcPr>
            <w:tcW w:w="540" w:type="dxa"/>
            <w:vAlign w:val="bottom"/>
          </w:tcPr>
          <w:p>
            <w:pPr>
              <w:spacing w:after="0"/>
              <w:rPr>
                <w:sz w:val="10"/>
                <w:szCs w:val="10"/>
                <w:color w:val="auto"/>
              </w:rPr>
            </w:pPr>
          </w:p>
        </w:tc>
        <w:tc>
          <w:tcPr>
            <w:tcW w:w="960" w:type="dxa"/>
            <w:vAlign w:val="bottom"/>
          </w:tcPr>
          <w:p>
            <w:pPr>
              <w:jc w:val="center"/>
              <w:ind w:right="484"/>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0" w:lineRule="exact"/>
              <w:rPr>
                <w:sz w:val="20"/>
                <w:szCs w:val="20"/>
                <w:color w:val="auto"/>
              </w:rPr>
            </w:pPr>
            <w:r>
              <w:rPr>
                <w:rFonts w:ascii="Verdana" w:cs="Verdana" w:eastAsia="Verdana" w:hAnsi="Verdana"/>
                <w:sz w:val="13"/>
                <w:szCs w:val="13"/>
                <w:b w:val="1"/>
                <w:bCs w:val="1"/>
                <w:color w:val="auto"/>
              </w:rPr>
              <w:t>Notional</w:t>
            </w:r>
          </w:p>
        </w:tc>
        <w:tc>
          <w:tcPr>
            <w:tcW w:w="340" w:type="dxa"/>
            <w:vAlign w:val="bottom"/>
          </w:tcPr>
          <w:p>
            <w:pPr>
              <w:spacing w:after="0"/>
              <w:rPr>
                <w:sz w:val="10"/>
                <w:szCs w:val="10"/>
                <w:color w:val="auto"/>
              </w:rPr>
            </w:pPr>
          </w:p>
        </w:tc>
        <w:tc>
          <w:tcPr>
            <w:tcW w:w="1160" w:type="dxa"/>
            <w:vAlign w:val="bottom"/>
          </w:tcPr>
          <w:p>
            <w:pPr>
              <w:jc w:val="right"/>
              <w:ind w:right="541"/>
              <w:spacing w:after="0" w:line="120" w:lineRule="exact"/>
              <w:rPr>
                <w:sz w:val="20"/>
                <w:szCs w:val="20"/>
                <w:color w:val="auto"/>
              </w:rPr>
            </w:pPr>
            <w:r>
              <w:rPr>
                <w:rFonts w:ascii="Verdana" w:cs="Verdana" w:eastAsia="Verdana" w:hAnsi="Verdana"/>
                <w:sz w:val="13"/>
                <w:szCs w:val="13"/>
                <w:b w:val="1"/>
                <w:bCs w:val="1"/>
                <w:color w:val="auto"/>
              </w:rPr>
              <w:t>Fair</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540" w:type="dxa"/>
            <w:vAlign w:val="bottom"/>
          </w:tcPr>
          <w:p>
            <w:pPr>
              <w:spacing w:after="0"/>
              <w:rPr>
                <w:sz w:val="14"/>
                <w:szCs w:val="14"/>
                <w:color w:val="auto"/>
              </w:rPr>
            </w:pPr>
          </w:p>
        </w:tc>
        <w:tc>
          <w:tcPr>
            <w:tcW w:w="1040" w:type="dxa"/>
            <w:vAlign w:val="bottom"/>
            <w:gridSpan w:val="2"/>
          </w:tcPr>
          <w:p>
            <w:pPr>
              <w:jc w:val="center"/>
              <w:ind w:right="640"/>
              <w:spacing w:after="0"/>
              <w:rPr>
                <w:sz w:val="20"/>
                <w:szCs w:val="20"/>
                <w:color w:val="auto"/>
              </w:rPr>
            </w:pPr>
            <w:r>
              <w:rPr>
                <w:rFonts w:ascii="Verdana" w:cs="Verdana" w:eastAsia="Verdana" w:hAnsi="Verdana"/>
                <w:sz w:val="13"/>
                <w:szCs w:val="13"/>
                <w:b w:val="1"/>
                <w:bCs w:val="1"/>
                <w:color w:val="auto"/>
                <w:w w:val="97"/>
              </w:rPr>
              <w:t>Value</w:t>
            </w: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340" w:type="dxa"/>
            <w:vAlign w:val="bottom"/>
          </w:tcPr>
          <w:p>
            <w:pPr>
              <w:spacing w:after="0"/>
              <w:rPr>
                <w:sz w:val="14"/>
                <w:szCs w:val="14"/>
                <w:color w:val="auto"/>
              </w:rPr>
            </w:pPr>
          </w:p>
        </w:tc>
        <w:tc>
          <w:tcPr>
            <w:tcW w:w="1160" w:type="dxa"/>
            <w:vAlign w:val="bottom"/>
          </w:tcPr>
          <w:p>
            <w:pPr>
              <w:jc w:val="right"/>
              <w:ind w:right="481"/>
              <w:spacing w:after="0"/>
              <w:rPr>
                <w:sz w:val="20"/>
                <w:szCs w:val="20"/>
                <w:color w:val="auto"/>
              </w:rPr>
            </w:pPr>
            <w:r>
              <w:rPr>
                <w:rFonts w:ascii="Verdana" w:cs="Verdana" w:eastAsia="Verdana" w:hAnsi="Verdana"/>
                <w:sz w:val="13"/>
                <w:szCs w:val="13"/>
                <w:b w:val="1"/>
                <w:bCs w:val="1"/>
                <w:color w:val="auto"/>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Derivatives not designated as hedging</w:t>
            </w:r>
          </w:p>
        </w:tc>
        <w:tc>
          <w:tcPr>
            <w:tcW w:w="30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54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6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instruments</w:t>
            </w: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54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Interest rate swaps – pay floating, receive fixed</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8"/>
                <w:szCs w:val="18"/>
                <w:color w:val="auto"/>
              </w:rPr>
              <w:t>177,883</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Verdana" w:cs="Verdana" w:eastAsia="Verdana" w:hAnsi="Verdana"/>
                <w:sz w:val="18"/>
                <w:szCs w:val="18"/>
                <w:color w:val="auto"/>
                <w:w w:val="86"/>
              </w:rPr>
              <w:t>$</w:t>
            </w:r>
          </w:p>
        </w:tc>
        <w:tc>
          <w:tcPr>
            <w:tcW w:w="960" w:type="dxa"/>
            <w:vAlign w:val="bottom"/>
          </w:tcPr>
          <w:p>
            <w:pPr>
              <w:jc w:val="right"/>
              <w:ind w:right="24"/>
              <w:spacing w:after="0"/>
              <w:rPr>
                <w:sz w:val="20"/>
                <w:szCs w:val="20"/>
                <w:color w:val="auto"/>
              </w:rPr>
            </w:pPr>
            <w:r>
              <w:rPr>
                <w:rFonts w:ascii="Verdana" w:cs="Verdana" w:eastAsia="Verdana" w:hAnsi="Verdana"/>
                <w:sz w:val="18"/>
                <w:szCs w:val="18"/>
                <w:color w:val="auto"/>
              </w:rPr>
              <w:t>2,375</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8"/>
                <w:szCs w:val="18"/>
                <w:color w:val="auto"/>
              </w:rPr>
              <w:t>485,253</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ind w:right="1"/>
              <w:spacing w:after="0"/>
              <w:rPr>
                <w:sz w:val="20"/>
                <w:szCs w:val="20"/>
                <w:color w:val="auto"/>
              </w:rPr>
            </w:pPr>
            <w:r>
              <w:rPr>
                <w:rFonts w:ascii="Verdana" w:cs="Verdana" w:eastAsia="Verdana" w:hAnsi="Verdana"/>
                <w:sz w:val="18"/>
                <w:szCs w:val="18"/>
                <w:color w:val="auto"/>
              </w:rPr>
              <w:t>26,289</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rate swaps – pay fixed, receive floating</w:t>
            </w:r>
          </w:p>
        </w:tc>
        <w:tc>
          <w:tcPr>
            <w:tcW w:w="300" w:type="dxa"/>
            <w:vAlign w:val="bottom"/>
            <w:tcBorders>
              <w:bottom w:val="single" w:sz="8" w:color="auto"/>
            </w:tcBorders>
            <w:shd w:val="clear" w:color="auto" w:fill="E0E7ED"/>
          </w:tcPr>
          <w:p>
            <w:pPr>
              <w:spacing w:after="0"/>
              <w:rPr>
                <w:sz w:val="24"/>
                <w:szCs w:val="24"/>
                <w:color w:val="auto"/>
              </w:rPr>
            </w:pPr>
          </w:p>
        </w:tc>
        <w:tc>
          <w:tcPr>
            <w:tcW w:w="1200" w:type="dxa"/>
            <w:vAlign w:val="bottom"/>
            <w:tcBorders>
              <w:bottom w:val="single" w:sz="8" w:color="auto"/>
            </w:tcBorders>
            <w:shd w:val="clear" w:color="auto" w:fill="E0E7ED"/>
          </w:tcPr>
          <w:p>
            <w:pPr>
              <w:jc w:val="right"/>
              <w:ind w:right="4"/>
              <w:spacing w:after="0"/>
              <w:rPr>
                <w:sz w:val="20"/>
                <w:szCs w:val="20"/>
                <w:color w:val="auto"/>
              </w:rPr>
            </w:pPr>
            <w:r>
              <w:rPr>
                <w:rFonts w:ascii="Verdana" w:cs="Verdana" w:eastAsia="Verdana" w:hAnsi="Verdana"/>
                <w:sz w:val="18"/>
                <w:szCs w:val="18"/>
                <w:color w:val="auto"/>
              </w:rPr>
              <w:t>485,253</w:t>
            </w:r>
          </w:p>
        </w:tc>
        <w:tc>
          <w:tcPr>
            <w:tcW w:w="100" w:type="dxa"/>
            <w:vAlign w:val="bottom"/>
            <w:shd w:val="clear" w:color="auto" w:fill="E0E7ED"/>
          </w:tcPr>
          <w:p>
            <w:pPr>
              <w:spacing w:after="0"/>
              <w:rPr>
                <w:sz w:val="24"/>
                <w:szCs w:val="24"/>
                <w:color w:val="auto"/>
              </w:rPr>
            </w:pPr>
          </w:p>
        </w:tc>
        <w:tc>
          <w:tcPr>
            <w:tcW w:w="540" w:type="dxa"/>
            <w:vAlign w:val="bottom"/>
            <w:tcBorders>
              <w:bottom w:val="single" w:sz="8" w:color="auto"/>
            </w:tcBorders>
            <w:shd w:val="clear" w:color="auto" w:fill="E0E7ED"/>
          </w:tcPr>
          <w:p>
            <w:pPr>
              <w:spacing w:after="0"/>
              <w:rPr>
                <w:sz w:val="24"/>
                <w:szCs w:val="24"/>
                <w:color w:val="auto"/>
              </w:rPr>
            </w:pPr>
          </w:p>
        </w:tc>
        <w:tc>
          <w:tcPr>
            <w:tcW w:w="96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26,289</w:t>
            </w:r>
          </w:p>
        </w:tc>
        <w:tc>
          <w:tcPr>
            <w:tcW w:w="80" w:type="dxa"/>
            <w:vAlign w:val="bottom"/>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spacing w:after="0"/>
              <w:rPr>
                <w:sz w:val="24"/>
                <w:szCs w:val="24"/>
                <w:color w:val="auto"/>
              </w:rPr>
            </w:pPr>
          </w:p>
        </w:tc>
        <w:tc>
          <w:tcPr>
            <w:tcW w:w="1200" w:type="dxa"/>
            <w:vAlign w:val="bottom"/>
            <w:tcBorders>
              <w:bottom w:val="single" w:sz="8" w:color="auto"/>
            </w:tcBorders>
            <w:shd w:val="clear" w:color="auto" w:fill="E0E7ED"/>
          </w:tcPr>
          <w:p>
            <w:pPr>
              <w:jc w:val="right"/>
              <w:ind w:right="4"/>
              <w:spacing w:after="0"/>
              <w:rPr>
                <w:sz w:val="20"/>
                <w:szCs w:val="20"/>
                <w:color w:val="auto"/>
              </w:rPr>
            </w:pPr>
            <w:r>
              <w:rPr>
                <w:rFonts w:ascii="Verdana" w:cs="Verdana" w:eastAsia="Verdana" w:hAnsi="Verdana"/>
                <w:sz w:val="18"/>
                <w:szCs w:val="18"/>
                <w:color w:val="auto"/>
              </w:rPr>
              <w:t>177,883</w:t>
            </w:r>
          </w:p>
        </w:tc>
        <w:tc>
          <w:tcPr>
            <w:tcW w:w="100" w:type="dxa"/>
            <w:vAlign w:val="bottom"/>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spacing w:after="0"/>
              <w:rPr>
                <w:sz w:val="24"/>
                <w:szCs w:val="24"/>
                <w:color w:val="auto"/>
              </w:rPr>
            </w:pPr>
          </w:p>
        </w:tc>
        <w:tc>
          <w:tcPr>
            <w:tcW w:w="116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2,375</w:t>
            </w:r>
          </w:p>
        </w:tc>
        <w:tc>
          <w:tcPr>
            <w:tcW w:w="0" w:type="dxa"/>
            <w:vAlign w:val="bottom"/>
          </w:tcPr>
          <w:p>
            <w:pPr>
              <w:spacing w:after="0"/>
              <w:rPr>
                <w:sz w:val="1"/>
                <w:szCs w:val="1"/>
                <w:color w:val="auto"/>
              </w:rPr>
            </w:pPr>
          </w:p>
        </w:tc>
      </w:tr>
      <w:tr>
        <w:trPr>
          <w:trHeight w:val="218"/>
        </w:trPr>
        <w:tc>
          <w:tcPr>
            <w:tcW w:w="4960" w:type="dxa"/>
            <w:vAlign w:val="bottom"/>
          </w:tcPr>
          <w:p>
            <w:pPr>
              <w:ind w:left="20"/>
              <w:spacing w:after="0" w:line="217" w:lineRule="exact"/>
              <w:rPr>
                <w:sz w:val="20"/>
                <w:szCs w:val="20"/>
                <w:color w:val="auto"/>
              </w:rPr>
            </w:pPr>
            <w:r>
              <w:rPr>
                <w:rFonts w:ascii="Verdana" w:cs="Verdana" w:eastAsia="Verdana" w:hAnsi="Verdana"/>
                <w:sz w:val="18"/>
                <w:szCs w:val="18"/>
                <w:color w:val="auto"/>
              </w:rPr>
              <w:t>Total derivatives not designated as hedging</w:t>
            </w:r>
          </w:p>
        </w:tc>
        <w:tc>
          <w:tcPr>
            <w:tcW w:w="300" w:type="dxa"/>
            <w:vAlign w:val="bottom"/>
            <w:vMerge w:val="restart"/>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vMerge w:val="restart"/>
          </w:tcPr>
          <w:p>
            <w:pPr>
              <w:jc w:val="right"/>
              <w:ind w:right="4"/>
              <w:spacing w:after="0"/>
              <w:rPr>
                <w:sz w:val="20"/>
                <w:szCs w:val="20"/>
                <w:color w:val="auto"/>
              </w:rPr>
            </w:pPr>
            <w:r>
              <w:rPr>
                <w:rFonts w:ascii="Verdana" w:cs="Verdana" w:eastAsia="Verdana" w:hAnsi="Verdana"/>
                <w:sz w:val="18"/>
                <w:szCs w:val="18"/>
                <w:color w:val="auto"/>
              </w:rPr>
              <w:t>663,136</w:t>
            </w:r>
          </w:p>
        </w:tc>
        <w:tc>
          <w:tcPr>
            <w:tcW w:w="100" w:type="dxa"/>
            <w:vAlign w:val="bottom"/>
          </w:tcPr>
          <w:p>
            <w:pPr>
              <w:spacing w:after="0"/>
              <w:rPr>
                <w:sz w:val="18"/>
                <w:szCs w:val="18"/>
                <w:color w:val="auto"/>
              </w:rPr>
            </w:pPr>
          </w:p>
        </w:tc>
        <w:tc>
          <w:tcPr>
            <w:tcW w:w="540" w:type="dxa"/>
            <w:vAlign w:val="bottom"/>
            <w:vMerge w:val="restart"/>
          </w:tcPr>
          <w:p>
            <w:pPr>
              <w:jc w:val="right"/>
              <w:ind w:right="330"/>
              <w:spacing w:after="0"/>
              <w:rPr>
                <w:sz w:val="20"/>
                <w:szCs w:val="20"/>
                <w:color w:val="auto"/>
              </w:rPr>
            </w:pPr>
            <w:r>
              <w:rPr>
                <w:rFonts w:ascii="Verdana" w:cs="Verdana" w:eastAsia="Verdana" w:hAnsi="Verdana"/>
                <w:sz w:val="18"/>
                <w:szCs w:val="18"/>
                <w:color w:val="auto"/>
                <w:w w:val="86"/>
              </w:rPr>
              <w:t>$</w:t>
            </w:r>
          </w:p>
        </w:tc>
        <w:tc>
          <w:tcPr>
            <w:tcW w:w="960" w:type="dxa"/>
            <w:vAlign w:val="bottom"/>
            <w:vMerge w:val="restart"/>
          </w:tcPr>
          <w:p>
            <w:pPr>
              <w:jc w:val="right"/>
              <w:ind w:right="24"/>
              <w:spacing w:after="0"/>
              <w:rPr>
                <w:sz w:val="20"/>
                <w:szCs w:val="20"/>
                <w:color w:val="auto"/>
              </w:rPr>
            </w:pPr>
            <w:r>
              <w:rPr>
                <w:rFonts w:ascii="Verdana" w:cs="Verdana" w:eastAsia="Verdana" w:hAnsi="Verdana"/>
                <w:sz w:val="18"/>
                <w:szCs w:val="18"/>
                <w:color w:val="auto"/>
              </w:rPr>
              <w:t>28,664</w:t>
            </w:r>
          </w:p>
        </w:tc>
        <w:tc>
          <w:tcPr>
            <w:tcW w:w="80" w:type="dxa"/>
            <w:vAlign w:val="bottom"/>
          </w:tcPr>
          <w:p>
            <w:pPr>
              <w:spacing w:after="0"/>
              <w:rPr>
                <w:sz w:val="18"/>
                <w:szCs w:val="18"/>
                <w:color w:val="auto"/>
              </w:rPr>
            </w:pPr>
          </w:p>
        </w:tc>
        <w:tc>
          <w:tcPr>
            <w:tcW w:w="300" w:type="dxa"/>
            <w:vAlign w:val="bottom"/>
            <w:vMerge w:val="restart"/>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vMerge w:val="restart"/>
          </w:tcPr>
          <w:p>
            <w:pPr>
              <w:jc w:val="right"/>
              <w:ind w:right="4"/>
              <w:spacing w:after="0"/>
              <w:rPr>
                <w:sz w:val="20"/>
                <w:szCs w:val="20"/>
                <w:color w:val="auto"/>
              </w:rPr>
            </w:pPr>
            <w:r>
              <w:rPr>
                <w:rFonts w:ascii="Verdana" w:cs="Verdana" w:eastAsia="Verdana" w:hAnsi="Verdana"/>
                <w:sz w:val="18"/>
                <w:szCs w:val="18"/>
                <w:color w:val="auto"/>
              </w:rPr>
              <w:t>663,136</w:t>
            </w:r>
          </w:p>
        </w:tc>
        <w:tc>
          <w:tcPr>
            <w:tcW w:w="100" w:type="dxa"/>
            <w:vAlign w:val="bottom"/>
          </w:tcPr>
          <w:p>
            <w:pPr>
              <w:spacing w:after="0"/>
              <w:rPr>
                <w:sz w:val="18"/>
                <w:szCs w:val="18"/>
                <w:color w:val="auto"/>
              </w:rPr>
            </w:pPr>
          </w:p>
        </w:tc>
        <w:tc>
          <w:tcPr>
            <w:tcW w:w="340" w:type="dxa"/>
            <w:vAlign w:val="bottom"/>
            <w:vMerge w:val="restart"/>
          </w:tcPr>
          <w:p>
            <w:pPr>
              <w:jc w:val="right"/>
              <w:ind w:right="110"/>
              <w:spacing w:after="0"/>
              <w:rPr>
                <w:sz w:val="20"/>
                <w:szCs w:val="20"/>
                <w:color w:val="auto"/>
              </w:rPr>
            </w:pPr>
            <w:r>
              <w:rPr>
                <w:rFonts w:ascii="Verdana" w:cs="Verdana" w:eastAsia="Verdana" w:hAnsi="Verdana"/>
                <w:sz w:val="18"/>
                <w:szCs w:val="18"/>
                <w:color w:val="auto"/>
              </w:rPr>
              <w:t>$</w:t>
            </w:r>
          </w:p>
        </w:tc>
        <w:tc>
          <w:tcPr>
            <w:tcW w:w="1160" w:type="dxa"/>
            <w:vAlign w:val="bottom"/>
            <w:vMerge w:val="restart"/>
          </w:tcPr>
          <w:p>
            <w:pPr>
              <w:jc w:val="right"/>
              <w:ind w:right="1"/>
              <w:spacing w:after="0"/>
              <w:rPr>
                <w:sz w:val="20"/>
                <w:szCs w:val="20"/>
                <w:color w:val="auto"/>
              </w:rPr>
            </w:pPr>
            <w:r>
              <w:rPr>
                <w:rFonts w:ascii="Verdana" w:cs="Verdana" w:eastAsia="Verdana" w:hAnsi="Verdana"/>
                <w:sz w:val="18"/>
                <w:szCs w:val="18"/>
                <w:color w:val="auto"/>
              </w:rPr>
              <w:t>28,664</w:t>
            </w:r>
          </w:p>
        </w:tc>
        <w:tc>
          <w:tcPr>
            <w:tcW w:w="0" w:type="dxa"/>
            <w:vAlign w:val="bottom"/>
          </w:tcPr>
          <w:p>
            <w:pPr>
              <w:spacing w:after="0"/>
              <w:rPr>
                <w:sz w:val="1"/>
                <w:szCs w:val="1"/>
                <w:color w:val="auto"/>
              </w:rPr>
            </w:pPr>
          </w:p>
        </w:tc>
      </w:tr>
      <w:tr>
        <w:trPr>
          <w:trHeight w:val="226"/>
        </w:trPr>
        <w:tc>
          <w:tcPr>
            <w:tcW w:w="4960" w:type="dxa"/>
            <w:vAlign w:val="bottom"/>
          </w:tcPr>
          <w:p>
            <w:pPr>
              <w:ind w:left="20"/>
              <w:spacing w:after="0"/>
              <w:rPr>
                <w:sz w:val="20"/>
                <w:szCs w:val="20"/>
                <w:color w:val="auto"/>
              </w:rPr>
            </w:pPr>
            <w:r>
              <w:rPr>
                <w:rFonts w:ascii="Verdana" w:cs="Verdana" w:eastAsia="Verdana" w:hAnsi="Verdana"/>
                <w:sz w:val="18"/>
                <w:szCs w:val="18"/>
                <w:color w:val="auto"/>
              </w:rPr>
              <w:t>instruments</w:t>
            </w:r>
          </w:p>
        </w:tc>
        <w:tc>
          <w:tcPr>
            <w:tcW w:w="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Changes in fair value of these derivative assets and liabilities were recorded in noninterest expense in the Consolidated Statements of Income (Unaudited) and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377"/>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6540" w:type="dxa"/>
            <w:vAlign w:val="bottom"/>
          </w:tcPr>
          <w:p>
            <w:pPr>
              <w:spacing w:after="0"/>
              <w:rPr>
                <w:sz w:val="14"/>
                <w:szCs w:val="14"/>
                <w:color w:val="auto"/>
              </w:rPr>
            </w:pPr>
          </w:p>
        </w:tc>
        <w:tc>
          <w:tcPr>
            <w:tcW w:w="1580" w:type="dxa"/>
            <w:vAlign w:val="bottom"/>
            <w:gridSpan w:val="2"/>
          </w:tcPr>
          <w:p>
            <w:pPr>
              <w:ind w:left="440"/>
              <w:spacing w:after="0"/>
              <w:rPr>
                <w:sz w:val="20"/>
                <w:szCs w:val="20"/>
                <w:color w:val="auto"/>
              </w:rPr>
            </w:pPr>
            <w:r>
              <w:rPr>
                <w:rFonts w:ascii="Verdana" w:cs="Verdana" w:eastAsia="Verdana" w:hAnsi="Verdana"/>
                <w:sz w:val="13"/>
                <w:szCs w:val="13"/>
                <w:b w:val="1"/>
                <w:bCs w:val="1"/>
                <w:color w:val="auto"/>
              </w:rPr>
              <w:t>Location</w:t>
            </w:r>
          </w:p>
        </w:tc>
        <w:tc>
          <w:tcPr>
            <w:tcW w:w="300" w:type="dxa"/>
            <w:vAlign w:val="bottom"/>
          </w:tcPr>
          <w:p>
            <w:pPr>
              <w:spacing w:after="0"/>
              <w:rPr>
                <w:sz w:val="14"/>
                <w:szCs w:val="14"/>
                <w:color w:val="auto"/>
              </w:rPr>
            </w:pPr>
          </w:p>
        </w:tc>
        <w:tc>
          <w:tcPr>
            <w:tcW w:w="1220" w:type="dxa"/>
            <w:vAlign w:val="bottom"/>
          </w:tcPr>
          <w:p>
            <w:pPr>
              <w:jc w:val="right"/>
              <w:ind w:right="501"/>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65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Interest rate swaps</w:t>
            </w:r>
          </w:p>
        </w:tc>
        <w:tc>
          <w:tcPr>
            <w:tcW w:w="14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r>
      <w:tr>
        <w:trPr>
          <w:trHeight w:val="238"/>
        </w:trPr>
        <w:tc>
          <w:tcPr>
            <w:tcW w:w="6540" w:type="dxa"/>
            <w:vAlign w:val="bottom"/>
          </w:tcPr>
          <w:p>
            <w:pPr>
              <w:ind w:left="180"/>
              <w:spacing w:after="0"/>
              <w:rPr>
                <w:sz w:val="20"/>
                <w:szCs w:val="20"/>
                <w:color w:val="auto"/>
              </w:rPr>
            </w:pPr>
            <w:r>
              <w:rPr>
                <w:rFonts w:ascii="Verdana" w:cs="Verdana" w:eastAsia="Verdana" w:hAnsi="Verdana"/>
                <w:sz w:val="18"/>
                <w:szCs w:val="18"/>
                <w:color w:val="auto"/>
              </w:rPr>
              <w:t>Pay floating, receive fixed</w:t>
            </w:r>
          </w:p>
        </w:tc>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Noninterest</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2"/>
        </w:trPr>
        <w:tc>
          <w:tcPr>
            <w:tcW w:w="654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expense</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21"/>
              <w:spacing w:after="0"/>
              <w:rPr>
                <w:sz w:val="20"/>
                <w:szCs w:val="20"/>
                <w:color w:val="auto"/>
              </w:rPr>
            </w:pPr>
            <w:r>
              <w:rPr>
                <w:rFonts w:ascii="Verdana" w:cs="Verdana" w:eastAsia="Verdana" w:hAnsi="Verdana"/>
                <w:sz w:val="18"/>
                <w:szCs w:val="18"/>
                <w:color w:val="auto"/>
              </w:rPr>
              <w:t>5,480</w:t>
            </w:r>
          </w:p>
        </w:tc>
        <w:tc>
          <w:tcPr>
            <w:tcW w:w="8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(7,667)</w:t>
            </w:r>
          </w:p>
        </w:tc>
      </w:tr>
      <w:tr>
        <w:trPr>
          <w:trHeight w:val="244"/>
        </w:trPr>
        <w:tc>
          <w:tcPr>
            <w:tcW w:w="65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Pay fixed, receive floating</w:t>
            </w:r>
          </w:p>
        </w:tc>
        <w:tc>
          <w:tcPr>
            <w:tcW w:w="15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Noninterest</w:t>
            </w:r>
          </w:p>
        </w:tc>
        <w:tc>
          <w:tcPr>
            <w:tcW w:w="30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r>
      <w:tr>
        <w:trPr>
          <w:trHeight w:val="242"/>
        </w:trPr>
        <w:tc>
          <w:tcPr>
            <w:tcW w:w="6540" w:type="dxa"/>
            <w:vAlign w:val="bottom"/>
            <w:shd w:val="clear" w:color="auto" w:fill="E0E7ED"/>
          </w:tcPr>
          <w:p>
            <w:pPr>
              <w:spacing w:after="0"/>
              <w:rPr>
                <w:sz w:val="21"/>
                <w:szCs w:val="21"/>
                <w:color w:val="auto"/>
              </w:rPr>
            </w:pPr>
          </w:p>
        </w:tc>
        <w:tc>
          <w:tcPr>
            <w:tcW w:w="15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expense</w:t>
            </w:r>
          </w:p>
        </w:tc>
        <w:tc>
          <w:tcPr>
            <w:tcW w:w="30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(5,480)</w:t>
            </w:r>
          </w:p>
        </w:tc>
        <w:tc>
          <w:tcPr>
            <w:tcW w:w="80" w:type="dxa"/>
            <w:vAlign w:val="bottom"/>
            <w:shd w:val="clear" w:color="auto" w:fill="E0E7ED"/>
          </w:tcPr>
          <w:p>
            <w:pPr>
              <w:spacing w:after="0"/>
              <w:rPr>
                <w:sz w:val="21"/>
                <w:szCs w:val="21"/>
                <w:color w:val="auto"/>
              </w:rPr>
            </w:pPr>
          </w:p>
        </w:tc>
        <w:tc>
          <w:tcPr>
            <w:tcW w:w="360" w:type="dxa"/>
            <w:vAlign w:val="bottom"/>
            <w:tcBorders>
              <w:bottom w:val="single" w:sz="8" w:color="auto"/>
            </w:tcBorders>
            <w:shd w:val="clear" w:color="auto" w:fill="E0E7ED"/>
          </w:tcPr>
          <w:p>
            <w:pPr>
              <w:spacing w:after="0"/>
              <w:rPr>
                <w:sz w:val="21"/>
                <w:szCs w:val="21"/>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7,667</w:t>
            </w:r>
          </w:p>
        </w:tc>
      </w:tr>
      <w:tr>
        <w:trPr>
          <w:trHeight w:val="270"/>
        </w:trPr>
        <w:tc>
          <w:tcPr>
            <w:tcW w:w="6540" w:type="dxa"/>
            <w:vAlign w:val="bottom"/>
          </w:tcPr>
          <w:p>
            <w:pPr>
              <w:ind w:left="20"/>
              <w:spacing w:after="0"/>
              <w:rPr>
                <w:sz w:val="20"/>
                <w:szCs w:val="20"/>
                <w:color w:val="auto"/>
              </w:rPr>
            </w:pPr>
            <w:r>
              <w:rPr>
                <w:rFonts w:ascii="Verdana" w:cs="Verdana" w:eastAsia="Verdana" w:hAnsi="Verdana"/>
                <w:sz w:val="18"/>
                <w:szCs w:val="18"/>
                <w:color w:val="auto"/>
              </w:rPr>
              <w:t>Net change in fair value of interest rate swaps</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3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20"/>
        </w:trPr>
        <w:tc>
          <w:tcPr>
            <w:tcW w:w="6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Risk Participation Agreements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To manage the credit risk exposure related to customer-facing swaps, Busey entered into risk participation agreements in conjunction with loan participation arrangements with other financial institutions. Under these risk participation agreements, Busey purchased a portion of the credit exposure, paying an up-front fee, and will receive a payment from the counterparty if the loan customer defaults on its obligations.</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also entered into a risk participation agreement under which Busey sold a portion of its credit exposure, receiving an up-front fee, and will be required to make a payment to the counterparty if the loan customer defaults on its obligations.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9" w:name="page50"/>
    <w:bookmarkEnd w:id="49"/>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The notional amount of the risk participation agreements reflect Busey's pro-rata share of the derivative instrument, consistent with its share of the related participated loan. The risk participation agreements mature between June 2024 and January 2029, and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ind w:left="120"/>
              <w:spacing w:after="0" w:line="122" w:lineRule="exact"/>
              <w:rPr>
                <w:sz w:val="20"/>
                <w:szCs w:val="20"/>
                <w:color w:val="auto"/>
              </w:rPr>
            </w:pPr>
            <w:r>
              <w:rPr>
                <w:rFonts w:ascii="Verdana" w:cs="Verdana" w:eastAsia="Verdana" w:hAnsi="Verdana"/>
                <w:sz w:val="13"/>
                <w:szCs w:val="13"/>
                <w:b w:val="1"/>
                <w:bCs w:val="1"/>
                <w:color w:val="auto"/>
              </w:rPr>
              <w:t>March 31,</w:t>
            </w:r>
          </w:p>
        </w:tc>
        <w:tc>
          <w:tcPr>
            <w:tcW w:w="200" w:type="dxa"/>
            <w:vAlign w:val="bottom"/>
          </w:tcPr>
          <w:p>
            <w:pPr>
              <w:spacing w:after="0"/>
              <w:rPr>
                <w:sz w:val="10"/>
                <w:szCs w:val="10"/>
                <w:color w:val="auto"/>
              </w:rPr>
            </w:pPr>
          </w:p>
        </w:tc>
        <w:tc>
          <w:tcPr>
            <w:tcW w:w="1320" w:type="dxa"/>
            <w:vAlign w:val="bottom"/>
          </w:tcPr>
          <w:p>
            <w:pPr>
              <w:jc w:val="right"/>
              <w:ind w:right="177"/>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9"/>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Risk participation agreements purchased</w:t>
            </w:r>
          </w:p>
        </w:tc>
        <w:tc>
          <w:tcPr>
            <w:tcW w:w="2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Number of risk participation agreements</w:t>
            </w:r>
          </w:p>
        </w:tc>
        <w:tc>
          <w:tcPr>
            <w:tcW w:w="28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Verdana" w:cs="Verdana" w:eastAsia="Verdana" w:hAnsi="Verdana"/>
                <w:sz w:val="18"/>
                <w:szCs w:val="18"/>
                <w:color w:val="auto"/>
              </w:rPr>
              <w:t>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Verdana" w:cs="Verdana" w:eastAsia="Verdana" w:hAnsi="Verdana"/>
                <w:sz w:val="18"/>
                <w:szCs w:val="18"/>
                <w:color w:val="auto"/>
              </w:rPr>
              <w:t>3</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Notional amount</w:t>
            </w: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35,097</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34,251</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Fair value</w:t>
            </w:r>
          </w:p>
        </w:tc>
        <w:tc>
          <w:tcPr>
            <w:tcW w:w="28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Verdana" w:cs="Verdana" w:eastAsia="Verdana" w:hAnsi="Verdana"/>
                <w:sz w:val="18"/>
                <w:szCs w:val="18"/>
                <w:color w:val="auto"/>
              </w:rPr>
              <w:t>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15</w:t>
            </w:r>
          </w:p>
        </w:tc>
      </w:tr>
      <w:tr>
        <w:trPr>
          <w:trHeight w:val="277"/>
        </w:trPr>
        <w:tc>
          <w:tcPr>
            <w:tcW w:w="812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r>
      <w:tr>
        <w:trPr>
          <w:trHeight w:val="263"/>
        </w:trPr>
        <w:tc>
          <w:tcPr>
            <w:tcW w:w="8120" w:type="dxa"/>
            <w:vAlign w:val="bottom"/>
          </w:tcPr>
          <w:p>
            <w:pPr>
              <w:ind w:left="20"/>
              <w:spacing w:after="0"/>
              <w:rPr>
                <w:sz w:val="20"/>
                <w:szCs w:val="20"/>
                <w:color w:val="auto"/>
              </w:rPr>
            </w:pPr>
            <w:r>
              <w:rPr>
                <w:rFonts w:ascii="Verdana" w:cs="Verdana" w:eastAsia="Verdana" w:hAnsi="Verdana"/>
                <w:sz w:val="18"/>
                <w:szCs w:val="18"/>
                <w:b w:val="1"/>
                <w:bCs w:val="1"/>
                <w:color w:val="auto"/>
              </w:rPr>
              <w:t>Risk participation agreements sold</w:t>
            </w: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Number of risk participation agreements</w:t>
            </w:r>
          </w:p>
        </w:tc>
        <w:tc>
          <w:tcPr>
            <w:tcW w:w="2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1</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Notional amount</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9"/>
              <w:spacing w:after="0"/>
              <w:rPr>
                <w:sz w:val="20"/>
                <w:szCs w:val="20"/>
                <w:color w:val="auto"/>
              </w:rPr>
            </w:pPr>
            <w:r>
              <w:rPr>
                <w:rFonts w:ascii="Verdana" w:cs="Verdana" w:eastAsia="Verdana" w:hAnsi="Verdana"/>
                <w:sz w:val="18"/>
                <w:szCs w:val="18"/>
                <w:color w:val="auto"/>
              </w:rPr>
              <w:t>20,001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20,001</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Fair value</w:t>
            </w:r>
          </w:p>
        </w:tc>
        <w:tc>
          <w:tcPr>
            <w:tcW w:w="280" w:type="dxa"/>
            <w:vAlign w:val="bottom"/>
            <w:shd w:val="clear" w:color="auto" w:fill="E0E7ED"/>
          </w:tcPr>
          <w:p>
            <w:pPr>
              <w:spacing w:after="0"/>
              <w:rPr>
                <w:sz w:val="24"/>
                <w:szCs w:val="24"/>
                <w:color w:val="auto"/>
              </w:rPr>
            </w:pPr>
          </w:p>
        </w:tc>
        <w:tc>
          <w:tcPr>
            <w:tcW w:w="13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Mortgage Banking Derivatives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Lock Commitments</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Interest rate lock commitments that meet the definition of derivative financial instruments under ASC Topic 815 </w:t>
      </w:r>
      <w:r>
        <w:rPr>
          <w:rFonts w:ascii="Verdana" w:cs="Verdana" w:eastAsia="Verdana" w:hAnsi="Verdana"/>
          <w:sz w:val="18"/>
          <w:szCs w:val="18"/>
          <w:i w:val="1"/>
          <w:iCs w:val="1"/>
          <w:color w:val="auto"/>
        </w:rPr>
        <w:t xml:space="preserve">“Derivatives and Hedging” </w:t>
      </w:r>
      <w:r>
        <w:rPr>
          <w:rFonts w:ascii="Verdana" w:cs="Verdana" w:eastAsia="Verdana" w:hAnsi="Verdana"/>
          <w:sz w:val="18"/>
          <w:szCs w:val="18"/>
          <w:color w:val="auto"/>
        </w:rPr>
        <w:t>are carried at their fair values in other assets or other liabilities in the Consolidated Balance</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Sheets (Unaudited), with changes in the fair values of the corresponding derivative financial assets or liabilities recorded as either a charge or credit to current earnings during the period in which the changes occurred.</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Forward Sales Commitments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Busey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Verdana" w:cs="Verdana" w:eastAsia="Verdana" w:hAnsi="Verdana"/>
          <w:sz w:val="18"/>
          <w:szCs w:val="18"/>
          <w:i w:val="1"/>
          <w:iCs w:val="1"/>
          <w:color w:val="auto"/>
        </w:rPr>
        <w:t>“Derivatives and</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Hedging” </w:t>
      </w:r>
      <w:r>
        <w:rPr>
          <w:rFonts w:ascii="Verdana" w:cs="Verdana" w:eastAsia="Verdana" w:hAnsi="Verdana"/>
          <w:sz w:val="18"/>
          <w:szCs w:val="18"/>
          <w:color w:val="auto"/>
        </w:rPr>
        <w:t>are carried at their fair values in other assets or other liabilities in the Consolidated Balance Sheets (Unaudited).</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While such forward sales commitments generally served as an economic hedge to mortgage loans held for sale and interest rate lock commitments, Busey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0" w:name="page51"/>
    <w:bookmarkEnd w:id="50"/>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Amounts and fair values of mortgage banking derivatives included in the Consolidated Balance Sheets (Unaudited)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199"/>
              <w:spacing w:after="0"/>
              <w:rPr>
                <w:sz w:val="20"/>
                <w:szCs w:val="20"/>
                <w:color w:val="auto"/>
              </w:rPr>
            </w:pPr>
            <w:r>
              <w:rPr>
                <w:rFonts w:ascii="Verdana" w:cs="Verdana" w:eastAsia="Verdana" w:hAnsi="Verdana"/>
                <w:sz w:val="13"/>
                <w:szCs w:val="13"/>
                <w:b w:val="1"/>
                <w:bCs w:val="1"/>
                <w:color w:val="auto"/>
              </w:rPr>
              <w:t>As of March 31, 2024</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557"/>
              <w:spacing w:after="0"/>
              <w:rPr>
                <w:sz w:val="20"/>
                <w:szCs w:val="20"/>
                <w:color w:val="auto"/>
              </w:rPr>
            </w:pPr>
            <w:r>
              <w:rPr>
                <w:rFonts w:ascii="Verdana" w:cs="Verdana" w:eastAsia="Verdana" w:hAnsi="Verdana"/>
                <w:sz w:val="13"/>
                <w:szCs w:val="13"/>
                <w:b w:val="1"/>
                <w:bCs w:val="1"/>
                <w:color w:val="auto"/>
              </w:rPr>
              <w:t>As of December 31, 2023</w:t>
            </w: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1560" w:type="dxa"/>
            <w:vAlign w:val="bottom"/>
            <w:gridSpan w:val="2"/>
            <w:vMerge w:val="restart"/>
          </w:tcPr>
          <w:p>
            <w:pPr>
              <w:ind w:left="440"/>
              <w:spacing w:after="0"/>
              <w:rPr>
                <w:sz w:val="20"/>
                <w:szCs w:val="20"/>
                <w:color w:val="auto"/>
              </w:rPr>
            </w:pPr>
            <w:r>
              <w:rPr>
                <w:rFonts w:ascii="Verdana" w:cs="Verdana" w:eastAsia="Verdana" w:hAnsi="Verdana"/>
                <w:sz w:val="13"/>
                <w:szCs w:val="13"/>
                <w:b w:val="1"/>
                <w:bCs w:val="1"/>
                <w:color w:val="auto"/>
              </w:rPr>
              <w:t>Location</w:t>
            </w:r>
          </w:p>
        </w:tc>
        <w:tc>
          <w:tcPr>
            <w:tcW w:w="300" w:type="dxa"/>
            <w:vAlign w:val="bottom"/>
          </w:tcPr>
          <w:p>
            <w:pPr>
              <w:spacing w:after="0"/>
              <w:rPr>
                <w:sz w:val="10"/>
                <w:szCs w:val="10"/>
                <w:color w:val="auto"/>
              </w:rPr>
            </w:pPr>
          </w:p>
        </w:tc>
        <w:tc>
          <w:tcPr>
            <w:tcW w:w="128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Notional</w:t>
            </w:r>
          </w:p>
        </w:tc>
        <w:tc>
          <w:tcPr>
            <w:tcW w:w="1000" w:type="dxa"/>
            <w:vAlign w:val="bottom"/>
          </w:tcPr>
          <w:p>
            <w:pPr>
              <w:jc w:val="right"/>
              <w:ind w:right="39"/>
              <w:spacing w:after="0" w:line="122" w:lineRule="exact"/>
              <w:rPr>
                <w:sz w:val="20"/>
                <w:szCs w:val="20"/>
                <w:color w:val="auto"/>
              </w:rPr>
            </w:pPr>
            <w:r>
              <w:rPr>
                <w:rFonts w:ascii="Verdana" w:cs="Verdana" w:eastAsia="Verdana" w:hAnsi="Verdana"/>
                <w:sz w:val="13"/>
                <w:szCs w:val="13"/>
                <w:b w:val="1"/>
                <w:bCs w:val="1"/>
                <w:color w:val="auto"/>
              </w:rPr>
              <w:t>Fair</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Notional</w:t>
            </w:r>
          </w:p>
        </w:tc>
        <w:tc>
          <w:tcPr>
            <w:tcW w:w="340" w:type="dxa"/>
            <w:vAlign w:val="bottom"/>
          </w:tcPr>
          <w:p>
            <w:pPr>
              <w:spacing w:after="0"/>
              <w:rPr>
                <w:sz w:val="10"/>
                <w:szCs w:val="10"/>
                <w:color w:val="auto"/>
              </w:rPr>
            </w:pPr>
          </w:p>
        </w:tc>
        <w:tc>
          <w:tcPr>
            <w:tcW w:w="1140" w:type="dxa"/>
            <w:vAlign w:val="bottom"/>
          </w:tcPr>
          <w:p>
            <w:pPr>
              <w:jc w:val="right"/>
              <w:ind w:right="517"/>
              <w:spacing w:after="0" w:line="122" w:lineRule="exact"/>
              <w:rPr>
                <w:sz w:val="20"/>
                <w:szCs w:val="20"/>
                <w:color w:val="auto"/>
              </w:rPr>
            </w:pPr>
            <w:r>
              <w:rPr>
                <w:rFonts w:ascii="Verdana" w:cs="Verdana" w:eastAsia="Verdana" w:hAnsi="Verdana"/>
                <w:sz w:val="13"/>
                <w:szCs w:val="13"/>
                <w:b w:val="1"/>
                <w:bCs w:val="1"/>
                <w:color w:val="auto"/>
              </w:rPr>
              <w:t>Fair</w:t>
            </w: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1000" w:type="dxa"/>
            <w:vAlign w:val="bottom"/>
          </w:tcPr>
          <w:p>
            <w:pPr>
              <w:jc w:val="right"/>
              <w:spacing w:after="0"/>
              <w:rPr>
                <w:sz w:val="20"/>
                <w:szCs w:val="20"/>
                <w:color w:val="auto"/>
              </w:rPr>
            </w:pPr>
            <w:r>
              <w:rPr>
                <w:rFonts w:ascii="Verdana" w:cs="Verdana" w:eastAsia="Verdana" w:hAnsi="Verdana"/>
                <w:sz w:val="13"/>
                <w:szCs w:val="13"/>
                <w:b w:val="1"/>
                <w:bCs w:val="1"/>
                <w:color w:val="auto"/>
              </w:rPr>
              <w:t>Value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340" w:type="dxa"/>
            <w:vAlign w:val="bottom"/>
          </w:tcPr>
          <w:p>
            <w:pPr>
              <w:spacing w:after="0"/>
              <w:rPr>
                <w:sz w:val="14"/>
                <w:szCs w:val="14"/>
                <w:color w:val="auto"/>
              </w:rPr>
            </w:pPr>
          </w:p>
        </w:tc>
        <w:tc>
          <w:tcPr>
            <w:tcW w:w="1140" w:type="dxa"/>
            <w:vAlign w:val="bottom"/>
          </w:tcPr>
          <w:p>
            <w:pPr>
              <w:jc w:val="right"/>
              <w:ind w:right="457"/>
              <w:spacing w:after="0"/>
              <w:rPr>
                <w:sz w:val="20"/>
                <w:szCs w:val="20"/>
                <w:color w:val="auto"/>
              </w:rPr>
            </w:pPr>
            <w:r>
              <w:rPr>
                <w:rFonts w:ascii="Verdana" w:cs="Verdana" w:eastAsia="Verdana" w:hAnsi="Verdana"/>
                <w:sz w:val="13"/>
                <w:szCs w:val="13"/>
                <w:b w:val="1"/>
                <w:bCs w:val="1"/>
                <w:color w:val="auto"/>
              </w:rPr>
              <w:t>Value</w:t>
            </w:r>
          </w:p>
        </w:tc>
        <w:tc>
          <w:tcPr>
            <w:tcW w:w="0" w:type="dxa"/>
            <w:vAlign w:val="bottom"/>
          </w:tcPr>
          <w:p>
            <w:pPr>
              <w:spacing w:after="0"/>
              <w:rPr>
                <w:sz w:val="1"/>
                <w:szCs w:val="1"/>
                <w:color w:val="auto"/>
              </w:rPr>
            </w:pPr>
          </w:p>
        </w:tc>
      </w:tr>
      <w:tr>
        <w:trPr>
          <w:trHeight w:val="223"/>
        </w:trPr>
        <w:tc>
          <w:tcPr>
            <w:tcW w:w="34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Mortgage banking derivative</w:t>
            </w:r>
          </w:p>
        </w:tc>
        <w:tc>
          <w:tcPr>
            <w:tcW w:w="14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000" w:type="dxa"/>
            <w:vAlign w:val="bottom"/>
            <w:tcBorders>
              <w:top w:val="single" w:sz="8" w:color="auto"/>
            </w:tcBorders>
            <w:shd w:val="clear" w:color="auto" w:fill="E0E7ED"/>
          </w:tcPr>
          <w:p>
            <w:pPr>
              <w:spacing w:after="0"/>
              <w:rPr>
                <w:sz w:val="19"/>
                <w:szCs w:val="19"/>
                <w:color w:val="auto"/>
              </w:rPr>
            </w:pPr>
          </w:p>
        </w:tc>
        <w:tc>
          <w:tcPr>
            <w:tcW w:w="5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14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000" w:type="dxa"/>
            <w:vAlign w:val="bottom"/>
            <w:shd w:val="clear" w:color="auto" w:fill="E0E7ED"/>
          </w:tcPr>
          <w:p>
            <w:pPr>
              <w:spacing w:after="0"/>
              <w:rPr>
                <w:sz w:val="21"/>
                <w:szCs w:val="21"/>
                <w:color w:val="auto"/>
              </w:rPr>
            </w:pPr>
          </w:p>
        </w:tc>
        <w:tc>
          <w:tcPr>
            <w:tcW w:w="5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60" w:type="dxa"/>
            <w:vAlign w:val="bottom"/>
          </w:tcPr>
          <w:p>
            <w:pPr>
              <w:ind w:left="180"/>
              <w:spacing w:after="0"/>
              <w:rPr>
                <w:sz w:val="20"/>
                <w:szCs w:val="20"/>
                <w:color w:val="auto"/>
              </w:rPr>
            </w:pPr>
            <w:r>
              <w:rPr>
                <w:rFonts w:ascii="Verdana" w:cs="Verdana" w:eastAsia="Verdana" w:hAnsi="Verdana"/>
                <w:sz w:val="18"/>
                <w:szCs w:val="18"/>
                <w:color w:val="auto"/>
              </w:rPr>
              <w:t>Interest rate lock commitments</w:t>
            </w:r>
          </w:p>
        </w:tc>
        <w:tc>
          <w:tcPr>
            <w:tcW w:w="1560" w:type="dxa"/>
            <w:vAlign w:val="bottom"/>
            <w:gridSpan w:val="2"/>
          </w:tcPr>
          <w:p>
            <w:pPr>
              <w:ind w:left="20"/>
              <w:spacing w:after="0"/>
              <w:rPr>
                <w:sz w:val="20"/>
                <w:szCs w:val="20"/>
                <w:color w:val="auto"/>
              </w:rPr>
            </w:pPr>
            <w:r>
              <w:rPr>
                <w:rFonts w:ascii="Verdana" w:cs="Verdana" w:eastAsia="Verdana" w:hAnsi="Verdana"/>
                <w:sz w:val="18"/>
                <w:szCs w:val="18"/>
                <w:color w:val="auto"/>
              </w:rPr>
              <w:t>Other assets</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19"/>
              <w:spacing w:after="0"/>
              <w:rPr>
                <w:sz w:val="20"/>
                <w:szCs w:val="20"/>
                <w:color w:val="auto"/>
              </w:rPr>
            </w:pPr>
            <w:r>
              <w:rPr>
                <w:rFonts w:ascii="Verdana" w:cs="Verdana" w:eastAsia="Verdana" w:hAnsi="Verdana"/>
                <w:sz w:val="18"/>
                <w:szCs w:val="18"/>
                <w:color w:val="auto"/>
              </w:rPr>
              <w:t>9,123</w:t>
            </w:r>
          </w:p>
        </w:tc>
        <w:tc>
          <w:tcPr>
            <w:tcW w:w="80" w:type="dxa"/>
            <w:vAlign w:val="bottom"/>
          </w:tcPr>
          <w:p>
            <w:pPr>
              <w:spacing w:after="0"/>
              <w:rPr>
                <w:sz w:val="22"/>
                <w:szCs w:val="22"/>
                <w:color w:val="auto"/>
              </w:rPr>
            </w:pPr>
          </w:p>
        </w:tc>
        <w:tc>
          <w:tcPr>
            <w:tcW w:w="1000" w:type="dxa"/>
            <w:vAlign w:val="bottom"/>
          </w:tcPr>
          <w:p>
            <w:pPr>
              <w:jc w:val="right"/>
              <w:ind w:right="779"/>
              <w:spacing w:after="0"/>
              <w:rPr>
                <w:sz w:val="20"/>
                <w:szCs w:val="20"/>
                <w:color w:val="auto"/>
              </w:rPr>
            </w:pPr>
            <w:r>
              <w:rPr>
                <w:rFonts w:ascii="Verdana" w:cs="Verdana" w:eastAsia="Verdana" w:hAnsi="Verdana"/>
                <w:sz w:val="18"/>
                <w:szCs w:val="18"/>
                <w:color w:val="auto"/>
              </w:rPr>
              <w:t>$</w:t>
            </w:r>
          </w:p>
        </w:tc>
        <w:tc>
          <w:tcPr>
            <w:tcW w:w="500" w:type="dxa"/>
            <w:vAlign w:val="bottom"/>
          </w:tcPr>
          <w:p>
            <w:pPr>
              <w:jc w:val="right"/>
              <w:ind w:right="10"/>
              <w:spacing w:after="0"/>
              <w:rPr>
                <w:sz w:val="20"/>
                <w:szCs w:val="20"/>
                <w:color w:val="auto"/>
              </w:rPr>
            </w:pPr>
            <w:r>
              <w:rPr>
                <w:rFonts w:ascii="Verdana" w:cs="Verdana" w:eastAsia="Verdana" w:hAnsi="Verdana"/>
                <w:sz w:val="18"/>
                <w:szCs w:val="18"/>
                <w:color w:val="auto"/>
              </w:rPr>
              <w:t>133</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19"/>
              <w:spacing w:after="0"/>
              <w:rPr>
                <w:sz w:val="20"/>
                <w:szCs w:val="20"/>
                <w:color w:val="auto"/>
              </w:rPr>
            </w:pPr>
            <w:r>
              <w:rPr>
                <w:rFonts w:ascii="Verdana" w:cs="Verdana" w:eastAsia="Verdana" w:hAnsi="Verdana"/>
                <w:sz w:val="18"/>
                <w:szCs w:val="18"/>
                <w:color w:val="auto"/>
              </w:rPr>
              <w:t>3,477</w:t>
            </w:r>
          </w:p>
        </w:tc>
        <w:tc>
          <w:tcPr>
            <w:tcW w:w="8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25</w:t>
            </w:r>
          </w:p>
        </w:tc>
        <w:tc>
          <w:tcPr>
            <w:tcW w:w="0" w:type="dxa"/>
            <w:vAlign w:val="bottom"/>
          </w:tcPr>
          <w:p>
            <w:pPr>
              <w:spacing w:after="0"/>
              <w:rPr>
                <w:sz w:val="1"/>
                <w:szCs w:val="1"/>
                <w:color w:val="auto"/>
              </w:rPr>
            </w:pPr>
          </w:p>
        </w:tc>
      </w:tr>
      <w:tr>
        <w:trPr>
          <w:trHeight w:val="270"/>
        </w:trPr>
        <w:tc>
          <w:tcPr>
            <w:tcW w:w="34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Forward sales commitments</w:t>
            </w:r>
          </w:p>
        </w:tc>
        <w:tc>
          <w:tcPr>
            <w:tcW w:w="15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Other assets</w:t>
            </w: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2,772</w:t>
            </w:r>
          </w:p>
        </w:tc>
        <w:tc>
          <w:tcPr>
            <w:tcW w:w="80" w:type="dxa"/>
            <w:vAlign w:val="bottom"/>
            <w:shd w:val="clear" w:color="auto" w:fill="E0E7ED"/>
          </w:tcPr>
          <w:p>
            <w:pPr>
              <w:spacing w:after="0"/>
              <w:rPr>
                <w:sz w:val="23"/>
                <w:szCs w:val="23"/>
                <w:color w:val="auto"/>
              </w:rPr>
            </w:pPr>
          </w:p>
        </w:tc>
        <w:tc>
          <w:tcPr>
            <w:tcW w:w="1000" w:type="dxa"/>
            <w:vAlign w:val="bottom"/>
            <w:tcBorders>
              <w:bottom w:val="single" w:sz="8" w:color="auto"/>
            </w:tcBorders>
            <w:shd w:val="clear" w:color="auto" w:fill="E0E7ED"/>
          </w:tcPr>
          <w:p>
            <w:pPr>
              <w:spacing w:after="0"/>
              <w:rPr>
                <w:sz w:val="23"/>
                <w:szCs w:val="23"/>
                <w:color w:val="auto"/>
              </w:rPr>
            </w:pPr>
          </w:p>
        </w:tc>
        <w:tc>
          <w:tcPr>
            <w:tcW w:w="50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9</w:t>
            </w:r>
          </w:p>
        </w:tc>
        <w:tc>
          <w:tcPr>
            <w:tcW w:w="8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1,761</w:t>
            </w:r>
          </w:p>
        </w:tc>
        <w:tc>
          <w:tcPr>
            <w:tcW w:w="8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w:t>
            </w:r>
          </w:p>
        </w:tc>
        <w:tc>
          <w:tcPr>
            <w:tcW w:w="0" w:type="dxa"/>
            <w:vAlign w:val="bottom"/>
          </w:tcPr>
          <w:p>
            <w:pPr>
              <w:spacing w:after="0"/>
              <w:rPr>
                <w:sz w:val="1"/>
                <w:szCs w:val="1"/>
                <w:color w:val="auto"/>
              </w:rPr>
            </w:pPr>
          </w:p>
        </w:tc>
      </w:tr>
      <w:tr>
        <w:trPr>
          <w:trHeight w:val="270"/>
        </w:trPr>
        <w:tc>
          <w:tcPr>
            <w:tcW w:w="3460" w:type="dxa"/>
            <w:vAlign w:val="bottom"/>
          </w:tcPr>
          <w:p>
            <w:pPr>
              <w:ind w:left="20"/>
              <w:spacing w:after="0"/>
              <w:rPr>
                <w:sz w:val="20"/>
                <w:szCs w:val="20"/>
                <w:color w:val="auto"/>
              </w:rPr>
            </w:pPr>
            <w:r>
              <w:rPr>
                <w:rFonts w:ascii="Verdana" w:cs="Verdana" w:eastAsia="Verdana" w:hAnsi="Verdana"/>
                <w:sz w:val="18"/>
                <w:szCs w:val="18"/>
                <w:color w:val="auto"/>
              </w:rPr>
              <w:t>Mortgage banking derivative assets</w:t>
            </w: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11,895</w:t>
            </w:r>
          </w:p>
        </w:tc>
        <w:tc>
          <w:tcPr>
            <w:tcW w:w="80" w:type="dxa"/>
            <w:vAlign w:val="bottom"/>
          </w:tcPr>
          <w:p>
            <w:pPr>
              <w:spacing w:after="0"/>
              <w:rPr>
                <w:sz w:val="23"/>
                <w:szCs w:val="23"/>
                <w:color w:val="auto"/>
              </w:rPr>
            </w:pPr>
          </w:p>
        </w:tc>
        <w:tc>
          <w:tcPr>
            <w:tcW w:w="1000" w:type="dxa"/>
            <w:vAlign w:val="bottom"/>
            <w:tcBorders>
              <w:bottom w:val="single" w:sz="8" w:color="auto"/>
            </w:tcBorders>
          </w:tcPr>
          <w:p>
            <w:pPr>
              <w:jc w:val="right"/>
              <w:ind w:right="779"/>
              <w:spacing w:after="0"/>
              <w:rPr>
                <w:sz w:val="20"/>
                <w:szCs w:val="20"/>
                <w:color w:val="auto"/>
              </w:rPr>
            </w:pPr>
            <w:r>
              <w:rPr>
                <w:rFonts w:ascii="Verdana" w:cs="Verdana" w:eastAsia="Verdana" w:hAnsi="Verdana"/>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142</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5,238</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36</w:t>
            </w:r>
          </w:p>
        </w:tc>
        <w:tc>
          <w:tcPr>
            <w:tcW w:w="0" w:type="dxa"/>
            <w:vAlign w:val="bottom"/>
          </w:tcPr>
          <w:p>
            <w:pPr>
              <w:spacing w:after="0"/>
              <w:rPr>
                <w:sz w:val="1"/>
                <w:szCs w:val="1"/>
                <w:color w:val="auto"/>
              </w:rPr>
            </w:pPr>
          </w:p>
        </w:tc>
      </w:tr>
      <w:tr>
        <w:trPr>
          <w:trHeight w:val="20"/>
        </w:trPr>
        <w:tc>
          <w:tcPr>
            <w:tcW w:w="3460" w:type="dxa"/>
            <w:vAlign w:val="bottom"/>
            <w:tcBorders>
              <w:bottom w:val="single" w:sz="8" w:color="E0E7ED"/>
            </w:tcBorders>
          </w:tcPr>
          <w:p>
            <w:pPr>
              <w:spacing w:after="0" w:line="20" w:lineRule="exact"/>
              <w:rPr>
                <w:sz w:val="1"/>
                <w:szCs w:val="1"/>
                <w:color w:val="auto"/>
              </w:rPr>
            </w:pPr>
          </w:p>
        </w:tc>
        <w:tc>
          <w:tcPr>
            <w:tcW w:w="14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000" w:type="dxa"/>
            <w:vAlign w:val="bottom"/>
            <w:shd w:val="clear" w:color="auto" w:fill="E0E7ED"/>
          </w:tcPr>
          <w:p>
            <w:pPr>
              <w:spacing w:after="0"/>
              <w:rPr>
                <w:sz w:val="20"/>
                <w:szCs w:val="20"/>
                <w:color w:val="auto"/>
              </w:rPr>
            </w:pPr>
          </w:p>
        </w:tc>
        <w:tc>
          <w:tcPr>
            <w:tcW w:w="5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60" w:type="dxa"/>
            <w:vAlign w:val="bottom"/>
          </w:tcPr>
          <w:p>
            <w:pPr>
              <w:ind w:left="20"/>
              <w:spacing w:after="0"/>
              <w:rPr>
                <w:sz w:val="20"/>
                <w:szCs w:val="20"/>
                <w:color w:val="auto"/>
              </w:rPr>
            </w:pPr>
            <w:r>
              <w:rPr>
                <w:rFonts w:ascii="Verdana" w:cs="Verdana" w:eastAsia="Verdana" w:hAnsi="Verdana"/>
                <w:sz w:val="18"/>
                <w:szCs w:val="18"/>
                <w:b w:val="1"/>
                <w:bCs w:val="1"/>
                <w:color w:val="auto"/>
              </w:rPr>
              <w:t>Mortgage banking derivative</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60" w:type="dxa"/>
            <w:vAlign w:val="bottom"/>
          </w:tcPr>
          <w:p>
            <w:pPr>
              <w:ind w:left="20"/>
              <w:spacing w:after="0"/>
              <w:rPr>
                <w:sz w:val="20"/>
                <w:szCs w:val="20"/>
                <w:color w:val="auto"/>
              </w:rPr>
            </w:pPr>
            <w:r>
              <w:rPr>
                <w:rFonts w:ascii="Verdana" w:cs="Verdana" w:eastAsia="Verdana" w:hAnsi="Verdana"/>
                <w:sz w:val="18"/>
                <w:szCs w:val="18"/>
                <w:b w:val="1"/>
                <w:bCs w:val="1"/>
                <w:color w:val="auto"/>
              </w:rPr>
              <w:t>liabilities</w:t>
            </w: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4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rate lock commitments</w:t>
            </w:r>
          </w:p>
        </w:tc>
        <w:tc>
          <w:tcPr>
            <w:tcW w:w="15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Other liabilities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268</w:t>
            </w:r>
          </w:p>
        </w:tc>
        <w:tc>
          <w:tcPr>
            <w:tcW w:w="80" w:type="dxa"/>
            <w:vAlign w:val="bottom"/>
            <w:shd w:val="clear" w:color="auto" w:fill="E0E7ED"/>
          </w:tcPr>
          <w:p>
            <w:pPr>
              <w:spacing w:after="0"/>
              <w:rPr>
                <w:sz w:val="24"/>
                <w:szCs w:val="24"/>
                <w:color w:val="auto"/>
              </w:rPr>
            </w:pPr>
          </w:p>
        </w:tc>
        <w:tc>
          <w:tcPr>
            <w:tcW w:w="1000" w:type="dxa"/>
            <w:vAlign w:val="bottom"/>
            <w:shd w:val="clear" w:color="auto" w:fill="E0E7ED"/>
          </w:tcPr>
          <w:p>
            <w:pPr>
              <w:jc w:val="right"/>
              <w:ind w:right="779"/>
              <w:spacing w:after="0"/>
              <w:rPr>
                <w:sz w:val="20"/>
                <w:szCs w:val="20"/>
                <w:color w:val="auto"/>
              </w:rPr>
            </w:pPr>
            <w:r>
              <w:rPr>
                <w:rFonts w:ascii="Verdana" w:cs="Verdana" w:eastAsia="Verdana" w:hAnsi="Verdana"/>
                <w:sz w:val="18"/>
                <w:szCs w:val="18"/>
                <w:color w:val="auto"/>
              </w:rPr>
              <w:t>$</w:t>
            </w:r>
          </w:p>
        </w:tc>
        <w:tc>
          <w:tcPr>
            <w:tcW w:w="50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3</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1,615</w:t>
            </w:r>
          </w:p>
        </w:tc>
        <w:tc>
          <w:tcPr>
            <w:tcW w:w="80" w:type="dxa"/>
            <w:vAlign w:val="bottom"/>
            <w:shd w:val="clear" w:color="auto" w:fill="E0E7ED"/>
          </w:tcPr>
          <w:p>
            <w:pPr>
              <w:spacing w:after="0"/>
              <w:rPr>
                <w:sz w:val="24"/>
                <w:szCs w:val="24"/>
                <w:color w:val="auto"/>
              </w:rPr>
            </w:pP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Forward sales commitments</w:t>
            </w:r>
          </w:p>
        </w:tc>
        <w:tc>
          <w:tcPr>
            <w:tcW w:w="1560" w:type="dxa"/>
            <w:vAlign w:val="bottom"/>
            <w:tcBorders>
              <w:bottom w:val="single" w:sz="8" w:color="E0E7ED"/>
            </w:tcBorders>
            <w:gridSpan w:val="2"/>
          </w:tcPr>
          <w:p>
            <w:pPr>
              <w:ind w:left="20"/>
              <w:spacing w:after="0"/>
              <w:rPr>
                <w:sz w:val="20"/>
                <w:szCs w:val="20"/>
                <w:color w:val="auto"/>
              </w:rPr>
            </w:pPr>
            <w:r>
              <w:rPr>
                <w:rFonts w:ascii="Verdana" w:cs="Verdana" w:eastAsia="Verdana" w:hAnsi="Verdana"/>
                <w:sz w:val="18"/>
                <w:szCs w:val="18"/>
                <w:color w:val="auto"/>
              </w:rPr>
              <w:t>Other liabilities</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6,619</w:t>
            </w:r>
          </w:p>
        </w:tc>
        <w:tc>
          <w:tcPr>
            <w:tcW w:w="80" w:type="dxa"/>
            <w:vAlign w:val="bottom"/>
            <w:tcBorders>
              <w:bottom w:val="single" w:sz="8" w:color="E0E7ED"/>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51</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5,216</w:t>
            </w:r>
          </w:p>
        </w:tc>
        <w:tc>
          <w:tcPr>
            <w:tcW w:w="8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47</w:t>
            </w:r>
          </w:p>
        </w:tc>
        <w:tc>
          <w:tcPr>
            <w:tcW w:w="0" w:type="dxa"/>
            <w:vAlign w:val="bottom"/>
          </w:tcPr>
          <w:p>
            <w:pPr>
              <w:spacing w:after="0"/>
              <w:rPr>
                <w:sz w:val="1"/>
                <w:szCs w:val="1"/>
                <w:color w:val="auto"/>
              </w:rPr>
            </w:pPr>
          </w:p>
        </w:tc>
      </w:tr>
      <w:tr>
        <w:trPr>
          <w:trHeight w:val="224"/>
        </w:trPr>
        <w:tc>
          <w:tcPr>
            <w:tcW w:w="34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Mortgage banking derivative</w:t>
            </w:r>
          </w:p>
        </w:tc>
        <w:tc>
          <w:tcPr>
            <w:tcW w:w="148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00" w:type="dxa"/>
            <w:vAlign w:val="bottom"/>
            <w:vMerge w:val="restart"/>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vMerge w:val="restart"/>
            <w:shd w:val="clear" w:color="auto" w:fill="E0E7ED"/>
          </w:tcPr>
          <w:p>
            <w:pPr>
              <w:jc w:val="right"/>
              <w:ind w:right="19"/>
              <w:spacing w:after="0"/>
              <w:rPr>
                <w:sz w:val="20"/>
                <w:szCs w:val="20"/>
                <w:color w:val="auto"/>
              </w:rPr>
            </w:pPr>
            <w:r>
              <w:rPr>
                <w:rFonts w:ascii="Verdana" w:cs="Verdana" w:eastAsia="Verdana" w:hAnsi="Verdana"/>
                <w:sz w:val="18"/>
                <w:szCs w:val="18"/>
                <w:color w:val="auto"/>
              </w:rPr>
              <w:t>6,887</w:t>
            </w:r>
          </w:p>
        </w:tc>
        <w:tc>
          <w:tcPr>
            <w:tcW w:w="80" w:type="dxa"/>
            <w:vAlign w:val="bottom"/>
            <w:shd w:val="clear" w:color="auto" w:fill="E0E7ED"/>
          </w:tcPr>
          <w:p>
            <w:pPr>
              <w:spacing w:after="0"/>
              <w:rPr>
                <w:sz w:val="19"/>
                <w:szCs w:val="19"/>
                <w:color w:val="auto"/>
              </w:rPr>
            </w:pPr>
          </w:p>
        </w:tc>
        <w:tc>
          <w:tcPr>
            <w:tcW w:w="1000" w:type="dxa"/>
            <w:vAlign w:val="bottom"/>
            <w:vMerge w:val="restart"/>
            <w:shd w:val="clear" w:color="auto" w:fill="E0E7ED"/>
          </w:tcPr>
          <w:p>
            <w:pPr>
              <w:jc w:val="right"/>
              <w:ind w:right="779"/>
              <w:spacing w:after="0"/>
              <w:rPr>
                <w:sz w:val="20"/>
                <w:szCs w:val="20"/>
                <w:color w:val="auto"/>
              </w:rPr>
            </w:pPr>
            <w:r>
              <w:rPr>
                <w:rFonts w:ascii="Verdana" w:cs="Verdana" w:eastAsia="Verdana" w:hAnsi="Verdana"/>
                <w:sz w:val="18"/>
                <w:szCs w:val="18"/>
                <w:color w:val="auto"/>
              </w:rPr>
              <w:t>$</w:t>
            </w:r>
          </w:p>
        </w:tc>
        <w:tc>
          <w:tcPr>
            <w:tcW w:w="50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rPr>
              <w:t>54</w:t>
            </w:r>
          </w:p>
        </w:tc>
        <w:tc>
          <w:tcPr>
            <w:tcW w:w="80" w:type="dxa"/>
            <w:vAlign w:val="bottom"/>
            <w:shd w:val="clear" w:color="auto" w:fill="E0E7ED"/>
          </w:tcPr>
          <w:p>
            <w:pPr>
              <w:spacing w:after="0"/>
              <w:rPr>
                <w:sz w:val="19"/>
                <w:szCs w:val="19"/>
                <w:color w:val="auto"/>
              </w:rPr>
            </w:pPr>
          </w:p>
        </w:tc>
        <w:tc>
          <w:tcPr>
            <w:tcW w:w="300" w:type="dxa"/>
            <w:vAlign w:val="bottom"/>
            <w:vMerge w:val="restart"/>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vMerge w:val="restart"/>
            <w:shd w:val="clear" w:color="auto" w:fill="E0E7ED"/>
          </w:tcPr>
          <w:p>
            <w:pPr>
              <w:jc w:val="right"/>
              <w:ind w:right="19"/>
              <w:spacing w:after="0"/>
              <w:rPr>
                <w:sz w:val="20"/>
                <w:szCs w:val="20"/>
                <w:color w:val="auto"/>
              </w:rPr>
            </w:pPr>
            <w:r>
              <w:rPr>
                <w:rFonts w:ascii="Verdana" w:cs="Verdana" w:eastAsia="Verdana" w:hAnsi="Verdana"/>
                <w:sz w:val="18"/>
                <w:szCs w:val="18"/>
                <w:color w:val="auto"/>
              </w:rPr>
              <w:t>6,831</w:t>
            </w:r>
          </w:p>
        </w:tc>
        <w:tc>
          <w:tcPr>
            <w:tcW w:w="80" w:type="dxa"/>
            <w:vAlign w:val="bottom"/>
            <w:shd w:val="clear" w:color="auto" w:fill="E0E7ED"/>
          </w:tcPr>
          <w:p>
            <w:pPr>
              <w:spacing w:after="0"/>
              <w:rPr>
                <w:sz w:val="19"/>
                <w:szCs w:val="19"/>
                <w:color w:val="auto"/>
              </w:rPr>
            </w:pPr>
          </w:p>
        </w:tc>
        <w:tc>
          <w:tcPr>
            <w:tcW w:w="340" w:type="dxa"/>
            <w:vAlign w:val="bottom"/>
            <w:vMerge w:val="restart"/>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57</w:t>
            </w:r>
          </w:p>
        </w:tc>
        <w:tc>
          <w:tcPr>
            <w:tcW w:w="0" w:type="dxa"/>
            <w:vAlign w:val="bottom"/>
          </w:tcPr>
          <w:p>
            <w:pPr>
              <w:spacing w:after="0"/>
              <w:rPr>
                <w:sz w:val="1"/>
                <w:szCs w:val="1"/>
                <w:color w:val="auto"/>
              </w:rPr>
            </w:pPr>
          </w:p>
        </w:tc>
      </w:tr>
      <w:tr>
        <w:trPr>
          <w:trHeight w:val="241"/>
        </w:trPr>
        <w:tc>
          <w:tcPr>
            <w:tcW w:w="34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liabilities</w:t>
            </w:r>
          </w:p>
        </w:tc>
        <w:tc>
          <w:tcPr>
            <w:tcW w:w="1480" w:type="dxa"/>
            <w:vAlign w:val="bottom"/>
            <w:tcBorders>
              <w:bottom w:val="single" w:sz="8" w:color="E0E7ED"/>
            </w:tcBorders>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00" w:type="dxa"/>
            <w:vAlign w:val="bottom"/>
            <w:tcBorders>
              <w:bottom w:val="single" w:sz="8" w:color="auto"/>
            </w:tcBorders>
            <w:vMerge w:val="continue"/>
            <w:shd w:val="clear" w:color="auto" w:fill="E0E7ED"/>
          </w:tcPr>
          <w:p>
            <w:pPr>
              <w:spacing w:after="0"/>
              <w:rPr>
                <w:sz w:val="20"/>
                <w:szCs w:val="20"/>
                <w:color w:val="auto"/>
              </w:rPr>
            </w:pPr>
          </w:p>
        </w:tc>
        <w:tc>
          <w:tcPr>
            <w:tcW w:w="120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000" w:type="dxa"/>
            <w:vAlign w:val="bottom"/>
            <w:tcBorders>
              <w:bottom w:val="single" w:sz="8" w:color="auto"/>
            </w:tcBorders>
            <w:vMerge w:val="continue"/>
            <w:shd w:val="clear" w:color="auto" w:fill="E0E7ED"/>
          </w:tcPr>
          <w:p>
            <w:pPr>
              <w:spacing w:after="0"/>
              <w:rPr>
                <w:sz w:val="20"/>
                <w:szCs w:val="20"/>
                <w:color w:val="auto"/>
              </w:rPr>
            </w:pPr>
          </w:p>
        </w:tc>
        <w:tc>
          <w:tcPr>
            <w:tcW w:w="50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00" w:type="dxa"/>
            <w:vAlign w:val="bottom"/>
            <w:tcBorders>
              <w:bottom w:val="single" w:sz="8" w:color="auto"/>
            </w:tcBorders>
            <w:vMerge w:val="continue"/>
            <w:shd w:val="clear" w:color="auto" w:fill="E0E7ED"/>
          </w:tcPr>
          <w:p>
            <w:pPr>
              <w:spacing w:after="0"/>
              <w:rPr>
                <w:sz w:val="20"/>
                <w:szCs w:val="20"/>
                <w:color w:val="auto"/>
              </w:rPr>
            </w:pPr>
          </w:p>
        </w:tc>
        <w:tc>
          <w:tcPr>
            <w:tcW w:w="120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40" w:type="dxa"/>
            <w:vAlign w:val="bottom"/>
            <w:tcBorders>
              <w:bottom w:val="single" w:sz="8" w:color="auto"/>
            </w:tcBorders>
            <w:vMerge w:val="continue"/>
            <w:shd w:val="clear" w:color="auto" w:fill="E0E7ED"/>
          </w:tcPr>
          <w:p>
            <w:pPr>
              <w:spacing w:after="0"/>
              <w:rPr>
                <w:sz w:val="20"/>
                <w:szCs w:val="20"/>
                <w:color w:val="auto"/>
              </w:rPr>
            </w:pPr>
          </w:p>
        </w:tc>
        <w:tc>
          <w:tcPr>
            <w:tcW w:w="114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000" w:type="dxa"/>
            <w:vAlign w:val="bottom"/>
            <w:tcBorders>
              <w:top w:val="single" w:sz="8" w:color="E0E7ED"/>
              <w:bottom w:val="single" w:sz="8" w:color="auto"/>
            </w:tcBorders>
          </w:tcPr>
          <w:p>
            <w:pPr>
              <w:spacing w:after="0" w:line="20" w:lineRule="exact"/>
              <w:rPr>
                <w:sz w:val="1"/>
                <w:szCs w:val="1"/>
                <w:color w:val="auto"/>
              </w:rPr>
            </w:pPr>
          </w:p>
        </w:tc>
        <w:tc>
          <w:tcPr>
            <w:tcW w:w="5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Gains (losses) relating to these derivative instruments are summarized as follows for the periods presented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375"/>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6560" w:type="dxa"/>
            <w:vAlign w:val="bottom"/>
          </w:tcPr>
          <w:p>
            <w:pPr>
              <w:spacing w:after="0"/>
              <w:rPr>
                <w:sz w:val="14"/>
                <w:szCs w:val="14"/>
                <w:color w:val="auto"/>
              </w:rPr>
            </w:pPr>
          </w:p>
        </w:tc>
        <w:tc>
          <w:tcPr>
            <w:tcW w:w="1580" w:type="dxa"/>
            <w:vAlign w:val="bottom"/>
            <w:gridSpan w:val="2"/>
          </w:tcPr>
          <w:p>
            <w:pPr>
              <w:ind w:left="460"/>
              <w:spacing w:after="0"/>
              <w:rPr>
                <w:sz w:val="20"/>
                <w:szCs w:val="20"/>
                <w:color w:val="auto"/>
              </w:rPr>
            </w:pPr>
            <w:r>
              <w:rPr>
                <w:rFonts w:ascii="Verdana" w:cs="Verdana" w:eastAsia="Verdana" w:hAnsi="Verdana"/>
                <w:sz w:val="13"/>
                <w:szCs w:val="13"/>
                <w:b w:val="1"/>
                <w:bCs w:val="1"/>
                <w:color w:val="auto"/>
              </w:rPr>
              <w:t>Location</w:t>
            </w:r>
          </w:p>
        </w:tc>
        <w:tc>
          <w:tcPr>
            <w:tcW w:w="300" w:type="dxa"/>
            <w:vAlign w:val="bottom"/>
          </w:tcPr>
          <w:p>
            <w:pPr>
              <w:spacing w:after="0"/>
              <w:rPr>
                <w:sz w:val="14"/>
                <w:szCs w:val="14"/>
                <w:color w:val="auto"/>
              </w:rPr>
            </w:pPr>
          </w:p>
        </w:tc>
        <w:tc>
          <w:tcPr>
            <w:tcW w:w="1200" w:type="dxa"/>
            <w:vAlign w:val="bottom"/>
          </w:tcPr>
          <w:p>
            <w:pPr>
              <w:jc w:val="right"/>
              <w:ind w:right="47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9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65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Gains (losses)</w:t>
            </w:r>
          </w:p>
        </w:tc>
        <w:tc>
          <w:tcPr>
            <w:tcW w:w="15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140" w:type="dxa"/>
            <w:vAlign w:val="bottom"/>
            <w:tcBorders>
              <w:top w:val="single" w:sz="8" w:color="auto"/>
            </w:tcBorders>
            <w:shd w:val="clear" w:color="auto" w:fill="E0E7ED"/>
          </w:tcPr>
          <w:p>
            <w:pPr>
              <w:spacing w:after="0"/>
              <w:rPr>
                <w:sz w:val="22"/>
                <w:szCs w:val="22"/>
                <w:color w:val="auto"/>
              </w:rPr>
            </w:pPr>
          </w:p>
        </w:tc>
      </w:tr>
      <w:tr>
        <w:trPr>
          <w:trHeight w:val="238"/>
        </w:trPr>
        <w:tc>
          <w:tcPr>
            <w:tcW w:w="6560" w:type="dxa"/>
            <w:vAlign w:val="bottom"/>
          </w:tcPr>
          <w:p>
            <w:pPr>
              <w:ind w:left="180"/>
              <w:spacing w:after="0"/>
              <w:rPr>
                <w:sz w:val="20"/>
                <w:szCs w:val="20"/>
                <w:color w:val="auto"/>
              </w:rPr>
            </w:pPr>
            <w:r>
              <w:rPr>
                <w:rFonts w:ascii="Verdana" w:cs="Verdana" w:eastAsia="Verdana" w:hAnsi="Verdana"/>
                <w:sz w:val="18"/>
                <w:szCs w:val="18"/>
                <w:color w:val="auto"/>
              </w:rPr>
              <w:t>Interest rate lock commitments</w:t>
            </w:r>
          </w:p>
        </w:tc>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Mortgage</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2"/>
        </w:trPr>
        <w:tc>
          <w:tcPr>
            <w:tcW w:w="6560" w:type="dxa"/>
            <w:vAlign w:val="bottom"/>
          </w:tcPr>
          <w:p>
            <w:pPr>
              <w:spacing w:after="0"/>
              <w:rPr>
                <w:sz w:val="21"/>
                <w:szCs w:val="21"/>
                <w:color w:val="auto"/>
              </w:rPr>
            </w:pPr>
          </w:p>
        </w:tc>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revenue</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267</w:t>
            </w:r>
          </w:p>
        </w:tc>
        <w:tc>
          <w:tcPr>
            <w:tcW w:w="10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37</w:t>
            </w:r>
          </w:p>
        </w:tc>
      </w:tr>
      <w:tr>
        <w:trPr>
          <w:trHeight w:val="244"/>
        </w:trPr>
        <w:tc>
          <w:tcPr>
            <w:tcW w:w="6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Forward sales commitments</w:t>
            </w:r>
          </w:p>
        </w:tc>
        <w:tc>
          <w:tcPr>
            <w:tcW w:w="15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Mortgage</w:t>
            </w: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r>
      <w:tr>
        <w:trPr>
          <w:trHeight w:val="248"/>
        </w:trPr>
        <w:tc>
          <w:tcPr>
            <w:tcW w:w="6560" w:type="dxa"/>
            <w:vAlign w:val="bottom"/>
            <w:shd w:val="clear" w:color="auto" w:fill="E0E7ED"/>
          </w:tcPr>
          <w:p>
            <w:pPr>
              <w:spacing w:after="0"/>
              <w:rPr>
                <w:sz w:val="21"/>
                <w:szCs w:val="21"/>
                <w:color w:val="auto"/>
              </w:rPr>
            </w:pPr>
          </w:p>
        </w:tc>
        <w:tc>
          <w:tcPr>
            <w:tcW w:w="15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revenue</w:t>
            </w: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w:t>
            </w:r>
          </w:p>
        </w:tc>
      </w:tr>
      <w:tr>
        <w:trPr>
          <w:trHeight w:val="263"/>
        </w:trPr>
        <w:tc>
          <w:tcPr>
            <w:tcW w:w="6560" w:type="dxa"/>
            <w:vAlign w:val="bottom"/>
          </w:tcPr>
          <w:p>
            <w:pPr>
              <w:ind w:left="180"/>
              <w:spacing w:after="0"/>
              <w:rPr>
                <w:sz w:val="20"/>
                <w:szCs w:val="20"/>
                <w:color w:val="auto"/>
              </w:rPr>
            </w:pPr>
            <w:r>
              <w:rPr>
                <w:rFonts w:ascii="Verdana" w:cs="Verdana" w:eastAsia="Verdana" w:hAnsi="Verdana"/>
                <w:sz w:val="18"/>
                <w:szCs w:val="18"/>
                <w:color w:val="auto"/>
              </w:rPr>
              <w:t>Interest rate lock commitments</w:t>
            </w:r>
          </w:p>
        </w:tc>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Other expense</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277"/>
        </w:trPr>
        <w:tc>
          <w:tcPr>
            <w:tcW w:w="6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Forward sales commitments</w:t>
            </w:r>
          </w:p>
        </w:tc>
        <w:tc>
          <w:tcPr>
            <w:tcW w:w="15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Other expense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51</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12. FAIR VALUE MEASUREMENTS</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Verdana" w:cs="Verdana" w:eastAsia="Verdana" w:hAnsi="Verdana"/>
          <w:sz w:val="18"/>
          <w:szCs w:val="18"/>
          <w:i w:val="1"/>
          <w:iCs w:val="1"/>
          <w:color w:val="auto"/>
        </w:rPr>
        <w:t>“Fair Value Measurement”</w:t>
      </w:r>
      <w:r>
        <w:rPr>
          <w:rFonts w:ascii="Verdana" w:cs="Verdana" w:eastAsia="Verdana" w:hAnsi="Verdana"/>
          <w:sz w:val="18"/>
          <w:szCs w:val="18"/>
          <w:color w:val="auto"/>
        </w:rPr>
        <w:t xml:space="preserve">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1" w:lineRule="exact"/>
        <w:rPr>
          <w:sz w:val="20"/>
          <w:szCs w:val="20"/>
          <w:color w:val="auto"/>
        </w:rPr>
      </w:pPr>
    </w:p>
    <w:p>
      <w:pPr>
        <w:ind w:left="660" w:right="20" w:hanging="328"/>
        <w:spacing w:after="0" w:line="254" w:lineRule="auto"/>
        <w:tabs>
          <w:tab w:leader="none" w:pos="650" w:val="left"/>
        </w:tabs>
        <w:numPr>
          <w:ilvl w:val="0"/>
          <w:numId w:val="13"/>
        </w:numPr>
        <w:rPr>
          <w:rFonts w:ascii="Verdana" w:cs="Verdana" w:eastAsia="Verdana" w:hAnsi="Verdana"/>
          <w:sz w:val="18"/>
          <w:szCs w:val="18"/>
          <w:color w:val="auto"/>
        </w:rPr>
      </w:pPr>
      <w:r>
        <w:rPr>
          <w:rFonts w:ascii="Verdana" w:cs="Verdana" w:eastAsia="Verdana" w:hAnsi="Verdana"/>
          <w:sz w:val="18"/>
          <w:szCs w:val="18"/>
          <w:i w:val="1"/>
          <w:iCs w:val="1"/>
          <w:color w:val="auto"/>
        </w:rPr>
        <w:t>Level 1 Inputs</w:t>
      </w:r>
      <w:r>
        <w:rPr>
          <w:rFonts w:ascii="Verdana" w:cs="Verdana" w:eastAsia="Verdana" w:hAnsi="Verdana"/>
          <w:sz w:val="18"/>
          <w:szCs w:val="18"/>
          <w:color w:val="auto"/>
        </w:rPr>
        <w:t>—Unadjusted quoted prices in active markets for identical assets or liabilities that the Company has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the ability to access at the measurement date.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1" w:name="page52"/>
    <w:bookmarkEnd w:id="5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660" w:hanging="328"/>
        <w:spacing w:after="0" w:line="259" w:lineRule="auto"/>
        <w:tabs>
          <w:tab w:leader="none" w:pos="650" w:val="left"/>
        </w:tabs>
        <w:numPr>
          <w:ilvl w:val="0"/>
          <w:numId w:val="14"/>
        </w:numPr>
        <w:rPr>
          <w:rFonts w:ascii="Verdana" w:cs="Verdana" w:eastAsia="Verdana" w:hAnsi="Verdana"/>
          <w:sz w:val="17"/>
          <w:szCs w:val="17"/>
          <w:color w:val="auto"/>
        </w:rPr>
      </w:pPr>
      <w:r>
        <w:rPr>
          <w:rFonts w:ascii="Verdana" w:cs="Verdana" w:eastAsia="Verdana" w:hAnsi="Verdana"/>
          <w:sz w:val="17"/>
          <w:szCs w:val="17"/>
          <w:i w:val="1"/>
          <w:iCs w:val="1"/>
          <w:color w:val="auto"/>
        </w:rPr>
        <w:t>Level 2 Inputs</w:t>
      </w:r>
      <w:r>
        <w:rPr>
          <w:rFonts w:ascii="Verdana" w:cs="Verdana" w:eastAsia="Verdana" w:hAnsi="Verdana"/>
          <w:sz w:val="17"/>
          <w:szCs w:val="17"/>
          <w:color w:val="auto"/>
        </w:rPr>
        <w:t>—Inputs other than quoted prices included in Level 1 that are observable for the asset or liability,</w:t>
      </w:r>
      <w:r>
        <w:rPr>
          <w:rFonts w:ascii="Verdana" w:cs="Verdana" w:eastAsia="Verdana" w:hAnsi="Verdana"/>
          <w:sz w:val="17"/>
          <w:szCs w:val="17"/>
          <w:i w:val="1"/>
          <w:iCs w:val="1"/>
          <w:color w:val="auto"/>
        </w:rPr>
        <w:t xml:space="preserve"> </w:t>
      </w:r>
      <w:r>
        <w:rPr>
          <w:rFonts w:ascii="Verdana" w:cs="Verdana" w:eastAsia="Verdana" w:hAnsi="Verdana"/>
          <w:sz w:val="17"/>
          <w:szCs w:val="17"/>
          <w:color w:val="auto"/>
        </w:rPr>
        <w:t>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40" w:lineRule="exact"/>
        <w:rPr>
          <w:rFonts w:ascii="Verdana" w:cs="Verdana" w:eastAsia="Verdana" w:hAnsi="Verdana"/>
          <w:sz w:val="17"/>
          <w:szCs w:val="17"/>
          <w:color w:val="auto"/>
        </w:rPr>
      </w:pPr>
    </w:p>
    <w:p>
      <w:pPr>
        <w:ind w:left="660" w:hanging="328"/>
        <w:spacing w:after="0" w:line="254" w:lineRule="auto"/>
        <w:tabs>
          <w:tab w:leader="none" w:pos="650" w:val="left"/>
        </w:tabs>
        <w:numPr>
          <w:ilvl w:val="0"/>
          <w:numId w:val="14"/>
        </w:numPr>
        <w:rPr>
          <w:rFonts w:ascii="Verdana" w:cs="Verdana" w:eastAsia="Verdana" w:hAnsi="Verdana"/>
          <w:sz w:val="18"/>
          <w:szCs w:val="18"/>
          <w:color w:val="auto"/>
        </w:rPr>
      </w:pPr>
      <w:r>
        <w:rPr>
          <w:rFonts w:ascii="Verdana" w:cs="Verdana" w:eastAsia="Verdana" w:hAnsi="Verdana"/>
          <w:sz w:val="18"/>
          <w:szCs w:val="18"/>
          <w:i w:val="1"/>
          <w:iCs w:val="1"/>
          <w:color w:val="auto"/>
        </w:rPr>
        <w:t>Level 3 Inputs</w:t>
      </w:r>
      <w:r>
        <w:rPr>
          <w:rFonts w:ascii="Verdana" w:cs="Verdana" w:eastAsia="Verdana" w:hAnsi="Verdana"/>
          <w:sz w:val="18"/>
          <w:szCs w:val="18"/>
          <w:color w:val="auto"/>
        </w:rPr>
        <w:t>—Unobservable inputs for determining the fair values of assets or liabilities that reflect the Company’s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own assumptions about the assumptions that market participants would use in pricing the assets or liabilities.</w:t>
      </w:r>
    </w:p>
    <w:p>
      <w:pPr>
        <w:spacing w:after="0" w:line="18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Busey’s assets and liabilities that are carried at fair value.</w:t>
      </w:r>
    </w:p>
    <w:p>
      <w:pPr>
        <w:spacing w:after="0" w:line="16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Busey's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61" w:lineRule="exact"/>
        <w:rPr>
          <w:sz w:val="20"/>
          <w:szCs w:val="20"/>
          <w:color w:val="auto"/>
        </w:rPr>
      </w:pPr>
    </w:p>
    <w:p>
      <w:pPr>
        <w:ind w:right="2640"/>
        <w:spacing w:after="0" w:line="436" w:lineRule="auto"/>
        <w:rPr>
          <w:sz w:val="20"/>
          <w:szCs w:val="20"/>
          <w:color w:val="auto"/>
        </w:rPr>
      </w:pPr>
      <w:r>
        <w:rPr>
          <w:rFonts w:ascii="Verdana" w:cs="Verdana" w:eastAsia="Verdana" w:hAnsi="Verdana"/>
          <w:sz w:val="18"/>
          <w:szCs w:val="18"/>
          <w:b w:val="1"/>
          <w:bCs w:val="1"/>
          <w:i w:val="1"/>
          <w:iCs w:val="1"/>
          <w:color w:val="auto"/>
        </w:rPr>
        <w:t xml:space="preserve">Financial Assets and Financial Liabilities Measured at Fair Value on a Recurring Basis </w:t>
      </w:r>
      <w:r>
        <w:rPr>
          <w:rFonts w:ascii="Verdana" w:cs="Verdana" w:eastAsia="Verdana" w:hAnsi="Verdana"/>
          <w:sz w:val="18"/>
          <w:szCs w:val="18"/>
          <w:u w:val="single" w:color="auto"/>
          <w:color w:val="auto"/>
        </w:rPr>
        <w:t>Debt Securities Available for Sale</w:t>
      </w:r>
    </w:p>
    <w:p>
      <w:pPr>
        <w:spacing w:after="0" w:line="2"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Debt securities classified as available for sale are reported at fair value utilizing Level 2 inputs. Busey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to prepare evaluations, with a focus on observable market data such as benchmark curves, benchmarking of like securities, sector groupings, and matrix pricing.</w:t>
      </w:r>
    </w:p>
    <w:p>
      <w:pPr>
        <w:spacing w:after="0" w:line="15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5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2" w:name="page53"/>
    <w:bookmarkEnd w:id="5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Equity Securities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Equity securities are reported at fair value utilizing Level 1 or Level 2 inputs. Fair value measurements of mutual funds, when held, are determined using unadjusted quoted prices in active markets for identical assets at the measurement date and are classified as Level 1. Fair value measurements of stock utilize quoted prices for identical or similar assets in markets that are not active and are classified as Level 2.</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Derivative Assets and Derivative Liabilities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Busey’s derivative assets and derivative liabilities are reported at fair value utilizing Level 2 or Level 3 inputs. Fair values of derivative assets and liabilities are determined based on prices that are obtained from a third-party which uses observable market inputs and, with the exception of our risk participation agreements, are classified as Level 2. Due to the significance of unobservable inputs, derivative assets related to our risk participation agreements are classified as Level 3.</w:t>
      </w:r>
    </w:p>
    <w:p>
      <w:pPr>
        <w:spacing w:after="0" w:line="157"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 xml:space="preserve">The following tables summarize financial assets and financial liabilities measured at fair value on a recurring basis as of March 31, 2024, and December 31, 2023, segregated by the level of the valuation inputs within the fair value hierarchy utilized to measure fair value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ind w:left="480"/>
              <w:spacing w:after="0"/>
              <w:rPr>
                <w:sz w:val="20"/>
                <w:szCs w:val="20"/>
                <w:color w:val="auto"/>
              </w:rPr>
            </w:pPr>
            <w:r>
              <w:rPr>
                <w:rFonts w:ascii="Verdana" w:cs="Verdana" w:eastAsia="Verdana" w:hAnsi="Verdana"/>
                <w:sz w:val="13"/>
                <w:szCs w:val="13"/>
                <w:b w:val="1"/>
                <w:bCs w:val="1"/>
                <w:color w:val="auto"/>
              </w:rPr>
              <w:t>As of March 31, 2024</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22"/>
        </w:trPr>
        <w:tc>
          <w:tcPr>
            <w:tcW w:w="4980" w:type="dxa"/>
            <w:vAlign w:val="bottom"/>
          </w:tcPr>
          <w:p>
            <w:pPr>
              <w:spacing w:after="0"/>
              <w:rPr>
                <w:sz w:val="10"/>
                <w:szCs w:val="10"/>
                <w:color w:val="auto"/>
              </w:rPr>
            </w:pPr>
          </w:p>
        </w:tc>
        <w:tc>
          <w:tcPr>
            <w:tcW w:w="112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1</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Level 2</w:t>
            </w:r>
          </w:p>
        </w:tc>
        <w:tc>
          <w:tcPr>
            <w:tcW w:w="110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3</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495"/>
              <w:spacing w:after="0" w:line="122" w:lineRule="exact"/>
              <w:rPr>
                <w:sz w:val="20"/>
                <w:szCs w:val="20"/>
                <w:color w:val="auto"/>
              </w:rPr>
            </w:pPr>
            <w:r>
              <w:rPr>
                <w:rFonts w:ascii="Verdana" w:cs="Verdana" w:eastAsia="Verdana" w:hAnsi="Verdana"/>
                <w:sz w:val="13"/>
                <w:szCs w:val="13"/>
                <w:b w:val="1"/>
                <w:bCs w:val="1"/>
                <w:color w:val="auto"/>
              </w:rPr>
              <w:t>Total</w:t>
            </w:r>
          </w:p>
        </w:tc>
      </w:tr>
      <w:tr>
        <w:trPr>
          <w:trHeight w:val="170"/>
        </w:trPr>
        <w:tc>
          <w:tcPr>
            <w:tcW w:w="4980" w:type="dxa"/>
            <w:vAlign w:val="bottom"/>
          </w:tcPr>
          <w:p>
            <w:pPr>
              <w:spacing w:after="0"/>
              <w:rPr>
                <w:sz w:val="14"/>
                <w:szCs w:val="14"/>
                <w:color w:val="auto"/>
              </w:rPr>
            </w:pPr>
          </w:p>
        </w:tc>
        <w:tc>
          <w:tcPr>
            <w:tcW w:w="1120" w:type="dxa"/>
            <w:vAlign w:val="bottom"/>
          </w:tcPr>
          <w:p>
            <w:pPr>
              <w:ind w:left="520"/>
              <w:spacing w:after="0"/>
              <w:rPr>
                <w:sz w:val="20"/>
                <w:szCs w:val="20"/>
                <w:color w:val="auto"/>
              </w:rPr>
            </w:pPr>
            <w:r>
              <w:rPr>
                <w:rFonts w:ascii="Verdana" w:cs="Verdana" w:eastAsia="Verdana" w:hAnsi="Verdana"/>
                <w:sz w:val="13"/>
                <w:szCs w:val="13"/>
                <w:b w:val="1"/>
                <w:bCs w:val="1"/>
                <w:color w:val="auto"/>
              </w:rPr>
              <w:t>Inputs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Inputs</w:t>
            </w:r>
          </w:p>
        </w:tc>
        <w:tc>
          <w:tcPr>
            <w:tcW w:w="1100" w:type="dxa"/>
            <w:vAlign w:val="bottom"/>
          </w:tcPr>
          <w:p>
            <w:pPr>
              <w:ind w:left="520"/>
              <w:spacing w:after="0"/>
              <w:rPr>
                <w:sz w:val="20"/>
                <w:szCs w:val="20"/>
                <w:color w:val="auto"/>
              </w:rPr>
            </w:pPr>
            <w:r>
              <w:rPr>
                <w:rFonts w:ascii="Verdana" w:cs="Verdana" w:eastAsia="Verdana" w:hAnsi="Verdana"/>
                <w:sz w:val="13"/>
                <w:szCs w:val="13"/>
                <w:b w:val="1"/>
                <w:bCs w:val="1"/>
                <w:color w:val="auto"/>
              </w:rPr>
              <w:t>Inputs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15"/>
              <w:spacing w:after="0"/>
              <w:rPr>
                <w:sz w:val="20"/>
                <w:szCs w:val="20"/>
                <w:color w:val="auto"/>
              </w:rPr>
            </w:pPr>
            <w:r>
              <w:rPr>
                <w:rFonts w:ascii="Verdana" w:cs="Verdana" w:eastAsia="Verdana" w:hAnsi="Verdana"/>
                <w:sz w:val="13"/>
                <w:szCs w:val="13"/>
                <w:b w:val="1"/>
                <w:bCs w:val="1"/>
                <w:color w:val="auto"/>
              </w:rPr>
              <w:t>Fair Value</w:t>
            </w: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1120" w:type="dxa"/>
            <w:vAlign w:val="bottom"/>
            <w:tcBorders>
              <w:top w:val="single" w:sz="8" w:color="auto"/>
            </w:tcBorders>
            <w:shd w:val="clear" w:color="auto" w:fill="E0E7ED"/>
          </w:tcPr>
          <w:p>
            <w:pPr>
              <w:spacing w:after="0"/>
              <w:rPr>
                <w:sz w:val="22"/>
                <w:szCs w:val="22"/>
                <w:color w:val="auto"/>
              </w:rPr>
            </w:pPr>
          </w:p>
        </w:tc>
        <w:tc>
          <w:tcPr>
            <w:tcW w:w="3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100" w:type="dxa"/>
            <w:vAlign w:val="bottom"/>
            <w:tcBorders>
              <w:top w:val="single" w:sz="8" w:color="auto"/>
            </w:tcBorders>
            <w:shd w:val="clear" w:color="auto" w:fill="E0E7ED"/>
          </w:tcPr>
          <w:p>
            <w:pPr>
              <w:spacing w:after="0"/>
              <w:rPr>
                <w:sz w:val="22"/>
                <w:szCs w:val="22"/>
                <w:color w:val="auto"/>
              </w:rPr>
            </w:pPr>
          </w:p>
        </w:tc>
        <w:tc>
          <w:tcPr>
            <w:tcW w:w="3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1120" w:type="dxa"/>
            <w:vAlign w:val="bottom"/>
          </w:tcPr>
          <w:p>
            <w:pPr>
              <w:jc w:val="right"/>
              <w:ind w:right="904"/>
              <w:spacing w:after="0"/>
              <w:rPr>
                <w:sz w:val="20"/>
                <w:szCs w:val="20"/>
                <w:color w:val="auto"/>
              </w:rPr>
            </w:pPr>
            <w:r>
              <w:rPr>
                <w:rFonts w:ascii="Verdana" w:cs="Verdana" w:eastAsia="Verdana" w:hAnsi="Verdana"/>
                <w:sz w:val="18"/>
                <w:szCs w:val="18"/>
                <w:color w:val="auto"/>
              </w:rPr>
              <w:t>$</w:t>
            </w:r>
          </w:p>
        </w:tc>
        <w:tc>
          <w:tcPr>
            <w:tcW w:w="780" w:type="dxa"/>
            <w:vAlign w:val="bottom"/>
            <w:gridSpan w:val="3"/>
          </w:tcPr>
          <w:p>
            <w:pPr>
              <w:ind w:left="100"/>
              <w:spacing w:after="0"/>
              <w:rPr>
                <w:sz w:val="20"/>
                <w:szCs w:val="20"/>
                <w:color w:val="auto"/>
              </w:rPr>
            </w:pPr>
            <w:r>
              <w:rPr>
                <w:rFonts w:ascii="Verdana" w:cs="Verdana" w:eastAsia="Verdana" w:hAnsi="Verdana"/>
                <w:sz w:val="18"/>
                <w:szCs w:val="18"/>
                <w:color w:val="auto"/>
              </w:rPr>
              <w:t>—  $</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742</w:t>
            </w:r>
          </w:p>
        </w:tc>
        <w:tc>
          <w:tcPr>
            <w:tcW w:w="100" w:type="dxa"/>
            <w:vAlign w:val="bottom"/>
          </w:tcPr>
          <w:p>
            <w:pPr>
              <w:spacing w:after="0"/>
              <w:rPr>
                <w:sz w:val="22"/>
                <w:szCs w:val="22"/>
                <w:color w:val="auto"/>
              </w:rPr>
            </w:pPr>
          </w:p>
        </w:tc>
        <w:tc>
          <w:tcPr>
            <w:tcW w:w="1100" w:type="dxa"/>
            <w:vAlign w:val="bottom"/>
          </w:tcPr>
          <w:p>
            <w:pPr>
              <w:jc w:val="right"/>
              <w:ind w:right="888"/>
              <w:spacing w:after="0"/>
              <w:rPr>
                <w:sz w:val="20"/>
                <w:szCs w:val="20"/>
                <w:color w:val="auto"/>
              </w:rPr>
            </w:pPr>
            <w:r>
              <w:rPr>
                <w:rFonts w:ascii="Verdana" w:cs="Verdana" w:eastAsia="Verdana" w:hAnsi="Verdana"/>
                <w:sz w:val="18"/>
                <w:szCs w:val="18"/>
                <w:color w:val="auto"/>
              </w:rPr>
              <w:t>$</w:t>
            </w:r>
          </w:p>
        </w:tc>
        <w:tc>
          <w:tcPr>
            <w:tcW w:w="740" w:type="dxa"/>
            <w:vAlign w:val="bottom"/>
            <w:gridSpan w:val="3"/>
          </w:tcPr>
          <w:p>
            <w:pPr>
              <w:ind w:left="120"/>
              <w:spacing w:after="0"/>
              <w:rPr>
                <w:sz w:val="20"/>
                <w:szCs w:val="20"/>
                <w:color w:val="auto"/>
              </w:rPr>
            </w:pPr>
            <w:r>
              <w:rPr>
                <w:rFonts w:ascii="Verdana" w:cs="Verdana" w:eastAsia="Verdana" w:hAnsi="Verdana"/>
                <w:sz w:val="18"/>
                <w:szCs w:val="18"/>
                <w:color w:val="auto"/>
              </w:rPr>
              <w:t>—  $</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742</w:t>
            </w:r>
          </w:p>
        </w:tc>
      </w:tr>
      <w:tr>
        <w:trPr>
          <w:trHeight w:val="244"/>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 and</w:t>
            </w:r>
          </w:p>
        </w:tc>
        <w:tc>
          <w:tcPr>
            <w:tcW w:w="112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r>
      <w:tr>
        <w:trPr>
          <w:trHeight w:val="248"/>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agencies</w:t>
            </w:r>
          </w:p>
        </w:tc>
        <w:tc>
          <w:tcPr>
            <w:tcW w:w="1120" w:type="dxa"/>
            <w:vAlign w:val="bottom"/>
            <w:shd w:val="clear" w:color="auto" w:fill="E0E7ED"/>
          </w:tcPr>
          <w:p>
            <w:pPr>
              <w:spacing w:after="0"/>
              <w:rPr>
                <w:sz w:val="21"/>
                <w:szCs w:val="21"/>
                <w:color w:val="auto"/>
              </w:rPr>
            </w:pPr>
          </w:p>
        </w:tc>
        <w:tc>
          <w:tcPr>
            <w:tcW w:w="780" w:type="dxa"/>
            <w:vAlign w:val="bottom"/>
            <w:gridSpan w:val="3"/>
            <w:shd w:val="clear" w:color="auto" w:fill="E0E7ED"/>
          </w:tcPr>
          <w:p>
            <w:pPr>
              <w:ind w:left="10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5,743</w:t>
            </w:r>
          </w:p>
        </w:tc>
        <w:tc>
          <w:tcPr>
            <w:tcW w:w="10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740" w:type="dxa"/>
            <w:vAlign w:val="bottom"/>
            <w:gridSpan w:val="3"/>
            <w:shd w:val="clear" w:color="auto" w:fill="E0E7ED"/>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5,743</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 subdivisions</w:t>
            </w:r>
          </w:p>
        </w:tc>
        <w:tc>
          <w:tcPr>
            <w:tcW w:w="1120" w:type="dxa"/>
            <w:vAlign w:val="bottom"/>
          </w:tcPr>
          <w:p>
            <w:pPr>
              <w:spacing w:after="0"/>
              <w:rPr>
                <w:sz w:val="22"/>
                <w:szCs w:val="22"/>
                <w:color w:val="auto"/>
              </w:rPr>
            </w:pPr>
          </w:p>
        </w:tc>
        <w:tc>
          <w:tcPr>
            <w:tcW w:w="780" w:type="dxa"/>
            <w:vAlign w:val="bottom"/>
            <w:gridSpan w:val="3"/>
          </w:tcPr>
          <w:p>
            <w:pPr>
              <w:ind w:left="10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150,926</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40" w:type="dxa"/>
            <w:vAlign w:val="bottom"/>
            <w:gridSpan w:val="3"/>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150,926</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1120" w:type="dxa"/>
            <w:vAlign w:val="bottom"/>
            <w:shd w:val="clear" w:color="auto" w:fill="E0E7ED"/>
          </w:tcPr>
          <w:p>
            <w:pPr>
              <w:spacing w:after="0"/>
              <w:rPr>
                <w:sz w:val="24"/>
                <w:szCs w:val="24"/>
                <w:color w:val="auto"/>
              </w:rPr>
            </w:pPr>
          </w:p>
        </w:tc>
        <w:tc>
          <w:tcPr>
            <w:tcW w:w="780" w:type="dxa"/>
            <w:vAlign w:val="bottom"/>
            <w:gridSpan w:val="3"/>
            <w:shd w:val="clear" w:color="auto" w:fill="E0E7ED"/>
          </w:tcPr>
          <w:p>
            <w:pPr>
              <w:ind w:left="10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461,698</w:t>
            </w:r>
          </w:p>
        </w:tc>
        <w:tc>
          <w:tcPr>
            <w:tcW w:w="100" w:type="dxa"/>
            <w:vAlign w:val="bottom"/>
            <w:shd w:val="clear" w:color="auto" w:fill="E0E7ED"/>
          </w:tcPr>
          <w:p>
            <w:pPr>
              <w:spacing w:after="0"/>
              <w:rPr>
                <w:sz w:val="24"/>
                <w:szCs w:val="24"/>
                <w:color w:val="auto"/>
              </w:rPr>
            </w:pPr>
          </w:p>
        </w:tc>
        <w:tc>
          <w:tcPr>
            <w:tcW w:w="1100" w:type="dxa"/>
            <w:vAlign w:val="bottom"/>
            <w:shd w:val="clear" w:color="auto" w:fill="E0E7ED"/>
          </w:tcPr>
          <w:p>
            <w:pPr>
              <w:spacing w:after="0"/>
              <w:rPr>
                <w:sz w:val="24"/>
                <w:szCs w:val="24"/>
                <w:color w:val="auto"/>
              </w:rPr>
            </w:pPr>
          </w:p>
        </w:tc>
        <w:tc>
          <w:tcPr>
            <w:tcW w:w="740" w:type="dxa"/>
            <w:vAlign w:val="bottom"/>
            <w:gridSpan w:val="3"/>
            <w:shd w:val="clear" w:color="auto" w:fill="E0E7ED"/>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461,698</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1120" w:type="dxa"/>
            <w:vAlign w:val="bottom"/>
          </w:tcPr>
          <w:p>
            <w:pPr>
              <w:spacing w:after="0"/>
              <w:rPr>
                <w:sz w:val="22"/>
                <w:szCs w:val="22"/>
                <w:color w:val="auto"/>
              </w:rPr>
            </w:pPr>
          </w:p>
        </w:tc>
        <w:tc>
          <w:tcPr>
            <w:tcW w:w="780" w:type="dxa"/>
            <w:vAlign w:val="bottom"/>
            <w:gridSpan w:val="3"/>
          </w:tcPr>
          <w:p>
            <w:pPr>
              <w:ind w:left="10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92,563</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40" w:type="dxa"/>
            <w:vAlign w:val="bottom"/>
            <w:gridSpan w:val="3"/>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92,563</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1120" w:type="dxa"/>
            <w:vAlign w:val="bottom"/>
            <w:shd w:val="clear" w:color="auto" w:fill="E0E7ED"/>
          </w:tcPr>
          <w:p>
            <w:pPr>
              <w:spacing w:after="0"/>
              <w:rPr>
                <w:sz w:val="24"/>
                <w:szCs w:val="24"/>
                <w:color w:val="auto"/>
              </w:rPr>
            </w:pPr>
          </w:p>
        </w:tc>
        <w:tc>
          <w:tcPr>
            <w:tcW w:w="780" w:type="dxa"/>
            <w:vAlign w:val="bottom"/>
            <w:gridSpan w:val="3"/>
            <w:shd w:val="clear" w:color="auto" w:fill="E0E7ED"/>
          </w:tcPr>
          <w:p>
            <w:pPr>
              <w:ind w:left="10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1,021,733</w:t>
            </w:r>
          </w:p>
        </w:tc>
        <w:tc>
          <w:tcPr>
            <w:tcW w:w="100" w:type="dxa"/>
            <w:vAlign w:val="bottom"/>
            <w:shd w:val="clear" w:color="auto" w:fill="E0E7ED"/>
          </w:tcPr>
          <w:p>
            <w:pPr>
              <w:spacing w:after="0"/>
              <w:rPr>
                <w:sz w:val="24"/>
                <w:szCs w:val="24"/>
                <w:color w:val="auto"/>
              </w:rPr>
            </w:pPr>
          </w:p>
        </w:tc>
        <w:tc>
          <w:tcPr>
            <w:tcW w:w="1100" w:type="dxa"/>
            <w:vAlign w:val="bottom"/>
            <w:shd w:val="clear" w:color="auto" w:fill="E0E7ED"/>
          </w:tcPr>
          <w:p>
            <w:pPr>
              <w:spacing w:after="0"/>
              <w:rPr>
                <w:sz w:val="24"/>
                <w:szCs w:val="24"/>
                <w:color w:val="auto"/>
              </w:rPr>
            </w:pPr>
          </w:p>
        </w:tc>
        <w:tc>
          <w:tcPr>
            <w:tcW w:w="740" w:type="dxa"/>
            <w:vAlign w:val="bottom"/>
            <w:gridSpan w:val="3"/>
            <w:shd w:val="clear" w:color="auto" w:fill="E0E7ED"/>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1,021,733</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Corporate debt securities</w:t>
            </w:r>
          </w:p>
        </w:tc>
        <w:tc>
          <w:tcPr>
            <w:tcW w:w="1120" w:type="dxa"/>
            <w:vAlign w:val="bottom"/>
          </w:tcPr>
          <w:p>
            <w:pPr>
              <w:spacing w:after="0"/>
              <w:rPr>
                <w:sz w:val="22"/>
                <w:szCs w:val="22"/>
                <w:color w:val="auto"/>
              </w:rPr>
            </w:pPr>
          </w:p>
        </w:tc>
        <w:tc>
          <w:tcPr>
            <w:tcW w:w="780" w:type="dxa"/>
            <w:vAlign w:val="bottom"/>
            <w:gridSpan w:val="3"/>
          </w:tcPr>
          <w:p>
            <w:pPr>
              <w:ind w:left="10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164,667</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40" w:type="dxa"/>
            <w:vAlign w:val="bottom"/>
            <w:gridSpan w:val="3"/>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164,667</w:t>
            </w:r>
          </w:p>
        </w:tc>
      </w:tr>
      <w:tr>
        <w:trPr>
          <w:trHeight w:val="277"/>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Equity securities</w:t>
            </w:r>
          </w:p>
        </w:tc>
        <w:tc>
          <w:tcPr>
            <w:tcW w:w="1120" w:type="dxa"/>
            <w:vAlign w:val="bottom"/>
            <w:shd w:val="clear" w:color="auto" w:fill="E0E7ED"/>
          </w:tcPr>
          <w:p>
            <w:pPr>
              <w:spacing w:after="0"/>
              <w:rPr>
                <w:sz w:val="24"/>
                <w:szCs w:val="24"/>
                <w:color w:val="auto"/>
              </w:rPr>
            </w:pPr>
          </w:p>
        </w:tc>
        <w:tc>
          <w:tcPr>
            <w:tcW w:w="780" w:type="dxa"/>
            <w:vAlign w:val="bottom"/>
            <w:gridSpan w:val="3"/>
            <w:shd w:val="clear" w:color="auto" w:fill="E0E7ED"/>
          </w:tcPr>
          <w:p>
            <w:pPr>
              <w:ind w:left="10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9,790</w:t>
            </w:r>
          </w:p>
        </w:tc>
        <w:tc>
          <w:tcPr>
            <w:tcW w:w="100" w:type="dxa"/>
            <w:vAlign w:val="bottom"/>
            <w:shd w:val="clear" w:color="auto" w:fill="E0E7ED"/>
          </w:tcPr>
          <w:p>
            <w:pPr>
              <w:spacing w:after="0"/>
              <w:rPr>
                <w:sz w:val="24"/>
                <w:szCs w:val="24"/>
                <w:color w:val="auto"/>
              </w:rPr>
            </w:pPr>
          </w:p>
        </w:tc>
        <w:tc>
          <w:tcPr>
            <w:tcW w:w="1100" w:type="dxa"/>
            <w:vAlign w:val="bottom"/>
            <w:shd w:val="clear" w:color="auto" w:fill="E0E7ED"/>
          </w:tcPr>
          <w:p>
            <w:pPr>
              <w:spacing w:after="0"/>
              <w:rPr>
                <w:sz w:val="24"/>
                <w:szCs w:val="24"/>
                <w:color w:val="auto"/>
              </w:rPr>
            </w:pPr>
          </w:p>
        </w:tc>
        <w:tc>
          <w:tcPr>
            <w:tcW w:w="740" w:type="dxa"/>
            <w:vAlign w:val="bottom"/>
            <w:gridSpan w:val="3"/>
            <w:shd w:val="clear" w:color="auto" w:fill="E0E7ED"/>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9,790</w:t>
            </w:r>
          </w:p>
        </w:tc>
      </w:tr>
      <w:tr>
        <w:trPr>
          <w:trHeight w:val="263"/>
        </w:trPr>
        <w:tc>
          <w:tcPr>
            <w:tcW w:w="4980" w:type="dxa"/>
            <w:vAlign w:val="bottom"/>
          </w:tcPr>
          <w:p>
            <w:pPr>
              <w:ind w:left="20"/>
              <w:spacing w:after="0"/>
              <w:rPr>
                <w:sz w:val="20"/>
                <w:szCs w:val="20"/>
                <w:color w:val="auto"/>
              </w:rPr>
            </w:pPr>
            <w:r>
              <w:rPr>
                <w:rFonts w:ascii="Verdana" w:cs="Verdana" w:eastAsia="Verdana" w:hAnsi="Verdana"/>
                <w:sz w:val="18"/>
                <w:szCs w:val="18"/>
                <w:color w:val="auto"/>
              </w:rPr>
              <w:t>Derivative assets</w:t>
            </w:r>
          </w:p>
        </w:tc>
        <w:tc>
          <w:tcPr>
            <w:tcW w:w="1120" w:type="dxa"/>
            <w:vAlign w:val="bottom"/>
          </w:tcPr>
          <w:p>
            <w:pPr>
              <w:spacing w:after="0"/>
              <w:rPr>
                <w:sz w:val="22"/>
                <w:szCs w:val="22"/>
                <w:color w:val="auto"/>
              </w:rPr>
            </w:pPr>
          </w:p>
        </w:tc>
        <w:tc>
          <w:tcPr>
            <w:tcW w:w="780" w:type="dxa"/>
            <w:vAlign w:val="bottom"/>
            <w:gridSpan w:val="3"/>
          </w:tcPr>
          <w:p>
            <w:pPr>
              <w:ind w:left="10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35,740</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Verdana" w:cs="Verdana" w:eastAsia="Verdana" w:hAnsi="Verdana"/>
                <w:sz w:val="18"/>
                <w:szCs w:val="18"/>
                <w:color w:val="auto"/>
              </w:rPr>
              <w:t>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35,749</w:t>
            </w:r>
          </w:p>
        </w:tc>
      </w:tr>
      <w:tr>
        <w:trPr>
          <w:trHeight w:val="277"/>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Derivative liabilities</w:t>
            </w:r>
          </w:p>
        </w:tc>
        <w:tc>
          <w:tcPr>
            <w:tcW w:w="1120" w:type="dxa"/>
            <w:vAlign w:val="bottom"/>
            <w:shd w:val="clear" w:color="auto" w:fill="E0E7ED"/>
          </w:tcPr>
          <w:p>
            <w:pPr>
              <w:spacing w:after="0"/>
              <w:rPr>
                <w:sz w:val="24"/>
                <w:szCs w:val="24"/>
                <w:color w:val="auto"/>
              </w:rPr>
            </w:pPr>
          </w:p>
        </w:tc>
        <w:tc>
          <w:tcPr>
            <w:tcW w:w="780" w:type="dxa"/>
            <w:vAlign w:val="bottom"/>
            <w:gridSpan w:val="3"/>
            <w:shd w:val="clear" w:color="auto" w:fill="E0E7ED"/>
          </w:tcPr>
          <w:p>
            <w:pPr>
              <w:ind w:left="10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64,777</w:t>
            </w:r>
          </w:p>
        </w:tc>
        <w:tc>
          <w:tcPr>
            <w:tcW w:w="100" w:type="dxa"/>
            <w:vAlign w:val="bottom"/>
            <w:shd w:val="clear" w:color="auto" w:fill="E0E7ED"/>
          </w:tcPr>
          <w:p>
            <w:pPr>
              <w:spacing w:after="0"/>
              <w:rPr>
                <w:sz w:val="24"/>
                <w:szCs w:val="24"/>
                <w:color w:val="auto"/>
              </w:rPr>
            </w:pPr>
          </w:p>
        </w:tc>
        <w:tc>
          <w:tcPr>
            <w:tcW w:w="1100" w:type="dxa"/>
            <w:vAlign w:val="bottom"/>
            <w:shd w:val="clear" w:color="auto" w:fill="E0E7ED"/>
          </w:tcPr>
          <w:p>
            <w:pPr>
              <w:spacing w:after="0"/>
              <w:rPr>
                <w:sz w:val="24"/>
                <w:szCs w:val="24"/>
                <w:color w:val="auto"/>
              </w:rPr>
            </w:pPr>
          </w:p>
        </w:tc>
        <w:tc>
          <w:tcPr>
            <w:tcW w:w="740" w:type="dxa"/>
            <w:vAlign w:val="bottom"/>
            <w:gridSpan w:val="3"/>
            <w:shd w:val="clear" w:color="auto" w:fill="E0E7ED"/>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64,777</w:t>
            </w:r>
          </w:p>
        </w:tc>
      </w:tr>
      <w:tr>
        <w:trPr>
          <w:trHeight w:val="918"/>
        </w:trPr>
        <w:tc>
          <w:tcPr>
            <w:tcW w:w="4980" w:type="dxa"/>
            <w:vAlign w:val="bottom"/>
          </w:tcPr>
          <w:p>
            <w:pPr>
              <w:spacing w:after="0"/>
              <w:rPr>
                <w:sz w:val="24"/>
                <w:szCs w:val="24"/>
                <w:color w:val="auto"/>
              </w:rPr>
            </w:pPr>
          </w:p>
        </w:tc>
        <w:tc>
          <w:tcPr>
            <w:tcW w:w="1120" w:type="dxa"/>
            <w:vAlign w:val="bottom"/>
          </w:tcPr>
          <w:p>
            <w:pPr>
              <w:jc w:val="right"/>
              <w:ind w:right="284"/>
              <w:spacing w:after="0"/>
              <w:rPr>
                <w:sz w:val="20"/>
                <w:szCs w:val="20"/>
                <w:color w:val="auto"/>
              </w:rPr>
            </w:pPr>
            <w:r>
              <w:rPr>
                <w:rFonts w:ascii="Verdana" w:cs="Verdana" w:eastAsia="Verdana" w:hAnsi="Verdana"/>
                <w:sz w:val="18"/>
                <w:szCs w:val="18"/>
                <w:color w:val="auto"/>
              </w:rPr>
              <w:t>53</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7"/>
        </w:trPr>
        <w:tc>
          <w:tcPr>
            <w:tcW w:w="49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3" w:name="page54"/>
    <w:bookmarkEnd w:id="5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ind w:left="340"/>
              <w:spacing w:after="0"/>
              <w:rPr>
                <w:sz w:val="20"/>
                <w:szCs w:val="20"/>
                <w:color w:val="auto"/>
              </w:rPr>
            </w:pPr>
            <w:r>
              <w:rPr>
                <w:rFonts w:ascii="Verdana" w:cs="Verdana" w:eastAsia="Verdana" w:hAnsi="Verdana"/>
                <w:sz w:val="13"/>
                <w:szCs w:val="13"/>
                <w:b w:val="1"/>
                <w:bCs w:val="1"/>
                <w:color w:val="auto"/>
              </w:rPr>
              <w:t>As of December 31, 2023</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22"/>
        </w:trPr>
        <w:tc>
          <w:tcPr>
            <w:tcW w:w="4980" w:type="dxa"/>
            <w:vAlign w:val="bottom"/>
          </w:tcPr>
          <w:p>
            <w:pPr>
              <w:spacing w:after="0"/>
              <w:rPr>
                <w:sz w:val="10"/>
                <w:szCs w:val="10"/>
                <w:color w:val="auto"/>
              </w:rPr>
            </w:pPr>
          </w:p>
        </w:tc>
        <w:tc>
          <w:tcPr>
            <w:tcW w:w="104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w w:val="99"/>
              </w:rPr>
              <w:t>Level 1</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Level 2</w:t>
            </w:r>
          </w:p>
        </w:tc>
        <w:tc>
          <w:tcPr>
            <w:tcW w:w="108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3</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495"/>
              <w:spacing w:after="0" w:line="122" w:lineRule="exact"/>
              <w:rPr>
                <w:sz w:val="20"/>
                <w:szCs w:val="20"/>
                <w:color w:val="auto"/>
              </w:rPr>
            </w:pPr>
            <w:r>
              <w:rPr>
                <w:rFonts w:ascii="Verdana" w:cs="Verdana" w:eastAsia="Verdana" w:hAnsi="Verdana"/>
                <w:sz w:val="13"/>
                <w:szCs w:val="13"/>
                <w:b w:val="1"/>
                <w:bCs w:val="1"/>
                <w:color w:val="auto"/>
              </w:rPr>
              <w:t>Total</w:t>
            </w:r>
          </w:p>
        </w:tc>
      </w:tr>
      <w:tr>
        <w:trPr>
          <w:trHeight w:val="170"/>
        </w:trPr>
        <w:tc>
          <w:tcPr>
            <w:tcW w:w="4980" w:type="dxa"/>
            <w:vAlign w:val="bottom"/>
          </w:tcPr>
          <w:p>
            <w:pPr>
              <w:spacing w:after="0"/>
              <w:rPr>
                <w:sz w:val="14"/>
                <w:szCs w:val="14"/>
                <w:color w:val="auto"/>
              </w:rPr>
            </w:pPr>
          </w:p>
        </w:tc>
        <w:tc>
          <w:tcPr>
            <w:tcW w:w="1040" w:type="dxa"/>
            <w:vAlign w:val="bottom"/>
          </w:tcPr>
          <w:p>
            <w:pPr>
              <w:ind w:left="520"/>
              <w:spacing w:after="0"/>
              <w:rPr>
                <w:sz w:val="20"/>
                <w:szCs w:val="20"/>
                <w:color w:val="auto"/>
              </w:rPr>
            </w:pPr>
            <w:r>
              <w:rPr>
                <w:rFonts w:ascii="Verdana" w:cs="Verdana" w:eastAsia="Verdana" w:hAnsi="Verdana"/>
                <w:sz w:val="13"/>
                <w:szCs w:val="13"/>
                <w:b w:val="1"/>
                <w:bCs w:val="1"/>
                <w:color w:val="auto"/>
              </w:rPr>
              <w:t>Inputs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Inputs</w:t>
            </w:r>
          </w:p>
        </w:tc>
        <w:tc>
          <w:tcPr>
            <w:tcW w:w="1080" w:type="dxa"/>
            <w:vAlign w:val="bottom"/>
          </w:tcPr>
          <w:p>
            <w:pPr>
              <w:ind w:left="520"/>
              <w:spacing w:after="0"/>
              <w:rPr>
                <w:sz w:val="20"/>
                <w:szCs w:val="20"/>
                <w:color w:val="auto"/>
              </w:rPr>
            </w:pPr>
            <w:r>
              <w:rPr>
                <w:rFonts w:ascii="Verdana" w:cs="Verdana" w:eastAsia="Verdana" w:hAnsi="Verdana"/>
                <w:sz w:val="13"/>
                <w:szCs w:val="13"/>
                <w:b w:val="1"/>
                <w:bCs w:val="1"/>
                <w:color w:val="auto"/>
              </w:rPr>
              <w:t>Inputs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15"/>
              <w:spacing w:after="0"/>
              <w:rPr>
                <w:sz w:val="20"/>
                <w:szCs w:val="20"/>
                <w:color w:val="auto"/>
              </w:rPr>
            </w:pPr>
            <w:r>
              <w:rPr>
                <w:rFonts w:ascii="Verdana" w:cs="Verdana" w:eastAsia="Verdana" w:hAnsi="Verdana"/>
                <w:sz w:val="13"/>
                <w:szCs w:val="13"/>
                <w:b w:val="1"/>
                <w:bCs w:val="1"/>
                <w:color w:val="auto"/>
              </w:rPr>
              <w:t>Fair Value</w:t>
            </w: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1040" w:type="dxa"/>
            <w:vAlign w:val="bottom"/>
            <w:tcBorders>
              <w:top w:val="single" w:sz="8" w:color="auto"/>
            </w:tcBorders>
            <w:shd w:val="clear" w:color="auto" w:fill="E0E7ED"/>
          </w:tcPr>
          <w:p>
            <w:pPr>
              <w:spacing w:after="0"/>
              <w:rPr>
                <w:sz w:val="22"/>
                <w:szCs w:val="22"/>
                <w:color w:val="auto"/>
              </w:rPr>
            </w:pPr>
          </w:p>
        </w:tc>
        <w:tc>
          <w:tcPr>
            <w:tcW w:w="4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080" w:type="dxa"/>
            <w:vAlign w:val="bottom"/>
            <w:tcBorders>
              <w:top w:val="single" w:sz="8" w:color="auto"/>
            </w:tcBorders>
            <w:shd w:val="clear" w:color="auto" w:fill="E0E7ED"/>
          </w:tcPr>
          <w:p>
            <w:pPr>
              <w:spacing w:after="0"/>
              <w:rPr>
                <w:sz w:val="22"/>
                <w:szCs w:val="22"/>
                <w:color w:val="auto"/>
              </w:rPr>
            </w:pPr>
          </w:p>
        </w:tc>
        <w:tc>
          <w:tcPr>
            <w:tcW w:w="4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1040" w:type="dxa"/>
            <w:vAlign w:val="bottom"/>
          </w:tcPr>
          <w:p>
            <w:pPr>
              <w:jc w:val="right"/>
              <w:ind w:right="828"/>
              <w:spacing w:after="0"/>
              <w:rPr>
                <w:sz w:val="20"/>
                <w:szCs w:val="20"/>
                <w:color w:val="auto"/>
              </w:rPr>
            </w:pPr>
            <w:r>
              <w:rPr>
                <w:rFonts w:ascii="Verdana" w:cs="Verdana" w:eastAsia="Verdana" w:hAnsi="Verdana"/>
                <w:sz w:val="18"/>
                <w:szCs w:val="18"/>
                <w:color w:val="auto"/>
              </w:rPr>
              <w:t>$</w:t>
            </w:r>
          </w:p>
        </w:tc>
        <w:tc>
          <w:tcPr>
            <w:tcW w:w="860" w:type="dxa"/>
            <w:vAlign w:val="bottom"/>
            <w:gridSpan w:val="3"/>
          </w:tcPr>
          <w:p>
            <w:pPr>
              <w:ind w:left="180"/>
              <w:spacing w:after="0"/>
              <w:rPr>
                <w:sz w:val="20"/>
                <w:szCs w:val="20"/>
                <w:color w:val="auto"/>
              </w:rPr>
            </w:pPr>
            <w:r>
              <w:rPr>
                <w:rFonts w:ascii="Verdana" w:cs="Verdana" w:eastAsia="Verdana" w:hAnsi="Verdana"/>
                <w:sz w:val="18"/>
                <w:szCs w:val="18"/>
                <w:color w:val="auto"/>
              </w:rPr>
              <w:t>—  $</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15,946</w:t>
            </w:r>
          </w:p>
        </w:tc>
        <w:tc>
          <w:tcPr>
            <w:tcW w:w="100" w:type="dxa"/>
            <w:vAlign w:val="bottom"/>
          </w:tcPr>
          <w:p>
            <w:pPr>
              <w:spacing w:after="0"/>
              <w:rPr>
                <w:sz w:val="22"/>
                <w:szCs w:val="22"/>
                <w:color w:val="auto"/>
              </w:rPr>
            </w:pPr>
          </w:p>
        </w:tc>
        <w:tc>
          <w:tcPr>
            <w:tcW w:w="1080" w:type="dxa"/>
            <w:vAlign w:val="bottom"/>
          </w:tcPr>
          <w:p>
            <w:pPr>
              <w:jc w:val="right"/>
              <w:ind w:right="868"/>
              <w:spacing w:after="0"/>
              <w:rPr>
                <w:sz w:val="20"/>
                <w:szCs w:val="20"/>
                <w:color w:val="auto"/>
              </w:rPr>
            </w:pPr>
            <w:r>
              <w:rPr>
                <w:rFonts w:ascii="Verdana" w:cs="Verdana" w:eastAsia="Verdana" w:hAnsi="Verdana"/>
                <w:sz w:val="18"/>
                <w:szCs w:val="18"/>
                <w:color w:val="auto"/>
              </w:rPr>
              <w:t>$</w:t>
            </w:r>
          </w:p>
        </w:tc>
        <w:tc>
          <w:tcPr>
            <w:tcW w:w="760" w:type="dxa"/>
            <w:vAlign w:val="bottom"/>
            <w:gridSpan w:val="3"/>
          </w:tcPr>
          <w:p>
            <w:pPr>
              <w:ind w:left="140"/>
              <w:spacing w:after="0"/>
              <w:rPr>
                <w:sz w:val="20"/>
                <w:szCs w:val="20"/>
                <w:color w:val="auto"/>
              </w:rPr>
            </w:pPr>
            <w:r>
              <w:rPr>
                <w:rFonts w:ascii="Verdana" w:cs="Verdana" w:eastAsia="Verdana" w:hAnsi="Verdana"/>
                <w:sz w:val="18"/>
                <w:szCs w:val="18"/>
                <w:color w:val="auto"/>
              </w:rPr>
              <w:t>—  $</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15,946</w:t>
            </w:r>
          </w:p>
        </w:tc>
      </w:tr>
      <w:tr>
        <w:trPr>
          <w:trHeight w:val="244"/>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 and</w:t>
            </w:r>
          </w:p>
        </w:tc>
        <w:tc>
          <w:tcPr>
            <w:tcW w:w="1040" w:type="dxa"/>
            <w:vAlign w:val="bottom"/>
            <w:shd w:val="clear" w:color="auto" w:fill="E0E7ED"/>
          </w:tcPr>
          <w:p>
            <w:pPr>
              <w:spacing w:after="0"/>
              <w:rPr>
                <w:sz w:val="21"/>
                <w:szCs w:val="21"/>
                <w:color w:val="auto"/>
              </w:rPr>
            </w:pPr>
          </w:p>
        </w:tc>
        <w:tc>
          <w:tcPr>
            <w:tcW w:w="4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r>
      <w:tr>
        <w:trPr>
          <w:trHeight w:val="248"/>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agencies</w:t>
            </w:r>
          </w:p>
        </w:tc>
        <w:tc>
          <w:tcPr>
            <w:tcW w:w="1040" w:type="dxa"/>
            <w:vAlign w:val="bottom"/>
            <w:shd w:val="clear" w:color="auto" w:fill="E0E7ED"/>
          </w:tcPr>
          <w:p>
            <w:pPr>
              <w:spacing w:after="0"/>
              <w:rPr>
                <w:sz w:val="21"/>
                <w:szCs w:val="21"/>
                <w:color w:val="auto"/>
              </w:rPr>
            </w:pPr>
          </w:p>
        </w:tc>
        <w:tc>
          <w:tcPr>
            <w:tcW w:w="860" w:type="dxa"/>
            <w:vAlign w:val="bottom"/>
            <w:gridSpan w:val="3"/>
            <w:shd w:val="clear" w:color="auto" w:fill="E0E7ED"/>
          </w:tcPr>
          <w:p>
            <w:pPr>
              <w:jc w:val="right"/>
              <w:ind w:right="50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5,832</w:t>
            </w:r>
          </w:p>
        </w:tc>
        <w:tc>
          <w:tcPr>
            <w:tcW w:w="10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760" w:type="dxa"/>
            <w:vAlign w:val="bottom"/>
            <w:gridSpan w:val="3"/>
            <w:shd w:val="clear" w:color="auto" w:fill="E0E7ED"/>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5,832</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 subdivisions</w:t>
            </w:r>
          </w:p>
        </w:tc>
        <w:tc>
          <w:tcPr>
            <w:tcW w:w="1040" w:type="dxa"/>
            <w:vAlign w:val="bottom"/>
          </w:tcPr>
          <w:p>
            <w:pPr>
              <w:spacing w:after="0"/>
              <w:rPr>
                <w:sz w:val="22"/>
                <w:szCs w:val="22"/>
                <w:color w:val="auto"/>
              </w:rPr>
            </w:pPr>
          </w:p>
        </w:tc>
        <w:tc>
          <w:tcPr>
            <w:tcW w:w="860" w:type="dxa"/>
            <w:vAlign w:val="bottom"/>
            <w:gridSpan w:val="3"/>
          </w:tcPr>
          <w:p>
            <w:pPr>
              <w:jc w:val="right"/>
              <w:ind w:right="50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172,845</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gridSpan w:val="3"/>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172,845</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1040" w:type="dxa"/>
            <w:vAlign w:val="bottom"/>
            <w:shd w:val="clear" w:color="auto" w:fill="E0E7ED"/>
          </w:tcPr>
          <w:p>
            <w:pPr>
              <w:spacing w:after="0"/>
              <w:rPr>
                <w:sz w:val="24"/>
                <w:szCs w:val="24"/>
                <w:color w:val="auto"/>
              </w:rPr>
            </w:pPr>
          </w:p>
        </w:tc>
        <w:tc>
          <w:tcPr>
            <w:tcW w:w="860" w:type="dxa"/>
            <w:vAlign w:val="bottom"/>
            <w:gridSpan w:val="3"/>
            <w:shd w:val="clear" w:color="auto" w:fill="E0E7ED"/>
          </w:tcPr>
          <w:p>
            <w:pPr>
              <w:jc w:val="right"/>
              <w:ind w:right="50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468,223</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760" w:type="dxa"/>
            <w:vAlign w:val="bottom"/>
            <w:gridSpan w:val="3"/>
            <w:shd w:val="clear" w:color="auto" w:fill="E0E7ED"/>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468,223</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1040" w:type="dxa"/>
            <w:vAlign w:val="bottom"/>
          </w:tcPr>
          <w:p>
            <w:pPr>
              <w:spacing w:after="0"/>
              <w:rPr>
                <w:sz w:val="22"/>
                <w:szCs w:val="22"/>
                <w:color w:val="auto"/>
              </w:rPr>
            </w:pPr>
          </w:p>
        </w:tc>
        <w:tc>
          <w:tcPr>
            <w:tcW w:w="860" w:type="dxa"/>
            <w:vAlign w:val="bottom"/>
            <w:gridSpan w:val="3"/>
          </w:tcPr>
          <w:p>
            <w:pPr>
              <w:jc w:val="right"/>
              <w:ind w:right="50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103,509</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gridSpan w:val="3"/>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103,509</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1040" w:type="dxa"/>
            <w:vAlign w:val="bottom"/>
            <w:shd w:val="clear" w:color="auto" w:fill="E0E7ED"/>
          </w:tcPr>
          <w:p>
            <w:pPr>
              <w:spacing w:after="0"/>
              <w:rPr>
                <w:sz w:val="24"/>
                <w:szCs w:val="24"/>
                <w:color w:val="auto"/>
              </w:rPr>
            </w:pPr>
          </w:p>
        </w:tc>
        <w:tc>
          <w:tcPr>
            <w:tcW w:w="860" w:type="dxa"/>
            <w:vAlign w:val="bottom"/>
            <w:gridSpan w:val="3"/>
            <w:shd w:val="clear" w:color="auto" w:fill="E0E7ED"/>
          </w:tcPr>
          <w:p>
            <w:pPr>
              <w:jc w:val="right"/>
              <w:ind w:right="50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1,111,312</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760" w:type="dxa"/>
            <w:vAlign w:val="bottom"/>
            <w:gridSpan w:val="3"/>
            <w:shd w:val="clear" w:color="auto" w:fill="E0E7ED"/>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1,111,312</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Corporate debt securities</w:t>
            </w:r>
          </w:p>
        </w:tc>
        <w:tc>
          <w:tcPr>
            <w:tcW w:w="1040" w:type="dxa"/>
            <w:vAlign w:val="bottom"/>
          </w:tcPr>
          <w:p>
            <w:pPr>
              <w:spacing w:after="0"/>
              <w:rPr>
                <w:sz w:val="22"/>
                <w:szCs w:val="22"/>
                <w:color w:val="auto"/>
              </w:rPr>
            </w:pPr>
          </w:p>
        </w:tc>
        <w:tc>
          <w:tcPr>
            <w:tcW w:w="860" w:type="dxa"/>
            <w:vAlign w:val="bottom"/>
            <w:gridSpan w:val="3"/>
          </w:tcPr>
          <w:p>
            <w:pPr>
              <w:jc w:val="right"/>
              <w:ind w:right="50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209,904</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gridSpan w:val="3"/>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209,904</w:t>
            </w:r>
          </w:p>
        </w:tc>
      </w:tr>
      <w:tr>
        <w:trPr>
          <w:trHeight w:val="277"/>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Equity securities</w:t>
            </w:r>
          </w:p>
        </w:tc>
        <w:tc>
          <w:tcPr>
            <w:tcW w:w="1040" w:type="dxa"/>
            <w:vAlign w:val="bottom"/>
            <w:shd w:val="clear" w:color="auto" w:fill="E0E7ED"/>
          </w:tcPr>
          <w:p>
            <w:pPr>
              <w:spacing w:after="0"/>
              <w:rPr>
                <w:sz w:val="24"/>
                <w:szCs w:val="24"/>
                <w:color w:val="auto"/>
              </w:rPr>
            </w:pPr>
          </w:p>
        </w:tc>
        <w:tc>
          <w:tcPr>
            <w:tcW w:w="46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98"/>
              </w:rPr>
              <w:t>448</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9,364</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760" w:type="dxa"/>
            <w:vAlign w:val="bottom"/>
            <w:gridSpan w:val="3"/>
            <w:shd w:val="clear" w:color="auto" w:fill="E0E7ED"/>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9,812</w:t>
            </w:r>
          </w:p>
        </w:tc>
      </w:tr>
      <w:tr>
        <w:trPr>
          <w:trHeight w:val="263"/>
        </w:trPr>
        <w:tc>
          <w:tcPr>
            <w:tcW w:w="4980" w:type="dxa"/>
            <w:vAlign w:val="bottom"/>
          </w:tcPr>
          <w:p>
            <w:pPr>
              <w:ind w:left="20"/>
              <w:spacing w:after="0"/>
              <w:rPr>
                <w:sz w:val="20"/>
                <w:szCs w:val="20"/>
                <w:color w:val="auto"/>
              </w:rPr>
            </w:pPr>
            <w:r>
              <w:rPr>
                <w:rFonts w:ascii="Verdana" w:cs="Verdana" w:eastAsia="Verdana" w:hAnsi="Verdana"/>
                <w:sz w:val="18"/>
                <w:szCs w:val="18"/>
                <w:color w:val="auto"/>
              </w:rPr>
              <w:t>Derivative assets</w:t>
            </w:r>
          </w:p>
        </w:tc>
        <w:tc>
          <w:tcPr>
            <w:tcW w:w="1040" w:type="dxa"/>
            <w:vAlign w:val="bottom"/>
          </w:tcPr>
          <w:p>
            <w:pPr>
              <w:spacing w:after="0"/>
              <w:rPr>
                <w:sz w:val="22"/>
                <w:szCs w:val="22"/>
                <w:color w:val="auto"/>
              </w:rPr>
            </w:pPr>
          </w:p>
        </w:tc>
        <w:tc>
          <w:tcPr>
            <w:tcW w:w="860" w:type="dxa"/>
            <w:vAlign w:val="bottom"/>
            <w:gridSpan w:val="3"/>
          </w:tcPr>
          <w:p>
            <w:pPr>
              <w:jc w:val="right"/>
              <w:ind w:right="50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29,993</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Verdana" w:cs="Verdana" w:eastAsia="Verdana" w:hAnsi="Verdana"/>
                <w:sz w:val="18"/>
                <w:szCs w:val="18"/>
                <w:color w:val="auto"/>
              </w:rPr>
              <w:t>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30,008</w:t>
            </w:r>
          </w:p>
        </w:tc>
      </w:tr>
      <w:tr>
        <w:trPr>
          <w:trHeight w:val="277"/>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Derivative liabilities</w:t>
            </w:r>
          </w:p>
        </w:tc>
        <w:tc>
          <w:tcPr>
            <w:tcW w:w="1040" w:type="dxa"/>
            <w:vAlign w:val="bottom"/>
            <w:shd w:val="clear" w:color="auto" w:fill="E0E7ED"/>
          </w:tcPr>
          <w:p>
            <w:pPr>
              <w:spacing w:after="0"/>
              <w:rPr>
                <w:sz w:val="24"/>
                <w:szCs w:val="24"/>
                <w:color w:val="auto"/>
              </w:rPr>
            </w:pPr>
          </w:p>
        </w:tc>
        <w:tc>
          <w:tcPr>
            <w:tcW w:w="860" w:type="dxa"/>
            <w:vAlign w:val="bottom"/>
            <w:gridSpan w:val="3"/>
            <w:shd w:val="clear" w:color="auto" w:fill="E0E7ED"/>
          </w:tcPr>
          <w:p>
            <w:pPr>
              <w:jc w:val="right"/>
              <w:ind w:right="50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54,132</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760" w:type="dxa"/>
            <w:vAlign w:val="bottom"/>
            <w:gridSpan w:val="3"/>
            <w:shd w:val="clear" w:color="auto" w:fill="E0E7ED"/>
          </w:tcPr>
          <w:p>
            <w:pPr>
              <w:jc w:val="right"/>
              <w:ind w:right="44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54,132</w:t>
            </w: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Assets and Liabilities Measured at Fair Value on a Nonrecurring Basis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Loans Evaluated Individually</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does not record portfolio loans at fair value on a recurring basis. However, 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Bank Property Held for Sale</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Bank property held for sale represents certain banking center office buildings which Busey has closed and consolidated with other existing banking centers. Bank property held for sale is measured at the lower of amortized cost or fair value less estimated costs to sell. Fair values were based upon discounted appraisals or real estate listing prices. Due to the significance of unobservable inputs, fair values of all bank property held for sale have been classified as Level 3.</w:t>
      </w:r>
    </w:p>
    <w:p>
      <w:pPr>
        <w:spacing w:after="0" w:line="17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The following tables summarize assets and liabilities measured at fair value on a non-recurring basis for the periods presented, segregated by the level of the valuation inputs within the fair value hierarchy utilized to measure fair value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ind w:left="800"/>
              <w:spacing w:after="0"/>
              <w:rPr>
                <w:sz w:val="20"/>
                <w:szCs w:val="20"/>
                <w:color w:val="auto"/>
              </w:rPr>
            </w:pPr>
            <w:r>
              <w:rPr>
                <w:rFonts w:ascii="Verdana" w:cs="Verdana" w:eastAsia="Verdana" w:hAnsi="Verdana"/>
                <w:sz w:val="13"/>
                <w:szCs w:val="13"/>
                <w:b w:val="1"/>
                <w:bCs w:val="1"/>
                <w:color w:val="auto"/>
              </w:rPr>
              <w:t>As of March 31, 2024</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21"/>
        </w:trPr>
        <w:tc>
          <w:tcPr>
            <w:tcW w:w="4980" w:type="dxa"/>
            <w:vAlign w:val="bottom"/>
          </w:tcPr>
          <w:p>
            <w:pPr>
              <w:spacing w:after="0"/>
              <w:rPr>
                <w:sz w:val="10"/>
                <w:szCs w:val="10"/>
                <w:color w:val="auto"/>
              </w:rPr>
            </w:pPr>
          </w:p>
        </w:tc>
        <w:tc>
          <w:tcPr>
            <w:tcW w:w="112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1</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2</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Level 3</w:t>
            </w:r>
          </w:p>
        </w:tc>
        <w:tc>
          <w:tcPr>
            <w:tcW w:w="260" w:type="dxa"/>
            <w:vAlign w:val="bottom"/>
          </w:tcPr>
          <w:p>
            <w:pPr>
              <w:spacing w:after="0"/>
              <w:rPr>
                <w:sz w:val="10"/>
                <w:szCs w:val="10"/>
                <w:color w:val="auto"/>
              </w:rPr>
            </w:pPr>
          </w:p>
        </w:tc>
        <w:tc>
          <w:tcPr>
            <w:tcW w:w="1240" w:type="dxa"/>
            <w:vAlign w:val="bottom"/>
          </w:tcPr>
          <w:p>
            <w:pPr>
              <w:jc w:val="right"/>
              <w:ind w:right="504"/>
              <w:spacing w:after="0" w:line="122" w:lineRule="exact"/>
              <w:rPr>
                <w:sz w:val="20"/>
                <w:szCs w:val="20"/>
                <w:color w:val="auto"/>
              </w:rPr>
            </w:pPr>
            <w:r>
              <w:rPr>
                <w:rFonts w:ascii="Verdana" w:cs="Verdana" w:eastAsia="Verdana" w:hAnsi="Verdana"/>
                <w:sz w:val="13"/>
                <w:szCs w:val="13"/>
                <w:b w:val="1"/>
                <w:bCs w:val="1"/>
                <w:color w:val="auto"/>
              </w:rPr>
              <w:t>Total</w:t>
            </w:r>
          </w:p>
        </w:tc>
      </w:tr>
      <w:tr>
        <w:trPr>
          <w:trHeight w:val="170"/>
        </w:trPr>
        <w:tc>
          <w:tcPr>
            <w:tcW w:w="4980" w:type="dxa"/>
            <w:vAlign w:val="bottom"/>
            <w:tcBorders>
              <w:bottom w:val="single" w:sz="8" w:color="E0E7ED"/>
            </w:tcBorders>
          </w:tcPr>
          <w:p>
            <w:pPr>
              <w:spacing w:after="0"/>
              <w:rPr>
                <w:sz w:val="14"/>
                <w:szCs w:val="14"/>
                <w:color w:val="auto"/>
              </w:rPr>
            </w:pPr>
          </w:p>
        </w:tc>
        <w:tc>
          <w:tcPr>
            <w:tcW w:w="1120" w:type="dxa"/>
            <w:vAlign w:val="bottom"/>
            <w:tcBorders>
              <w:bottom w:val="single" w:sz="8" w:color="auto"/>
            </w:tcBorders>
          </w:tcPr>
          <w:p>
            <w:pPr>
              <w:ind w:left="520"/>
              <w:spacing w:after="0"/>
              <w:rPr>
                <w:sz w:val="20"/>
                <w:szCs w:val="20"/>
                <w:color w:val="auto"/>
              </w:rPr>
            </w:pPr>
            <w:r>
              <w:rPr>
                <w:rFonts w:ascii="Verdana" w:cs="Verdana" w:eastAsia="Verdana" w:hAnsi="Verdana"/>
                <w:sz w:val="13"/>
                <w:szCs w:val="13"/>
                <w:b w:val="1"/>
                <w:bCs w:val="1"/>
                <w:color w:val="auto"/>
              </w:rPr>
              <w:t>Inputs</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120" w:type="dxa"/>
            <w:vAlign w:val="bottom"/>
            <w:tcBorders>
              <w:bottom w:val="single" w:sz="8" w:color="auto"/>
            </w:tcBorders>
          </w:tcPr>
          <w:p>
            <w:pPr>
              <w:ind w:left="520"/>
              <w:spacing w:after="0"/>
              <w:rPr>
                <w:sz w:val="20"/>
                <w:szCs w:val="20"/>
                <w:color w:val="auto"/>
              </w:rPr>
            </w:pPr>
            <w:r>
              <w:rPr>
                <w:rFonts w:ascii="Verdana" w:cs="Verdana" w:eastAsia="Verdana" w:hAnsi="Verdana"/>
                <w:sz w:val="13"/>
                <w:szCs w:val="13"/>
                <w:b w:val="1"/>
                <w:bCs w:val="1"/>
                <w:color w:val="auto"/>
              </w:rPr>
              <w:t>Inputs</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24"/>
              <w:spacing w:after="0"/>
              <w:rPr>
                <w:sz w:val="20"/>
                <w:szCs w:val="20"/>
                <w:color w:val="auto"/>
              </w:rPr>
            </w:pPr>
            <w:r>
              <w:rPr>
                <w:rFonts w:ascii="Verdana" w:cs="Verdana" w:eastAsia="Verdana" w:hAnsi="Verdana"/>
                <w:sz w:val="13"/>
                <w:szCs w:val="13"/>
                <w:b w:val="1"/>
                <w:bCs w:val="1"/>
                <w:color w:val="auto"/>
              </w:rPr>
              <w:t>Inputs</w:t>
            </w:r>
          </w:p>
        </w:tc>
        <w:tc>
          <w:tcPr>
            <w:tcW w:w="10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24"/>
              <w:spacing w:after="0"/>
              <w:rPr>
                <w:sz w:val="20"/>
                <w:szCs w:val="20"/>
                <w:color w:val="auto"/>
              </w:rPr>
            </w:pPr>
            <w:r>
              <w:rPr>
                <w:rFonts w:ascii="Verdana" w:cs="Verdana" w:eastAsia="Verdana" w:hAnsi="Verdana"/>
                <w:sz w:val="13"/>
                <w:szCs w:val="13"/>
                <w:b w:val="1"/>
                <w:bCs w:val="1"/>
                <w:color w:val="auto"/>
              </w:rPr>
              <w:t>Fair Value</w:t>
            </w:r>
          </w:p>
        </w:tc>
      </w:tr>
      <w:tr>
        <w:trPr>
          <w:trHeight w:val="269"/>
        </w:trPr>
        <w:tc>
          <w:tcPr>
            <w:tcW w:w="610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 related allowance  $</w:t>
            </w:r>
          </w:p>
        </w:tc>
        <w:tc>
          <w:tcPr>
            <w:tcW w:w="1580" w:type="dxa"/>
            <w:vAlign w:val="bottom"/>
            <w:gridSpan w:val="3"/>
            <w:shd w:val="clear" w:color="auto" w:fill="E0E7ED"/>
          </w:tcPr>
          <w:p>
            <w:pPr>
              <w:ind w:left="100"/>
              <w:spacing w:after="0"/>
              <w:rPr>
                <w:sz w:val="20"/>
                <w:szCs w:val="20"/>
                <w:color w:val="auto"/>
              </w:rPr>
            </w:pPr>
            <w:r>
              <w:rPr>
                <w:rFonts w:ascii="Verdana" w:cs="Verdana" w:eastAsia="Verdana" w:hAnsi="Verdana"/>
                <w:sz w:val="18"/>
                <w:szCs w:val="18"/>
                <w:color w:val="auto"/>
              </w:rPr>
              <w:t>—  $</w:t>
            </w:r>
          </w:p>
        </w:tc>
        <w:tc>
          <w:tcPr>
            <w:tcW w:w="780" w:type="dxa"/>
            <w:vAlign w:val="bottom"/>
            <w:gridSpan w:val="3"/>
            <w:shd w:val="clear" w:color="auto" w:fill="E0E7ED"/>
          </w:tcPr>
          <w:p>
            <w:pPr>
              <w:ind w:left="100"/>
              <w:spacing w:after="0"/>
              <w:rPr>
                <w:sz w:val="20"/>
                <w:szCs w:val="20"/>
                <w:color w:val="auto"/>
              </w:rPr>
            </w:pPr>
            <w:r>
              <w:rPr>
                <w:rFonts w:ascii="Verdana" w:cs="Verdana" w:eastAsia="Verdana" w:hAnsi="Verdana"/>
                <w:sz w:val="18"/>
                <w:szCs w:val="18"/>
                <w:color w:val="auto"/>
              </w:rPr>
              <w:t>—  $</w:t>
            </w:r>
          </w:p>
        </w:tc>
        <w:tc>
          <w:tcPr>
            <w:tcW w:w="118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3,422</w:t>
            </w: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3,422</w:t>
            </w:r>
          </w:p>
        </w:tc>
      </w:tr>
      <w:tr>
        <w:trPr>
          <w:trHeight w:val="256"/>
        </w:trPr>
        <w:tc>
          <w:tcPr>
            <w:tcW w:w="6100" w:type="dxa"/>
            <w:vAlign w:val="bottom"/>
            <w:gridSpan w:val="2"/>
          </w:tcPr>
          <w:p>
            <w:pPr>
              <w:ind w:left="20"/>
              <w:spacing w:after="0"/>
              <w:rPr>
                <w:sz w:val="20"/>
                <w:szCs w:val="20"/>
                <w:color w:val="auto"/>
              </w:rPr>
            </w:pPr>
            <w:r>
              <w:rPr>
                <w:rFonts w:ascii="Verdana" w:cs="Verdana" w:eastAsia="Verdana" w:hAnsi="Verdana"/>
                <w:sz w:val="18"/>
                <w:szCs w:val="18"/>
                <w:color w:val="auto"/>
              </w:rPr>
              <w:t>Bank property held for sale with impairment</w:t>
            </w:r>
          </w:p>
        </w:tc>
        <w:tc>
          <w:tcPr>
            <w:tcW w:w="1580" w:type="dxa"/>
            <w:vAlign w:val="bottom"/>
            <w:gridSpan w:val="3"/>
          </w:tcPr>
          <w:p>
            <w:pPr>
              <w:ind w:left="100"/>
              <w:spacing w:after="0"/>
              <w:rPr>
                <w:sz w:val="20"/>
                <w:szCs w:val="20"/>
                <w:color w:val="auto"/>
              </w:rPr>
            </w:pPr>
            <w:r>
              <w:rPr>
                <w:rFonts w:ascii="Verdana" w:cs="Verdana" w:eastAsia="Verdana" w:hAnsi="Verdana"/>
                <w:sz w:val="18"/>
                <w:szCs w:val="18"/>
                <w:color w:val="auto"/>
              </w:rPr>
              <w:t>—</w:t>
            </w:r>
          </w:p>
        </w:tc>
        <w:tc>
          <w:tcPr>
            <w:tcW w:w="780" w:type="dxa"/>
            <w:vAlign w:val="bottom"/>
            <w:gridSpan w:val="3"/>
          </w:tcPr>
          <w:p>
            <w:pPr>
              <w:ind w:left="10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ind w:right="4"/>
              <w:spacing w:after="0"/>
              <w:rPr>
                <w:sz w:val="20"/>
                <w:szCs w:val="20"/>
                <w:color w:val="auto"/>
              </w:rPr>
            </w:pPr>
            <w:r>
              <w:rPr>
                <w:rFonts w:ascii="Verdana" w:cs="Verdana" w:eastAsia="Verdana" w:hAnsi="Verdana"/>
                <w:sz w:val="18"/>
                <w:szCs w:val="18"/>
                <w:color w:val="auto"/>
              </w:rPr>
              <w:t>4,238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24"/>
              <w:spacing w:after="0"/>
              <w:rPr>
                <w:sz w:val="20"/>
                <w:szCs w:val="20"/>
                <w:color w:val="auto"/>
              </w:rPr>
            </w:pPr>
            <w:r>
              <w:rPr>
                <w:rFonts w:ascii="Verdana" w:cs="Verdana" w:eastAsia="Verdana" w:hAnsi="Verdana"/>
                <w:sz w:val="18"/>
                <w:szCs w:val="18"/>
                <w:color w:val="auto"/>
              </w:rPr>
              <w:t>4,238</w:t>
            </w:r>
          </w:p>
        </w:tc>
      </w:tr>
      <w:tr>
        <w:trPr>
          <w:trHeight w:val="918"/>
        </w:trPr>
        <w:tc>
          <w:tcPr>
            <w:tcW w:w="6100" w:type="dxa"/>
            <w:vAlign w:val="bottom"/>
            <w:gridSpan w:val="2"/>
          </w:tcPr>
          <w:p>
            <w:pPr>
              <w:jc w:val="right"/>
              <w:ind w:right="297"/>
              <w:spacing w:after="0"/>
              <w:rPr>
                <w:sz w:val="20"/>
                <w:szCs w:val="20"/>
                <w:color w:val="auto"/>
              </w:rPr>
            </w:pPr>
            <w:r>
              <w:rPr>
                <w:rFonts w:ascii="Verdana" w:cs="Verdana" w:eastAsia="Verdana" w:hAnsi="Verdana"/>
                <w:sz w:val="18"/>
                <w:szCs w:val="18"/>
                <w:color w:val="auto"/>
              </w:rPr>
              <w:t>54</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91"/>
        </w:trPr>
        <w:tc>
          <w:tcPr>
            <w:tcW w:w="49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4" w:name="page55"/>
    <w:bookmarkEnd w:id="5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ind w:left="660"/>
              <w:spacing w:after="0"/>
              <w:rPr>
                <w:sz w:val="20"/>
                <w:szCs w:val="20"/>
                <w:color w:val="auto"/>
              </w:rPr>
            </w:pPr>
            <w:r>
              <w:rPr>
                <w:rFonts w:ascii="Verdana" w:cs="Verdana" w:eastAsia="Verdana" w:hAnsi="Verdana"/>
                <w:sz w:val="13"/>
                <w:szCs w:val="13"/>
                <w:b w:val="1"/>
                <w:bCs w:val="1"/>
                <w:color w:val="auto"/>
              </w:rPr>
              <w:t>As of December 31, 2023</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22"/>
        </w:trPr>
        <w:tc>
          <w:tcPr>
            <w:tcW w:w="4980" w:type="dxa"/>
            <w:vAlign w:val="bottom"/>
          </w:tcPr>
          <w:p>
            <w:pPr>
              <w:spacing w:after="0"/>
              <w:rPr>
                <w:sz w:val="10"/>
                <w:szCs w:val="10"/>
                <w:color w:val="auto"/>
              </w:rPr>
            </w:pPr>
          </w:p>
        </w:tc>
        <w:tc>
          <w:tcPr>
            <w:tcW w:w="112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1</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2</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Level 3</w:t>
            </w:r>
          </w:p>
        </w:tc>
        <w:tc>
          <w:tcPr>
            <w:tcW w:w="260" w:type="dxa"/>
            <w:vAlign w:val="bottom"/>
          </w:tcPr>
          <w:p>
            <w:pPr>
              <w:spacing w:after="0"/>
              <w:rPr>
                <w:sz w:val="10"/>
                <w:szCs w:val="10"/>
                <w:color w:val="auto"/>
              </w:rPr>
            </w:pPr>
          </w:p>
        </w:tc>
        <w:tc>
          <w:tcPr>
            <w:tcW w:w="1240" w:type="dxa"/>
            <w:vAlign w:val="bottom"/>
          </w:tcPr>
          <w:p>
            <w:pPr>
              <w:jc w:val="right"/>
              <w:ind w:right="504"/>
              <w:spacing w:after="0" w:line="122" w:lineRule="exact"/>
              <w:rPr>
                <w:sz w:val="20"/>
                <w:szCs w:val="20"/>
                <w:color w:val="auto"/>
              </w:rPr>
            </w:pPr>
            <w:r>
              <w:rPr>
                <w:rFonts w:ascii="Verdana" w:cs="Verdana" w:eastAsia="Verdana" w:hAnsi="Verdana"/>
                <w:sz w:val="13"/>
                <w:szCs w:val="13"/>
                <w:b w:val="1"/>
                <w:bCs w:val="1"/>
                <w:color w:val="auto"/>
              </w:rPr>
              <w:t>Total</w:t>
            </w:r>
          </w:p>
        </w:tc>
      </w:tr>
      <w:tr>
        <w:trPr>
          <w:trHeight w:val="170"/>
        </w:trPr>
        <w:tc>
          <w:tcPr>
            <w:tcW w:w="4980" w:type="dxa"/>
            <w:vAlign w:val="bottom"/>
            <w:tcBorders>
              <w:bottom w:val="single" w:sz="8" w:color="E0E7ED"/>
            </w:tcBorders>
          </w:tcPr>
          <w:p>
            <w:pPr>
              <w:spacing w:after="0"/>
              <w:rPr>
                <w:sz w:val="14"/>
                <w:szCs w:val="14"/>
                <w:color w:val="auto"/>
              </w:rPr>
            </w:pPr>
          </w:p>
        </w:tc>
        <w:tc>
          <w:tcPr>
            <w:tcW w:w="1120" w:type="dxa"/>
            <w:vAlign w:val="bottom"/>
            <w:tcBorders>
              <w:bottom w:val="single" w:sz="8" w:color="auto"/>
            </w:tcBorders>
          </w:tcPr>
          <w:p>
            <w:pPr>
              <w:ind w:left="520"/>
              <w:spacing w:after="0"/>
              <w:rPr>
                <w:sz w:val="20"/>
                <w:szCs w:val="20"/>
                <w:color w:val="auto"/>
              </w:rPr>
            </w:pPr>
            <w:r>
              <w:rPr>
                <w:rFonts w:ascii="Verdana" w:cs="Verdana" w:eastAsia="Verdana" w:hAnsi="Verdana"/>
                <w:sz w:val="13"/>
                <w:szCs w:val="13"/>
                <w:b w:val="1"/>
                <w:bCs w:val="1"/>
                <w:color w:val="auto"/>
              </w:rPr>
              <w:t>Inputs</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120" w:type="dxa"/>
            <w:vAlign w:val="bottom"/>
            <w:tcBorders>
              <w:bottom w:val="single" w:sz="8" w:color="auto"/>
            </w:tcBorders>
          </w:tcPr>
          <w:p>
            <w:pPr>
              <w:ind w:left="520"/>
              <w:spacing w:after="0"/>
              <w:rPr>
                <w:sz w:val="20"/>
                <w:szCs w:val="20"/>
                <w:color w:val="auto"/>
              </w:rPr>
            </w:pPr>
            <w:r>
              <w:rPr>
                <w:rFonts w:ascii="Verdana" w:cs="Verdana" w:eastAsia="Verdana" w:hAnsi="Verdana"/>
                <w:sz w:val="13"/>
                <w:szCs w:val="13"/>
                <w:b w:val="1"/>
                <w:bCs w:val="1"/>
                <w:color w:val="auto"/>
              </w:rPr>
              <w:t>Inputs</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24"/>
              <w:spacing w:after="0"/>
              <w:rPr>
                <w:sz w:val="20"/>
                <w:szCs w:val="20"/>
                <w:color w:val="auto"/>
              </w:rPr>
            </w:pPr>
            <w:r>
              <w:rPr>
                <w:rFonts w:ascii="Verdana" w:cs="Verdana" w:eastAsia="Verdana" w:hAnsi="Verdana"/>
                <w:sz w:val="13"/>
                <w:szCs w:val="13"/>
                <w:b w:val="1"/>
                <w:bCs w:val="1"/>
                <w:color w:val="auto"/>
              </w:rPr>
              <w:t>Inputs</w:t>
            </w:r>
          </w:p>
        </w:tc>
        <w:tc>
          <w:tcPr>
            <w:tcW w:w="10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24"/>
              <w:spacing w:after="0"/>
              <w:rPr>
                <w:sz w:val="20"/>
                <w:szCs w:val="20"/>
                <w:color w:val="auto"/>
              </w:rPr>
            </w:pPr>
            <w:r>
              <w:rPr>
                <w:rFonts w:ascii="Verdana" w:cs="Verdana" w:eastAsia="Verdana" w:hAnsi="Verdana"/>
                <w:sz w:val="13"/>
                <w:szCs w:val="13"/>
                <w:b w:val="1"/>
                <w:bCs w:val="1"/>
                <w:color w:val="auto"/>
              </w:rPr>
              <w:t>Fair Value</w:t>
            </w:r>
          </w:p>
        </w:tc>
      </w:tr>
      <w:tr>
        <w:trPr>
          <w:trHeight w:val="269"/>
        </w:trPr>
        <w:tc>
          <w:tcPr>
            <w:tcW w:w="610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 related allowance  $</w:t>
            </w:r>
          </w:p>
        </w:tc>
        <w:tc>
          <w:tcPr>
            <w:tcW w:w="460" w:type="dxa"/>
            <w:vAlign w:val="bottom"/>
            <w:gridSpan w:val="2"/>
            <w:shd w:val="clear" w:color="auto" w:fill="E0E7ED"/>
          </w:tcPr>
          <w:p>
            <w:pPr>
              <w:ind w:left="100"/>
              <w:spacing w:after="0"/>
              <w:rPr>
                <w:sz w:val="20"/>
                <w:szCs w:val="20"/>
                <w:color w:val="auto"/>
              </w:rPr>
            </w:pPr>
            <w:r>
              <w:rPr>
                <w:rFonts w:ascii="Verdana" w:cs="Verdana" w:eastAsia="Verdana" w:hAnsi="Verdana"/>
                <w:sz w:val="18"/>
                <w:szCs w:val="18"/>
                <w:color w:val="auto"/>
              </w:rPr>
              <w:t>—</w:t>
            </w:r>
          </w:p>
        </w:tc>
        <w:tc>
          <w:tcPr>
            <w:tcW w:w="1120" w:type="dxa"/>
            <w:vAlign w:val="bottom"/>
            <w:shd w:val="clear" w:color="auto" w:fill="E0E7ED"/>
          </w:tcPr>
          <w:p>
            <w:pPr>
              <w:jc w:val="right"/>
              <w:ind w:right="910"/>
              <w:spacing w:after="0"/>
              <w:rPr>
                <w:sz w:val="20"/>
                <w:szCs w:val="20"/>
                <w:color w:val="auto"/>
              </w:rPr>
            </w:pPr>
            <w:r>
              <w:rPr>
                <w:rFonts w:ascii="Verdana" w:cs="Verdana" w:eastAsia="Verdana" w:hAnsi="Verdana"/>
                <w:sz w:val="18"/>
                <w:szCs w:val="18"/>
                <w:color w:val="auto"/>
              </w:rPr>
              <w:t>$</w:t>
            </w:r>
          </w:p>
        </w:tc>
        <w:tc>
          <w:tcPr>
            <w:tcW w:w="460" w:type="dxa"/>
            <w:vAlign w:val="bottom"/>
            <w:gridSpan w:val="2"/>
            <w:shd w:val="clear" w:color="auto" w:fill="E0E7ED"/>
          </w:tcPr>
          <w:p>
            <w:pPr>
              <w:ind w:left="10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1,000</w:t>
            </w: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1,000</w:t>
            </w:r>
          </w:p>
        </w:tc>
      </w:tr>
      <w:tr>
        <w:trPr>
          <w:trHeight w:val="257"/>
        </w:trPr>
        <w:tc>
          <w:tcPr>
            <w:tcW w:w="6100" w:type="dxa"/>
            <w:vAlign w:val="bottom"/>
            <w:gridSpan w:val="2"/>
          </w:tcPr>
          <w:p>
            <w:pPr>
              <w:ind w:left="20"/>
              <w:spacing w:after="0"/>
              <w:rPr>
                <w:sz w:val="20"/>
                <w:szCs w:val="20"/>
                <w:color w:val="auto"/>
              </w:rPr>
            </w:pPr>
            <w:r>
              <w:rPr>
                <w:rFonts w:ascii="Verdana" w:cs="Verdana" w:eastAsia="Verdana" w:hAnsi="Verdana"/>
                <w:sz w:val="18"/>
                <w:szCs w:val="18"/>
                <w:color w:val="auto"/>
              </w:rPr>
              <w:t>Bank property held for sale with impairment</w:t>
            </w:r>
          </w:p>
        </w:tc>
        <w:tc>
          <w:tcPr>
            <w:tcW w:w="460" w:type="dxa"/>
            <w:vAlign w:val="bottom"/>
            <w:gridSpan w:val="2"/>
          </w:tcPr>
          <w:p>
            <w:pPr>
              <w:ind w:left="100"/>
              <w:spacing w:after="0"/>
              <w:rPr>
                <w:sz w:val="20"/>
                <w:szCs w:val="20"/>
                <w:color w:val="auto"/>
              </w:rPr>
            </w:pPr>
            <w:r>
              <w:rPr>
                <w:rFonts w:ascii="Verdana" w:cs="Verdana" w:eastAsia="Verdana" w:hAnsi="Verdana"/>
                <w:sz w:val="18"/>
                <w:szCs w:val="18"/>
                <w:color w:val="auto"/>
              </w:rPr>
              <w:t>—</w:t>
            </w:r>
          </w:p>
        </w:tc>
        <w:tc>
          <w:tcPr>
            <w:tcW w:w="112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ind w:right="4"/>
              <w:spacing w:after="0"/>
              <w:rPr>
                <w:sz w:val="20"/>
                <w:szCs w:val="20"/>
                <w:color w:val="auto"/>
              </w:rPr>
            </w:pPr>
            <w:r>
              <w:rPr>
                <w:rFonts w:ascii="Verdana" w:cs="Verdana" w:eastAsia="Verdana" w:hAnsi="Verdana"/>
                <w:sz w:val="18"/>
                <w:szCs w:val="18"/>
                <w:color w:val="auto"/>
              </w:rPr>
              <w:t>4,286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24"/>
              <w:spacing w:after="0"/>
              <w:rPr>
                <w:sz w:val="20"/>
                <w:szCs w:val="20"/>
                <w:color w:val="auto"/>
              </w:rPr>
            </w:pPr>
            <w:r>
              <w:rPr>
                <w:rFonts w:ascii="Verdana" w:cs="Verdana" w:eastAsia="Verdana" w:hAnsi="Verdana"/>
                <w:sz w:val="18"/>
                <w:szCs w:val="18"/>
                <w:color w:val="auto"/>
              </w:rPr>
              <w:t>4,286</w:t>
            </w:r>
          </w:p>
        </w:tc>
      </w:tr>
    </w:tbl>
    <w:p>
      <w:pPr>
        <w:spacing w:after="0" w:line="27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gridSpan w:val="4"/>
          </w:tcPr>
          <w:p>
            <w:pPr>
              <w:ind w:left="1680"/>
              <w:spacing w:after="0"/>
              <w:rPr>
                <w:sz w:val="20"/>
                <w:szCs w:val="20"/>
                <w:color w:val="auto"/>
              </w:rPr>
            </w:pPr>
            <w:r>
              <w:rPr>
                <w:rFonts w:ascii="Verdana" w:cs="Verdana" w:eastAsia="Verdana" w:hAnsi="Verdana"/>
                <w:sz w:val="13"/>
                <w:szCs w:val="13"/>
                <w:b w:val="1"/>
                <w:bCs w:val="1"/>
                <w:color w:val="auto"/>
              </w:rPr>
              <w:t>As of March 31, 2024</w:t>
            </w:r>
          </w:p>
        </w:tc>
        <w:tc>
          <w:tcPr>
            <w:tcW w:w="1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ind w:right="144"/>
              <w:spacing w:after="0"/>
              <w:rPr>
                <w:sz w:val="20"/>
                <w:szCs w:val="20"/>
                <w:color w:val="auto"/>
              </w:rPr>
            </w:pPr>
            <w:r>
              <w:rPr>
                <w:rFonts w:ascii="Verdana" w:cs="Verdana" w:eastAsia="Verdana" w:hAnsi="Verdana"/>
                <w:sz w:val="13"/>
                <w:szCs w:val="13"/>
                <w:b w:val="1"/>
                <w:bCs w:val="1"/>
                <w:color w:val="auto"/>
              </w:rPr>
              <w:t>Fair Value</w:t>
            </w:r>
          </w:p>
        </w:tc>
        <w:tc>
          <w:tcPr>
            <w:tcW w:w="100" w:type="dxa"/>
            <w:vAlign w:val="bottom"/>
            <w:vMerge w:val="restart"/>
          </w:tcPr>
          <w:p>
            <w:pPr>
              <w:spacing w:after="0"/>
              <w:rPr>
                <w:sz w:val="10"/>
                <w:szCs w:val="10"/>
                <w:color w:val="auto"/>
              </w:rPr>
            </w:pPr>
          </w:p>
        </w:tc>
        <w:tc>
          <w:tcPr>
            <w:tcW w:w="262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7"/>
              </w:rPr>
              <w:t>Valuation</w:t>
            </w:r>
          </w:p>
        </w:tc>
        <w:tc>
          <w:tcPr>
            <w:tcW w:w="158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7"/>
              </w:rPr>
              <w:t>Unobservable</w:t>
            </w:r>
          </w:p>
        </w:tc>
        <w:tc>
          <w:tcPr>
            <w:tcW w:w="194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5"/>
              </w:rPr>
              <w:t>Range</w:t>
            </w:r>
          </w:p>
        </w:tc>
        <w:tc>
          <w:tcPr>
            <w:tcW w:w="0" w:type="dxa"/>
            <w:vAlign w:val="bottom"/>
          </w:tcPr>
          <w:p>
            <w:pPr>
              <w:spacing w:after="0"/>
              <w:rPr>
                <w:sz w:val="1"/>
                <w:szCs w:val="1"/>
                <w:color w:val="auto"/>
              </w:rPr>
            </w:pPr>
          </w:p>
        </w:tc>
      </w:tr>
      <w:tr>
        <w:trPr>
          <w:trHeight w:val="170"/>
        </w:trPr>
        <w:tc>
          <w:tcPr>
            <w:tcW w:w="382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vMerge w:val="continue"/>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Techniques</w:t>
            </w:r>
          </w:p>
        </w:tc>
        <w:tc>
          <w:tcPr>
            <w:tcW w:w="80" w:type="dxa"/>
            <w:vAlign w:val="bottom"/>
            <w:tcBorders>
              <w:bottom w:val="single" w:sz="8" w:color="E0E7ED"/>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3"/>
              </w:rPr>
              <w:t>Input</w:t>
            </w:r>
          </w:p>
        </w:tc>
        <w:tc>
          <w:tcPr>
            <w:tcW w:w="80" w:type="dxa"/>
            <w:vAlign w:val="bottom"/>
            <w:tcBorders>
              <w:bottom w:val="single" w:sz="8" w:color="E0E7ED"/>
            </w:tcBorders>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(Weighted Average)</w:t>
            </w:r>
          </w:p>
        </w:tc>
        <w:tc>
          <w:tcPr>
            <w:tcW w:w="0" w:type="dxa"/>
            <w:vAlign w:val="bottom"/>
          </w:tcPr>
          <w:p>
            <w:pPr>
              <w:spacing w:after="0"/>
              <w:rPr>
                <w:sz w:val="1"/>
                <w:szCs w:val="1"/>
                <w:color w:val="auto"/>
              </w:rPr>
            </w:pPr>
          </w:p>
        </w:tc>
      </w:tr>
      <w:tr>
        <w:trPr>
          <w:trHeight w:val="223"/>
        </w:trPr>
        <w:tc>
          <w:tcPr>
            <w:tcW w:w="38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3,422</w:t>
            </w:r>
          </w:p>
        </w:tc>
        <w:tc>
          <w:tcPr>
            <w:tcW w:w="100" w:type="dxa"/>
            <w:vAlign w:val="bottom"/>
            <w:shd w:val="clear" w:color="auto" w:fill="E0E7ED"/>
          </w:tcPr>
          <w:p>
            <w:pPr>
              <w:spacing w:after="0"/>
              <w:rPr>
                <w:sz w:val="19"/>
                <w:szCs w:val="19"/>
                <w:color w:val="auto"/>
              </w:rPr>
            </w:pPr>
          </w:p>
        </w:tc>
        <w:tc>
          <w:tcPr>
            <w:tcW w:w="262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8"/>
                <w:szCs w:val="18"/>
                <w:color w:val="auto"/>
                <w:w w:val="99"/>
              </w:rPr>
              <w:t>Appraisal of collateral</w:t>
            </w:r>
          </w:p>
        </w:tc>
        <w:tc>
          <w:tcPr>
            <w:tcW w:w="158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8"/>
                <w:szCs w:val="18"/>
                <w:color w:val="auto"/>
                <w:w w:val="98"/>
              </w:rPr>
              <w:t>Appraisal</w:t>
            </w:r>
          </w:p>
        </w:tc>
        <w:tc>
          <w:tcPr>
            <w:tcW w:w="194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w w:val="99"/>
              </w:rPr>
              <w:t>-25.0% to -100.0%</w:t>
            </w:r>
          </w:p>
        </w:tc>
        <w:tc>
          <w:tcPr>
            <w:tcW w:w="0" w:type="dxa"/>
            <w:vAlign w:val="bottom"/>
          </w:tcPr>
          <w:p>
            <w:pPr>
              <w:spacing w:after="0"/>
              <w:rPr>
                <w:sz w:val="1"/>
                <w:szCs w:val="1"/>
                <w:color w:val="auto"/>
              </w:rPr>
            </w:pPr>
          </w:p>
        </w:tc>
      </w:tr>
      <w:tr>
        <w:trPr>
          <w:trHeight w:val="262"/>
        </w:trPr>
        <w:tc>
          <w:tcPr>
            <w:tcW w:w="38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related allowance</w:t>
            </w:r>
          </w:p>
        </w:tc>
        <w:tc>
          <w:tcPr>
            <w:tcW w:w="200" w:type="dxa"/>
            <w:vAlign w:val="bottom"/>
            <w:shd w:val="clear" w:color="auto" w:fill="E0E7ED"/>
          </w:tcPr>
          <w:p>
            <w:pPr>
              <w:spacing w:after="0"/>
              <w:rPr>
                <w:sz w:val="22"/>
                <w:szCs w:val="22"/>
                <w:color w:val="auto"/>
              </w:rPr>
            </w:pPr>
          </w:p>
        </w:tc>
        <w:tc>
          <w:tcPr>
            <w:tcW w:w="9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5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580" w:type="dxa"/>
            <w:vAlign w:val="bottom"/>
            <w:gridSpan w:val="2"/>
            <w:shd w:val="clear" w:color="auto" w:fill="E0E7ED"/>
          </w:tcPr>
          <w:p>
            <w:pPr>
              <w:jc w:val="center"/>
              <w:ind w:right="60"/>
              <w:spacing w:after="0"/>
              <w:rPr>
                <w:sz w:val="20"/>
                <w:szCs w:val="20"/>
                <w:color w:val="auto"/>
              </w:rPr>
            </w:pPr>
            <w:r>
              <w:rPr>
                <w:rFonts w:ascii="Verdana" w:cs="Verdana" w:eastAsia="Verdana" w:hAnsi="Verdana"/>
                <w:sz w:val="18"/>
                <w:szCs w:val="18"/>
                <w:color w:val="auto"/>
                <w:w w:val="99"/>
              </w:rPr>
              <w:t>adjustments</w:t>
            </w:r>
          </w:p>
        </w:tc>
        <w:tc>
          <w:tcPr>
            <w:tcW w:w="194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w w:val="98"/>
              </w:rPr>
              <w:t>(-68.7)%</w:t>
            </w: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240"/>
          </w:cols>
          <w:pgMar w:left="320" w:top="307" w:right="339" w:bottom="1440" w:gutter="0" w:footer="0" w:header="0"/>
        </w:sectPr>
      </w:pPr>
    </w:p>
    <w:p>
      <w:pPr>
        <w:spacing w:after="0" w:line="3" w:lineRule="exact"/>
        <w:rPr>
          <w:sz w:val="20"/>
          <w:szCs w:val="20"/>
          <w:color w:val="auto"/>
        </w:rPr>
      </w:pPr>
    </w:p>
    <w:p>
      <w:pPr>
        <w:ind w:left="20" w:right="720"/>
        <w:spacing w:after="0" w:line="254" w:lineRule="auto"/>
        <w:rPr>
          <w:sz w:val="20"/>
          <w:szCs w:val="20"/>
          <w:color w:val="auto"/>
        </w:rPr>
      </w:pPr>
      <w:r>
        <w:rPr>
          <w:rFonts w:ascii="Verdana" w:cs="Verdana" w:eastAsia="Verdana" w:hAnsi="Verdana"/>
          <w:sz w:val="18"/>
          <w:szCs w:val="18"/>
          <w:color w:val="auto"/>
        </w:rPr>
        <w:t>Bank property held for sale with impairment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720" w:type="dxa"/>
            <w:vAlign w:val="bottom"/>
          </w:tcPr>
          <w:p>
            <w:pPr>
              <w:jc w:val="right"/>
              <w:ind w:right="90"/>
              <w:spacing w:after="0"/>
              <w:rPr>
                <w:sz w:val="20"/>
                <w:szCs w:val="20"/>
                <w:color w:val="auto"/>
              </w:rPr>
            </w:pPr>
            <w:r>
              <w:rPr>
                <w:rFonts w:ascii="Verdana" w:cs="Verdana" w:eastAsia="Verdana" w:hAnsi="Verdana"/>
                <w:sz w:val="18"/>
                <w:szCs w:val="18"/>
                <w:color w:val="auto"/>
                <w:w w:val="99"/>
              </w:rPr>
              <w:t>4,238</w:t>
            </w:r>
          </w:p>
        </w:tc>
        <w:tc>
          <w:tcPr>
            <w:tcW w:w="2580" w:type="dxa"/>
            <w:vAlign w:val="bottom"/>
          </w:tcPr>
          <w:p>
            <w:pPr>
              <w:jc w:val="center"/>
              <w:spacing w:after="0"/>
              <w:rPr>
                <w:sz w:val="20"/>
                <w:szCs w:val="20"/>
                <w:color w:val="auto"/>
              </w:rPr>
            </w:pPr>
            <w:r>
              <w:rPr>
                <w:rFonts w:ascii="Verdana" w:cs="Verdana" w:eastAsia="Verdana" w:hAnsi="Verdana"/>
                <w:sz w:val="18"/>
                <w:szCs w:val="18"/>
                <w:color w:val="auto"/>
                <w:w w:val="99"/>
              </w:rPr>
              <w:t>Appraisal of collateral or</w:t>
            </w:r>
          </w:p>
        </w:tc>
        <w:tc>
          <w:tcPr>
            <w:tcW w:w="1580" w:type="dxa"/>
            <w:vAlign w:val="bottom"/>
          </w:tcPr>
          <w:p>
            <w:pPr>
              <w:jc w:val="center"/>
              <w:spacing w:after="0"/>
              <w:rPr>
                <w:sz w:val="20"/>
                <w:szCs w:val="20"/>
                <w:color w:val="auto"/>
              </w:rPr>
            </w:pPr>
            <w:r>
              <w:rPr>
                <w:rFonts w:ascii="Verdana" w:cs="Verdana" w:eastAsia="Verdana" w:hAnsi="Verdana"/>
                <w:sz w:val="18"/>
                <w:szCs w:val="18"/>
                <w:color w:val="auto"/>
                <w:w w:val="98"/>
              </w:rPr>
              <w:t>Appraisal</w:t>
            </w:r>
          </w:p>
        </w:tc>
        <w:tc>
          <w:tcPr>
            <w:tcW w:w="1800" w:type="dxa"/>
            <w:vAlign w:val="bottom"/>
          </w:tcPr>
          <w:p>
            <w:pPr>
              <w:jc w:val="center"/>
              <w:ind w:left="150"/>
              <w:spacing w:after="0"/>
              <w:rPr>
                <w:sz w:val="20"/>
                <w:szCs w:val="20"/>
                <w:color w:val="auto"/>
              </w:rPr>
            </w:pPr>
            <w:r>
              <w:rPr>
                <w:rFonts w:ascii="Verdana" w:cs="Verdana" w:eastAsia="Verdana" w:hAnsi="Verdana"/>
                <w:sz w:val="18"/>
                <w:szCs w:val="18"/>
                <w:color w:val="auto"/>
                <w:w w:val="99"/>
              </w:rPr>
              <w:t>-9.0% to -64.9%</w:t>
            </w:r>
          </w:p>
        </w:tc>
      </w:tr>
      <w:tr>
        <w:trPr>
          <w:trHeight w:val="235"/>
        </w:trPr>
        <w:tc>
          <w:tcPr>
            <w:tcW w:w="7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Verdana" w:cs="Verdana" w:eastAsia="Verdana" w:hAnsi="Verdana"/>
                <w:sz w:val="18"/>
                <w:szCs w:val="18"/>
                <w:color w:val="auto"/>
                <w:w w:val="99"/>
              </w:rPr>
              <w:t>real estate listing price</w:t>
            </w:r>
          </w:p>
        </w:tc>
        <w:tc>
          <w:tcPr>
            <w:tcW w:w="1580" w:type="dxa"/>
            <w:vAlign w:val="bottom"/>
          </w:tcPr>
          <w:p>
            <w:pPr>
              <w:jc w:val="center"/>
              <w:spacing w:after="0"/>
              <w:rPr>
                <w:sz w:val="20"/>
                <w:szCs w:val="20"/>
                <w:color w:val="auto"/>
              </w:rPr>
            </w:pPr>
            <w:r>
              <w:rPr>
                <w:rFonts w:ascii="Verdana" w:cs="Verdana" w:eastAsia="Verdana" w:hAnsi="Verdana"/>
                <w:sz w:val="18"/>
                <w:szCs w:val="18"/>
                <w:color w:val="auto"/>
                <w:w w:val="99"/>
              </w:rPr>
              <w:t>adjustments</w:t>
            </w:r>
          </w:p>
        </w:tc>
        <w:tc>
          <w:tcPr>
            <w:tcW w:w="1800" w:type="dxa"/>
            <w:vAlign w:val="bottom"/>
          </w:tcPr>
          <w:p>
            <w:pPr>
              <w:jc w:val="right"/>
              <w:ind w:right="270"/>
              <w:spacing w:after="0"/>
              <w:rPr>
                <w:sz w:val="20"/>
                <w:szCs w:val="20"/>
                <w:color w:val="auto"/>
              </w:rPr>
            </w:pPr>
            <w:r>
              <w:rPr>
                <w:rFonts w:ascii="Verdana" w:cs="Verdana" w:eastAsia="Verdana" w:hAnsi="Verdana"/>
                <w:sz w:val="18"/>
                <w:szCs w:val="18"/>
                <w:color w:val="auto"/>
              </w:rPr>
              <w:t>(-39.1)%</w:t>
            </w:r>
          </w:p>
        </w:tc>
      </w:tr>
    </w:tbl>
    <w:p>
      <w:pPr>
        <w:spacing w:after="0" w:line="212" w:lineRule="exact"/>
        <w:rPr>
          <w:sz w:val="20"/>
          <w:szCs w:val="20"/>
          <w:color w:val="auto"/>
        </w:rPr>
      </w:pPr>
    </w:p>
    <w:p>
      <w:pPr>
        <w:sectPr>
          <w:pgSz w:w="11900" w:h="16838" w:orient="portrait"/>
          <w:cols w:equalWidth="0" w:num="2">
            <w:col w:w="3660" w:space="720"/>
            <w:col w:w="6860"/>
          </w:cols>
          <w:pgMar w:left="320" w:top="307" w:right="339" w:bottom="1440" w:gutter="0" w:footer="0" w:header="0"/>
          <w:type w:val="continuous"/>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gridSpan w:val="4"/>
          </w:tcPr>
          <w:p>
            <w:pPr>
              <w:ind w:left="1540"/>
              <w:spacing w:after="0"/>
              <w:rPr>
                <w:sz w:val="20"/>
                <w:szCs w:val="20"/>
                <w:color w:val="auto"/>
              </w:rPr>
            </w:pPr>
            <w:r>
              <w:rPr>
                <w:rFonts w:ascii="Verdana" w:cs="Verdana" w:eastAsia="Verdana" w:hAnsi="Verdana"/>
                <w:sz w:val="13"/>
                <w:szCs w:val="13"/>
                <w:b w:val="1"/>
                <w:bCs w:val="1"/>
                <w:color w:val="auto"/>
              </w:rPr>
              <w:t>As of December 31, 2023</w:t>
            </w:r>
          </w:p>
        </w:tc>
        <w:tc>
          <w:tcPr>
            <w:tcW w:w="1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ind w:right="144"/>
              <w:spacing w:after="0"/>
              <w:rPr>
                <w:sz w:val="20"/>
                <w:szCs w:val="20"/>
                <w:color w:val="auto"/>
              </w:rPr>
            </w:pPr>
            <w:r>
              <w:rPr>
                <w:rFonts w:ascii="Verdana" w:cs="Verdana" w:eastAsia="Verdana" w:hAnsi="Verdana"/>
                <w:sz w:val="13"/>
                <w:szCs w:val="13"/>
                <w:b w:val="1"/>
                <w:bCs w:val="1"/>
                <w:color w:val="auto"/>
              </w:rPr>
              <w:t>Fair Value</w:t>
            </w:r>
          </w:p>
        </w:tc>
        <w:tc>
          <w:tcPr>
            <w:tcW w:w="100" w:type="dxa"/>
            <w:vAlign w:val="bottom"/>
            <w:vMerge w:val="restart"/>
          </w:tcPr>
          <w:p>
            <w:pPr>
              <w:spacing w:after="0"/>
              <w:rPr>
                <w:sz w:val="10"/>
                <w:szCs w:val="10"/>
                <w:color w:val="auto"/>
              </w:rPr>
            </w:pPr>
          </w:p>
        </w:tc>
        <w:tc>
          <w:tcPr>
            <w:tcW w:w="262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7"/>
              </w:rPr>
              <w:t>Valuation</w:t>
            </w:r>
          </w:p>
        </w:tc>
        <w:tc>
          <w:tcPr>
            <w:tcW w:w="158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7"/>
              </w:rPr>
              <w:t>Unobservable</w:t>
            </w:r>
          </w:p>
        </w:tc>
        <w:tc>
          <w:tcPr>
            <w:tcW w:w="194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5"/>
              </w:rPr>
              <w:t>Range</w:t>
            </w:r>
          </w:p>
        </w:tc>
        <w:tc>
          <w:tcPr>
            <w:tcW w:w="0" w:type="dxa"/>
            <w:vAlign w:val="bottom"/>
          </w:tcPr>
          <w:p>
            <w:pPr>
              <w:spacing w:after="0"/>
              <w:rPr>
                <w:sz w:val="1"/>
                <w:szCs w:val="1"/>
                <w:color w:val="auto"/>
              </w:rPr>
            </w:pPr>
          </w:p>
        </w:tc>
      </w:tr>
      <w:tr>
        <w:trPr>
          <w:trHeight w:val="170"/>
        </w:trPr>
        <w:tc>
          <w:tcPr>
            <w:tcW w:w="382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vMerge w:val="continue"/>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Techniques</w:t>
            </w:r>
          </w:p>
        </w:tc>
        <w:tc>
          <w:tcPr>
            <w:tcW w:w="80" w:type="dxa"/>
            <w:vAlign w:val="bottom"/>
            <w:tcBorders>
              <w:bottom w:val="single" w:sz="8" w:color="E0E7ED"/>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3"/>
              </w:rPr>
              <w:t>Input</w:t>
            </w:r>
          </w:p>
        </w:tc>
        <w:tc>
          <w:tcPr>
            <w:tcW w:w="80" w:type="dxa"/>
            <w:vAlign w:val="bottom"/>
            <w:tcBorders>
              <w:bottom w:val="single" w:sz="8" w:color="E0E7ED"/>
            </w:tcBorders>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(Weighted Average)</w:t>
            </w:r>
          </w:p>
        </w:tc>
        <w:tc>
          <w:tcPr>
            <w:tcW w:w="0" w:type="dxa"/>
            <w:vAlign w:val="bottom"/>
          </w:tcPr>
          <w:p>
            <w:pPr>
              <w:spacing w:after="0"/>
              <w:rPr>
                <w:sz w:val="1"/>
                <w:szCs w:val="1"/>
                <w:color w:val="auto"/>
              </w:rPr>
            </w:pPr>
          </w:p>
        </w:tc>
      </w:tr>
      <w:tr>
        <w:trPr>
          <w:trHeight w:val="223"/>
        </w:trPr>
        <w:tc>
          <w:tcPr>
            <w:tcW w:w="38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1,000</w:t>
            </w:r>
          </w:p>
        </w:tc>
        <w:tc>
          <w:tcPr>
            <w:tcW w:w="100" w:type="dxa"/>
            <w:vAlign w:val="bottom"/>
            <w:shd w:val="clear" w:color="auto" w:fill="E0E7ED"/>
          </w:tcPr>
          <w:p>
            <w:pPr>
              <w:spacing w:after="0"/>
              <w:rPr>
                <w:sz w:val="19"/>
                <w:szCs w:val="19"/>
                <w:color w:val="auto"/>
              </w:rPr>
            </w:pPr>
          </w:p>
        </w:tc>
        <w:tc>
          <w:tcPr>
            <w:tcW w:w="262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8"/>
                <w:szCs w:val="18"/>
                <w:color w:val="auto"/>
                <w:w w:val="99"/>
              </w:rPr>
              <w:t>Appraisal of collateral</w:t>
            </w:r>
          </w:p>
        </w:tc>
        <w:tc>
          <w:tcPr>
            <w:tcW w:w="158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8"/>
                <w:szCs w:val="18"/>
                <w:color w:val="auto"/>
                <w:w w:val="98"/>
              </w:rPr>
              <w:t>Appraisal</w:t>
            </w:r>
          </w:p>
        </w:tc>
        <w:tc>
          <w:tcPr>
            <w:tcW w:w="194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w w:val="99"/>
              </w:rPr>
              <w:t>-41.2% to -100.0%</w:t>
            </w:r>
          </w:p>
        </w:tc>
        <w:tc>
          <w:tcPr>
            <w:tcW w:w="0" w:type="dxa"/>
            <w:vAlign w:val="bottom"/>
          </w:tcPr>
          <w:p>
            <w:pPr>
              <w:spacing w:after="0"/>
              <w:rPr>
                <w:sz w:val="1"/>
                <w:szCs w:val="1"/>
                <w:color w:val="auto"/>
              </w:rPr>
            </w:pPr>
          </w:p>
        </w:tc>
      </w:tr>
      <w:tr>
        <w:trPr>
          <w:trHeight w:val="262"/>
        </w:trPr>
        <w:tc>
          <w:tcPr>
            <w:tcW w:w="38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related allowance</w:t>
            </w:r>
          </w:p>
        </w:tc>
        <w:tc>
          <w:tcPr>
            <w:tcW w:w="200" w:type="dxa"/>
            <w:vAlign w:val="bottom"/>
            <w:shd w:val="clear" w:color="auto" w:fill="E0E7ED"/>
          </w:tcPr>
          <w:p>
            <w:pPr>
              <w:spacing w:after="0"/>
              <w:rPr>
                <w:sz w:val="22"/>
                <w:szCs w:val="22"/>
                <w:color w:val="auto"/>
              </w:rPr>
            </w:pPr>
          </w:p>
        </w:tc>
        <w:tc>
          <w:tcPr>
            <w:tcW w:w="9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5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580" w:type="dxa"/>
            <w:vAlign w:val="bottom"/>
            <w:gridSpan w:val="2"/>
            <w:shd w:val="clear" w:color="auto" w:fill="E0E7ED"/>
          </w:tcPr>
          <w:p>
            <w:pPr>
              <w:jc w:val="center"/>
              <w:ind w:right="60"/>
              <w:spacing w:after="0"/>
              <w:rPr>
                <w:sz w:val="20"/>
                <w:szCs w:val="20"/>
                <w:color w:val="auto"/>
              </w:rPr>
            </w:pPr>
            <w:r>
              <w:rPr>
                <w:rFonts w:ascii="Verdana" w:cs="Verdana" w:eastAsia="Verdana" w:hAnsi="Verdana"/>
                <w:sz w:val="18"/>
                <w:szCs w:val="18"/>
                <w:color w:val="auto"/>
                <w:w w:val="99"/>
              </w:rPr>
              <w:t>adjustments</w:t>
            </w:r>
          </w:p>
        </w:tc>
        <w:tc>
          <w:tcPr>
            <w:tcW w:w="194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w w:val="98"/>
              </w:rPr>
              <w:t>(-47.2)%</w:t>
            </w: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240"/>
          </w:cols>
          <w:pgMar w:left="320" w:top="307" w:right="339" w:bottom="1440" w:gutter="0" w:footer="0" w:header="0"/>
          <w:type w:val="continuous"/>
        </w:sectPr>
      </w:pPr>
    </w:p>
    <w:p>
      <w:pPr>
        <w:spacing w:after="0" w:line="3" w:lineRule="exact"/>
        <w:rPr>
          <w:sz w:val="20"/>
          <w:szCs w:val="20"/>
          <w:color w:val="auto"/>
        </w:rPr>
      </w:pPr>
    </w:p>
    <w:p>
      <w:pPr>
        <w:ind w:left="20" w:right="720"/>
        <w:spacing w:after="0" w:line="254" w:lineRule="auto"/>
        <w:rPr>
          <w:sz w:val="20"/>
          <w:szCs w:val="20"/>
          <w:color w:val="auto"/>
        </w:rPr>
      </w:pPr>
      <w:r>
        <w:rPr>
          <w:rFonts w:ascii="Verdana" w:cs="Verdana" w:eastAsia="Verdana" w:hAnsi="Verdana"/>
          <w:sz w:val="18"/>
          <w:szCs w:val="18"/>
          <w:color w:val="auto"/>
        </w:rPr>
        <w:t>Bank property held for sale with impairment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720" w:type="dxa"/>
            <w:vAlign w:val="bottom"/>
          </w:tcPr>
          <w:p>
            <w:pPr>
              <w:jc w:val="right"/>
              <w:ind w:right="90"/>
              <w:spacing w:after="0"/>
              <w:rPr>
                <w:sz w:val="20"/>
                <w:szCs w:val="20"/>
                <w:color w:val="auto"/>
              </w:rPr>
            </w:pPr>
            <w:r>
              <w:rPr>
                <w:rFonts w:ascii="Verdana" w:cs="Verdana" w:eastAsia="Verdana" w:hAnsi="Verdana"/>
                <w:sz w:val="18"/>
                <w:szCs w:val="18"/>
                <w:color w:val="auto"/>
                <w:w w:val="99"/>
              </w:rPr>
              <w:t>4,286</w:t>
            </w:r>
          </w:p>
        </w:tc>
        <w:tc>
          <w:tcPr>
            <w:tcW w:w="2580" w:type="dxa"/>
            <w:vAlign w:val="bottom"/>
          </w:tcPr>
          <w:p>
            <w:pPr>
              <w:jc w:val="center"/>
              <w:spacing w:after="0"/>
              <w:rPr>
                <w:sz w:val="20"/>
                <w:szCs w:val="20"/>
                <w:color w:val="auto"/>
              </w:rPr>
            </w:pPr>
            <w:r>
              <w:rPr>
                <w:rFonts w:ascii="Verdana" w:cs="Verdana" w:eastAsia="Verdana" w:hAnsi="Verdana"/>
                <w:sz w:val="18"/>
                <w:szCs w:val="18"/>
                <w:color w:val="auto"/>
                <w:w w:val="99"/>
              </w:rPr>
              <w:t>Appraisal of collateral or</w:t>
            </w:r>
          </w:p>
        </w:tc>
        <w:tc>
          <w:tcPr>
            <w:tcW w:w="1580" w:type="dxa"/>
            <w:vAlign w:val="bottom"/>
          </w:tcPr>
          <w:p>
            <w:pPr>
              <w:jc w:val="center"/>
              <w:spacing w:after="0"/>
              <w:rPr>
                <w:sz w:val="20"/>
                <w:szCs w:val="20"/>
                <w:color w:val="auto"/>
              </w:rPr>
            </w:pPr>
            <w:r>
              <w:rPr>
                <w:rFonts w:ascii="Verdana" w:cs="Verdana" w:eastAsia="Verdana" w:hAnsi="Verdana"/>
                <w:sz w:val="18"/>
                <w:szCs w:val="18"/>
                <w:color w:val="auto"/>
                <w:w w:val="98"/>
              </w:rPr>
              <w:t>Appraisal</w:t>
            </w:r>
          </w:p>
        </w:tc>
        <w:tc>
          <w:tcPr>
            <w:tcW w:w="1800" w:type="dxa"/>
            <w:vAlign w:val="bottom"/>
          </w:tcPr>
          <w:p>
            <w:pPr>
              <w:jc w:val="center"/>
              <w:ind w:left="150"/>
              <w:spacing w:after="0"/>
              <w:rPr>
                <w:sz w:val="20"/>
                <w:szCs w:val="20"/>
                <w:color w:val="auto"/>
              </w:rPr>
            </w:pPr>
            <w:r>
              <w:rPr>
                <w:rFonts w:ascii="Verdana" w:cs="Verdana" w:eastAsia="Verdana" w:hAnsi="Verdana"/>
                <w:sz w:val="18"/>
                <w:szCs w:val="18"/>
                <w:color w:val="auto"/>
                <w:w w:val="99"/>
              </w:rPr>
              <w:t>-6.2% to -64.9%</w:t>
            </w:r>
          </w:p>
        </w:tc>
      </w:tr>
      <w:tr>
        <w:trPr>
          <w:trHeight w:val="235"/>
        </w:trPr>
        <w:tc>
          <w:tcPr>
            <w:tcW w:w="7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Verdana" w:cs="Verdana" w:eastAsia="Verdana" w:hAnsi="Verdana"/>
                <w:sz w:val="18"/>
                <w:szCs w:val="18"/>
                <w:color w:val="auto"/>
                <w:w w:val="99"/>
              </w:rPr>
              <w:t>real estate listing price</w:t>
            </w:r>
          </w:p>
        </w:tc>
        <w:tc>
          <w:tcPr>
            <w:tcW w:w="1580" w:type="dxa"/>
            <w:vAlign w:val="bottom"/>
          </w:tcPr>
          <w:p>
            <w:pPr>
              <w:jc w:val="center"/>
              <w:spacing w:after="0"/>
              <w:rPr>
                <w:sz w:val="20"/>
                <w:szCs w:val="20"/>
                <w:color w:val="auto"/>
              </w:rPr>
            </w:pPr>
            <w:r>
              <w:rPr>
                <w:rFonts w:ascii="Verdana" w:cs="Verdana" w:eastAsia="Verdana" w:hAnsi="Verdana"/>
                <w:sz w:val="18"/>
                <w:szCs w:val="18"/>
                <w:color w:val="auto"/>
                <w:w w:val="99"/>
              </w:rPr>
              <w:t>adjustments</w:t>
            </w:r>
          </w:p>
        </w:tc>
        <w:tc>
          <w:tcPr>
            <w:tcW w:w="1800" w:type="dxa"/>
            <w:vAlign w:val="bottom"/>
          </w:tcPr>
          <w:p>
            <w:pPr>
              <w:jc w:val="right"/>
              <w:ind w:right="270"/>
              <w:spacing w:after="0"/>
              <w:rPr>
                <w:sz w:val="20"/>
                <w:szCs w:val="20"/>
                <w:color w:val="auto"/>
              </w:rPr>
            </w:pPr>
            <w:r>
              <w:rPr>
                <w:rFonts w:ascii="Verdana" w:cs="Verdana" w:eastAsia="Verdana" w:hAnsi="Verdana"/>
                <w:sz w:val="18"/>
                <w:szCs w:val="18"/>
                <w:color w:val="auto"/>
              </w:rPr>
              <w:t>(-38.4)%</w:t>
            </w:r>
          </w:p>
        </w:tc>
      </w:tr>
    </w:tbl>
    <w:p>
      <w:pPr>
        <w:spacing w:after="0" w:line="212" w:lineRule="exact"/>
        <w:rPr>
          <w:sz w:val="20"/>
          <w:szCs w:val="20"/>
          <w:color w:val="auto"/>
        </w:rPr>
      </w:pPr>
    </w:p>
    <w:p>
      <w:pPr>
        <w:sectPr>
          <w:pgSz w:w="11900" w:h="16838" w:orient="portrait"/>
          <w:cols w:equalWidth="0" w:num="2">
            <w:col w:w="3660" w:space="720"/>
            <w:col w:w="6860"/>
          </w:cols>
          <w:pgMar w:left="320" w:top="307" w:right="3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type w:val="continuous"/>
        </w:sectPr>
      </w:pPr>
    </w:p>
    <w:bookmarkStart w:id="55" w:name="page56"/>
    <w:bookmarkEnd w:id="5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Financial Assets and Financial Liabilities That Are Not Carried at Fair Value</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Estimated fair values of financial instruments that are not carried at fair value in Busey’s Consolidated Balance Sheets (Unaudited), segregated by the level of the valuation inputs within the fair value hierarchy utilized to measure fair value, were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5"/>
          </w:tcPr>
          <w:p>
            <w:pPr>
              <w:ind w:left="500"/>
              <w:spacing w:after="0"/>
              <w:rPr>
                <w:sz w:val="20"/>
                <w:szCs w:val="20"/>
                <w:color w:val="auto"/>
              </w:rPr>
            </w:pPr>
            <w:r>
              <w:rPr>
                <w:rFonts w:ascii="Verdana" w:cs="Verdana" w:eastAsia="Verdana" w:hAnsi="Verdana"/>
                <w:sz w:val="13"/>
                <w:szCs w:val="13"/>
                <w:b w:val="1"/>
                <w:bCs w:val="1"/>
                <w:color w:val="auto"/>
              </w:rPr>
              <w:t>As of March 31, 2024</w:t>
            </w:r>
          </w:p>
        </w:tc>
        <w:tc>
          <w:tcPr>
            <w:tcW w:w="300" w:type="dxa"/>
            <w:vAlign w:val="bottom"/>
          </w:tcPr>
          <w:p>
            <w:pPr>
              <w:spacing w:after="0"/>
              <w:rPr>
                <w:sz w:val="15"/>
                <w:szCs w:val="15"/>
                <w:color w:val="auto"/>
              </w:rPr>
            </w:pPr>
          </w:p>
        </w:tc>
        <w:tc>
          <w:tcPr>
            <w:tcW w:w="2800" w:type="dxa"/>
            <w:vAlign w:val="bottom"/>
            <w:gridSpan w:val="4"/>
          </w:tcPr>
          <w:p>
            <w:pPr>
              <w:jc w:val="right"/>
              <w:ind w:right="573"/>
              <w:spacing w:after="0"/>
              <w:rPr>
                <w:sz w:val="20"/>
                <w:szCs w:val="20"/>
                <w:color w:val="auto"/>
              </w:rPr>
            </w:pPr>
            <w:r>
              <w:rPr>
                <w:rFonts w:ascii="Verdana" w:cs="Verdana" w:eastAsia="Verdana" w:hAnsi="Verdana"/>
                <w:sz w:val="13"/>
                <w:szCs w:val="13"/>
                <w:b w:val="1"/>
                <w:bCs w:val="1"/>
                <w:color w:val="auto"/>
              </w:rPr>
              <w:t>As of December 31, 2023</w:t>
            </w:r>
          </w:p>
        </w:tc>
      </w:tr>
      <w:tr>
        <w:trPr>
          <w:trHeight w:val="122"/>
        </w:trPr>
        <w:tc>
          <w:tcPr>
            <w:tcW w:w="49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Carrying</w:t>
            </w:r>
          </w:p>
        </w:tc>
        <w:tc>
          <w:tcPr>
            <w:tcW w:w="3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33"/>
              <w:spacing w:after="0" w:line="122" w:lineRule="exact"/>
              <w:rPr>
                <w:sz w:val="20"/>
                <w:szCs w:val="20"/>
                <w:color w:val="auto"/>
              </w:rPr>
            </w:pPr>
            <w:r>
              <w:rPr>
                <w:rFonts w:ascii="Verdana" w:cs="Verdana" w:eastAsia="Verdana" w:hAnsi="Verdana"/>
                <w:sz w:val="13"/>
                <w:szCs w:val="13"/>
                <w:b w:val="1"/>
                <w:bCs w:val="1"/>
                <w:color w:val="auto"/>
                <w:w w:val="99"/>
              </w:rPr>
              <w:t>Fair</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Carrying</w:t>
            </w:r>
          </w:p>
        </w:tc>
        <w:tc>
          <w:tcPr>
            <w:tcW w:w="3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533"/>
              <w:spacing w:after="0" w:line="122" w:lineRule="exact"/>
              <w:rPr>
                <w:sz w:val="20"/>
                <w:szCs w:val="20"/>
                <w:color w:val="auto"/>
              </w:rPr>
            </w:pPr>
            <w:r>
              <w:rPr>
                <w:rFonts w:ascii="Verdana" w:cs="Verdana" w:eastAsia="Verdana" w:hAnsi="Verdana"/>
                <w:sz w:val="13"/>
                <w:szCs w:val="13"/>
                <w:b w:val="1"/>
                <w:bCs w:val="1"/>
                <w:color w:val="auto"/>
              </w:rPr>
              <w:t>Fair</w:t>
            </w:r>
          </w:p>
        </w:tc>
      </w:tr>
      <w:tr>
        <w:trPr>
          <w:trHeight w:val="170"/>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Verdana" w:cs="Verdana" w:eastAsia="Verdana" w:hAnsi="Verdana"/>
                <w:sz w:val="13"/>
                <w:szCs w:val="13"/>
                <w:b w:val="1"/>
                <w:bCs w:val="1"/>
                <w:color w:val="auto"/>
                <w:w w:val="97"/>
              </w:rPr>
              <w:t>Value</w:t>
            </w: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300" w:type="dxa"/>
            <w:vAlign w:val="bottom"/>
          </w:tcPr>
          <w:p>
            <w:pPr>
              <w:spacing w:after="0"/>
              <w:rPr>
                <w:sz w:val="14"/>
                <w:szCs w:val="14"/>
                <w:color w:val="auto"/>
              </w:rPr>
            </w:pPr>
          </w:p>
        </w:tc>
        <w:tc>
          <w:tcPr>
            <w:tcW w:w="1200" w:type="dxa"/>
            <w:vAlign w:val="bottom"/>
          </w:tcPr>
          <w:p>
            <w:pPr>
              <w:jc w:val="right"/>
              <w:ind w:right="473"/>
              <w:spacing w:after="0"/>
              <w:rPr>
                <w:sz w:val="20"/>
                <w:szCs w:val="20"/>
                <w:color w:val="auto"/>
              </w:rPr>
            </w:pPr>
            <w:r>
              <w:rPr>
                <w:rFonts w:ascii="Verdana" w:cs="Verdana" w:eastAsia="Verdana" w:hAnsi="Verdana"/>
                <w:sz w:val="13"/>
                <w:szCs w:val="13"/>
                <w:b w:val="1"/>
                <w:bCs w:val="1"/>
                <w:color w:val="auto"/>
              </w:rPr>
              <w:t>Value</w:t>
            </w:r>
          </w:p>
        </w:tc>
      </w:tr>
      <w:tr>
        <w:trPr>
          <w:trHeight w:val="255"/>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Financial assets</w:t>
            </w: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Level 1 inputs: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Cash and cash equivalents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591,071</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591,071</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719,581</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719,581</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Level 2 inputs: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Debt securities held to maturity</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862,218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713,031</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872,628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730,397</w:t>
            </w:r>
          </w:p>
        </w:tc>
      </w:tr>
      <w:tr>
        <w:trPr>
          <w:trHeight w:val="263"/>
        </w:trPr>
        <w:tc>
          <w:tcPr>
            <w:tcW w:w="4960" w:type="dxa"/>
            <w:vAlign w:val="bottom"/>
          </w:tcPr>
          <w:p>
            <w:pPr>
              <w:ind w:left="360"/>
              <w:spacing w:after="0"/>
              <w:rPr>
                <w:sz w:val="20"/>
                <w:szCs w:val="20"/>
                <w:color w:val="auto"/>
              </w:rPr>
            </w:pPr>
            <w:r>
              <w:rPr>
                <w:rFonts w:ascii="Verdana" w:cs="Verdana" w:eastAsia="Verdana" w:hAnsi="Verdana"/>
                <w:sz w:val="18"/>
                <w:szCs w:val="18"/>
                <w:color w:val="auto"/>
              </w:rPr>
              <w:t>Loans held for sale</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6,827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6,834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2,379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2,401</w:t>
            </w: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Accrued interest receivable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46,530</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46,530</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45,288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45,288</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Level 3 inputs: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Portfolio loans, net</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7,496,515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7,293,871</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7,559,294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7,276,905</w:t>
            </w:r>
          </w:p>
        </w:tc>
      </w:tr>
      <w:tr>
        <w:trPr>
          <w:trHeight w:val="263"/>
        </w:trPr>
        <w:tc>
          <w:tcPr>
            <w:tcW w:w="4960" w:type="dxa"/>
            <w:vAlign w:val="bottom"/>
          </w:tcPr>
          <w:p>
            <w:pPr>
              <w:ind w:left="360"/>
              <w:spacing w:after="0"/>
              <w:rPr>
                <w:sz w:val="20"/>
                <w:szCs w:val="20"/>
                <w:color w:val="auto"/>
              </w:rPr>
            </w:pPr>
            <w:r>
              <w:rPr>
                <w:rFonts w:ascii="Verdana" w:cs="Verdana" w:eastAsia="Verdana" w:hAnsi="Verdana"/>
                <w:sz w:val="18"/>
                <w:szCs w:val="18"/>
                <w:color w:val="auto"/>
              </w:rPr>
              <w:t>Mortgage servicing rights</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989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5,468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3,289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18,079</w:t>
            </w: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Other servicing rights</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1,573</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2,008</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1,597</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2,062</w:t>
            </w:r>
          </w:p>
        </w:tc>
      </w:tr>
      <w:tr>
        <w:trPr>
          <w:trHeight w:val="270"/>
        </w:trPr>
        <w:tc>
          <w:tcPr>
            <w:tcW w:w="4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Financial liabilities</w:t>
            </w: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Level 2 inputs: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Time deposits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1,577,178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1,559,643</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1,819,274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1,804,905</w:t>
            </w:r>
          </w:p>
        </w:tc>
      </w:tr>
      <w:tr>
        <w:trPr>
          <w:trHeight w:val="263"/>
        </w:trPr>
        <w:tc>
          <w:tcPr>
            <w:tcW w:w="4960" w:type="dxa"/>
            <w:vAlign w:val="bottom"/>
          </w:tcPr>
          <w:p>
            <w:pPr>
              <w:ind w:left="360"/>
              <w:spacing w:after="0"/>
              <w:rPr>
                <w:sz w:val="20"/>
                <w:szCs w:val="20"/>
                <w:color w:val="auto"/>
              </w:rPr>
            </w:pPr>
            <w:r>
              <w:rPr>
                <w:rFonts w:ascii="Verdana" w:cs="Verdana" w:eastAsia="Verdana" w:hAnsi="Verdana"/>
                <w:sz w:val="18"/>
                <w:szCs w:val="18"/>
                <w:color w:val="auto"/>
              </w:rPr>
              <w:t>Securities sold under agreements to repurchase</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147,175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147,175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187,396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187,396</w:t>
            </w: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Short-term borrowings</w:t>
            </w:r>
          </w:p>
        </w:tc>
        <w:tc>
          <w:tcPr>
            <w:tcW w:w="300" w:type="dxa"/>
            <w:vAlign w:val="bottom"/>
            <w:shd w:val="clear" w:color="auto" w:fill="E0E7ED"/>
          </w:tcPr>
          <w:p>
            <w:pPr>
              <w:spacing w:after="0"/>
              <w:rPr>
                <w:sz w:val="24"/>
                <w:szCs w:val="24"/>
                <w:color w:val="auto"/>
              </w:rPr>
            </w:pPr>
          </w:p>
        </w:tc>
        <w:tc>
          <w:tcPr>
            <w:tcW w:w="13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shd w:val="clear" w:color="auto" w:fill="E0E7ED"/>
          </w:tcPr>
          <w:p>
            <w:pPr>
              <w:spacing w:after="0"/>
              <w:rPr>
                <w:sz w:val="24"/>
                <w:szCs w:val="24"/>
                <w:color w:val="auto"/>
              </w:rPr>
            </w:pPr>
          </w:p>
        </w:tc>
        <w:tc>
          <w:tcPr>
            <w:tcW w:w="12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12,000</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12,034</w:t>
            </w:r>
          </w:p>
        </w:tc>
      </w:tr>
      <w:tr>
        <w:trPr>
          <w:trHeight w:val="263"/>
        </w:trPr>
        <w:tc>
          <w:tcPr>
            <w:tcW w:w="4960" w:type="dxa"/>
            <w:vAlign w:val="bottom"/>
          </w:tcPr>
          <w:p>
            <w:pPr>
              <w:ind w:left="360"/>
              <w:spacing w:after="0"/>
              <w:rPr>
                <w:sz w:val="20"/>
                <w:szCs w:val="20"/>
                <w:color w:val="auto"/>
              </w:rPr>
            </w:pPr>
            <w:r>
              <w:rPr>
                <w:rFonts w:ascii="Verdana" w:cs="Verdana" w:eastAsia="Verdana" w:hAnsi="Verdana"/>
                <w:sz w:val="18"/>
                <w:szCs w:val="18"/>
                <w:color w:val="auto"/>
              </w:rPr>
              <w:t>Long-term debt</w:t>
            </w:r>
          </w:p>
        </w:tc>
        <w:tc>
          <w:tcPr>
            <w:tcW w:w="30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18,020</w:t>
            </w:r>
          </w:p>
        </w:tc>
      </w:tr>
      <w:tr>
        <w:trPr>
          <w:trHeight w:val="244"/>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Junior subordinated debt owed to unconsolidated</w:t>
            </w: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r>
      <w:tr>
        <w:trPr>
          <w:trHeight w:val="248"/>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trusts</w:t>
            </w: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72,040</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58,776</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71,993</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57,153</w:t>
            </w:r>
          </w:p>
        </w:tc>
      </w:tr>
      <w:tr>
        <w:trPr>
          <w:trHeight w:val="263"/>
        </w:trPr>
        <w:tc>
          <w:tcPr>
            <w:tcW w:w="4960" w:type="dxa"/>
            <w:vAlign w:val="bottom"/>
          </w:tcPr>
          <w:p>
            <w:pPr>
              <w:ind w:left="360"/>
              <w:spacing w:after="0"/>
              <w:rPr>
                <w:sz w:val="20"/>
                <w:szCs w:val="20"/>
                <w:color w:val="auto"/>
              </w:rPr>
            </w:pPr>
            <w:r>
              <w:rPr>
                <w:rFonts w:ascii="Verdana" w:cs="Verdana" w:eastAsia="Verdana" w:hAnsi="Verdana"/>
                <w:sz w:val="18"/>
                <w:szCs w:val="18"/>
                <w:color w:val="auto"/>
              </w:rPr>
              <w:t>Accrued interest payable</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26,707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26,707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28,418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28,418</w:t>
            </w: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Level 3 inputs:</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r>
      <w:tr>
        <w:trPr>
          <w:trHeight w:val="238"/>
        </w:trPr>
        <w:tc>
          <w:tcPr>
            <w:tcW w:w="4960" w:type="dxa"/>
            <w:vAlign w:val="bottom"/>
          </w:tcPr>
          <w:p>
            <w:pPr>
              <w:ind w:left="360"/>
              <w:spacing w:after="0"/>
              <w:rPr>
                <w:sz w:val="20"/>
                <w:szCs w:val="20"/>
                <w:color w:val="auto"/>
              </w:rPr>
            </w:pPr>
            <w:r>
              <w:rPr>
                <w:rFonts w:ascii="Verdana" w:cs="Verdana" w:eastAsia="Verdana" w:hAnsi="Verdana"/>
                <w:sz w:val="18"/>
                <w:szCs w:val="18"/>
                <w:color w:val="auto"/>
              </w:rPr>
              <w:t>Subordinated notes, net of unamortized issuance</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5"/>
        </w:trPr>
        <w:tc>
          <w:tcPr>
            <w:tcW w:w="4960" w:type="dxa"/>
            <w:vAlign w:val="bottom"/>
          </w:tcPr>
          <w:p>
            <w:pPr>
              <w:ind w:left="360"/>
              <w:spacing w:after="0"/>
              <w:rPr>
                <w:sz w:val="20"/>
                <w:szCs w:val="20"/>
                <w:color w:val="auto"/>
              </w:rPr>
            </w:pPr>
            <w:r>
              <w:rPr>
                <w:rFonts w:ascii="Verdana" w:cs="Verdana" w:eastAsia="Verdana" w:hAnsi="Verdana"/>
                <w:sz w:val="18"/>
                <w:szCs w:val="18"/>
                <w:color w:val="auto"/>
              </w:rPr>
              <w:t>costs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223,100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204,750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222,882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200,000</w:t>
            </w:r>
          </w:p>
        </w:tc>
      </w:tr>
      <w:tr>
        <w:trPr>
          <w:trHeight w:val="743"/>
        </w:trPr>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635"/>
              <w:spacing w:after="0"/>
              <w:rPr>
                <w:sz w:val="20"/>
                <w:szCs w:val="20"/>
                <w:color w:val="auto"/>
              </w:rPr>
            </w:pPr>
            <w:r>
              <w:rPr>
                <w:rFonts w:ascii="Verdana" w:cs="Verdana" w:eastAsia="Verdana" w:hAnsi="Verdana"/>
                <w:sz w:val="18"/>
                <w:szCs w:val="18"/>
                <w:color w:val="auto"/>
              </w:rPr>
              <w:t>56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7"/>
        </w:trPr>
        <w:tc>
          <w:tcPr>
            <w:tcW w:w="4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6" w:name="page57"/>
    <w:bookmarkEnd w:id="5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13. EARNINGS PER COMMON SHARE</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Basic earnings per share is computed by dividing net income for the period by the weighted average number of common shares outstanding, which include DSUs that are vested but not delivered. Diluted earnings per common share is computed using the treasury stock method and reflects the potential dilution that could occur if Busey’s outstanding stock options and warrants were exercised, stock units were vested, and ESPP shares were issued.</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Earnings per common share have been computed as follows </w:t>
      </w:r>
      <w:r>
        <w:rPr>
          <w:rFonts w:ascii="Verdana" w:cs="Verdana" w:eastAsia="Verdana" w:hAnsi="Verdana"/>
          <w:sz w:val="18"/>
          <w:szCs w:val="18"/>
          <w:i w:val="1"/>
          <w:iCs w:val="1"/>
          <w:color w:val="auto"/>
        </w:rPr>
        <w:t>(dollars in thousands, except per share amounts)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372"/>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2"/>
              <w:spacing w:after="0"/>
              <w:rPr>
                <w:sz w:val="20"/>
                <w:szCs w:val="20"/>
                <w:color w:val="auto"/>
              </w:rPr>
            </w:pPr>
            <w:r>
              <w:rPr>
                <w:rFonts w:ascii="Verdana" w:cs="Verdana" w:eastAsia="Verdana" w:hAnsi="Verdana"/>
                <w:sz w:val="13"/>
                <w:szCs w:val="13"/>
                <w:b w:val="1"/>
                <w:bCs w:val="1"/>
                <w:color w:val="auto"/>
              </w:rPr>
              <w:t>2023</w:t>
            </w:r>
          </w:p>
        </w:tc>
      </w:tr>
      <w:tr>
        <w:trPr>
          <w:trHeight w:val="294"/>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Net income</w:t>
            </w: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26,225</w:t>
            </w:r>
          </w:p>
        </w:tc>
        <w:tc>
          <w:tcPr>
            <w:tcW w:w="8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36,786</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Weighted average number of common shares outstanding, basic</w:t>
            </w:r>
          </w:p>
        </w:tc>
        <w:tc>
          <w:tcPr>
            <w:tcW w:w="300" w:type="dxa"/>
            <w:vAlign w:val="bottom"/>
            <w:shd w:val="clear" w:color="auto" w:fill="E0E7ED"/>
          </w:tcPr>
          <w:p>
            <w:pPr>
              <w:spacing w:after="0"/>
              <w:rPr>
                <w:sz w:val="23"/>
                <w:szCs w:val="23"/>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55,416,589</w:t>
            </w: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55,397,989</w:t>
            </w:r>
          </w:p>
        </w:tc>
      </w:tr>
      <w:tr>
        <w:trPr>
          <w:trHeight w:val="263"/>
        </w:trPr>
        <w:tc>
          <w:tcPr>
            <w:tcW w:w="8120" w:type="dxa"/>
            <w:vAlign w:val="bottom"/>
          </w:tcPr>
          <w:p>
            <w:pPr>
              <w:ind w:left="20"/>
              <w:spacing w:after="0"/>
              <w:rPr>
                <w:sz w:val="20"/>
                <w:szCs w:val="20"/>
                <w:color w:val="auto"/>
              </w:rPr>
            </w:pPr>
            <w:r>
              <w:rPr>
                <w:rFonts w:ascii="Verdana" w:cs="Verdana" w:eastAsia="Verdana" w:hAnsi="Verdana"/>
                <w:sz w:val="18"/>
                <w:szCs w:val="18"/>
                <w:color w:val="auto"/>
              </w:rPr>
              <w:t>Dilutive effect of common stock equivalents:</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Warrants</w:t>
            </w:r>
          </w:p>
        </w:tc>
        <w:tc>
          <w:tcPr>
            <w:tcW w:w="300" w:type="dxa"/>
            <w:vAlign w:val="bottom"/>
            <w:shd w:val="clear" w:color="auto" w:fill="E0E7ED"/>
          </w:tcPr>
          <w:p>
            <w:pPr>
              <w:spacing w:after="0"/>
              <w:rPr>
                <w:sz w:val="24"/>
                <w:szCs w:val="24"/>
                <w:color w:val="auto"/>
              </w:rPr>
            </w:pPr>
          </w:p>
        </w:tc>
        <w:tc>
          <w:tcPr>
            <w:tcW w:w="13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8"/>
                <w:szCs w:val="18"/>
                <w:color w:val="auto"/>
              </w:rPr>
              <w:t>—</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1,296</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RSU awards</w:t>
            </w: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653,437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651,777</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PSU awards</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293,389</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90,645</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DSU awards</w:t>
            </w: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33,481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24,345</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2021 ESPP</w:t>
            </w:r>
          </w:p>
        </w:tc>
        <w:tc>
          <w:tcPr>
            <w:tcW w:w="30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9,604</w:t>
            </w:r>
          </w:p>
        </w:tc>
        <w:tc>
          <w:tcPr>
            <w:tcW w:w="8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13,554</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Weighted average number of common shares outstanding, diluted</w:t>
            </w: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56,406,500</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56,179,606</w:t>
            </w:r>
          </w:p>
        </w:tc>
      </w:tr>
      <w:tr>
        <w:trPr>
          <w:trHeight w:val="20"/>
        </w:trPr>
        <w:tc>
          <w:tcPr>
            <w:tcW w:w="812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812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r>
      <w:tr>
        <w:trPr>
          <w:trHeight w:val="263"/>
        </w:trPr>
        <w:tc>
          <w:tcPr>
            <w:tcW w:w="8120" w:type="dxa"/>
            <w:vAlign w:val="bottom"/>
          </w:tcPr>
          <w:p>
            <w:pPr>
              <w:ind w:left="20"/>
              <w:spacing w:after="0"/>
              <w:rPr>
                <w:sz w:val="20"/>
                <w:szCs w:val="20"/>
                <w:color w:val="auto"/>
              </w:rPr>
            </w:pPr>
            <w:r>
              <w:rPr>
                <w:rFonts w:ascii="Verdana" w:cs="Verdana" w:eastAsia="Verdana" w:hAnsi="Verdana"/>
                <w:sz w:val="18"/>
                <w:szCs w:val="18"/>
                <w:color w:val="auto"/>
              </w:rPr>
              <w:t>Basic earnings per common share</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5"/>
              <w:spacing w:after="0"/>
              <w:rPr>
                <w:sz w:val="20"/>
                <w:szCs w:val="20"/>
                <w:color w:val="auto"/>
              </w:rPr>
            </w:pPr>
            <w:r>
              <w:rPr>
                <w:rFonts w:ascii="Verdana" w:cs="Verdana" w:eastAsia="Verdana" w:hAnsi="Verdana"/>
                <w:sz w:val="18"/>
                <w:szCs w:val="18"/>
                <w:color w:val="auto"/>
              </w:rPr>
              <w:t>0.47</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0.66</w:t>
            </w:r>
          </w:p>
        </w:tc>
      </w:tr>
      <w:tr>
        <w:trPr>
          <w:trHeight w:val="277"/>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Diluted earnings per common share</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0.46</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0.65</w:t>
            </w: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Average shares that were excluded from the computation of diluted earnings per common share because their effect would have been anti-dilutive are summarized in the table below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060" w:type="dxa"/>
            <w:vAlign w:val="bottom"/>
            <w:tcBorders>
              <w:bottom w:val="single" w:sz="8" w:color="auto"/>
            </w:tcBorders>
            <w:gridSpan w:val="3"/>
          </w:tcPr>
          <w:p>
            <w:pPr>
              <w:jc w:val="right"/>
              <w:ind w:right="357"/>
              <w:spacing w:after="0"/>
              <w:rPr>
                <w:sz w:val="20"/>
                <w:szCs w:val="20"/>
                <w:color w:val="auto"/>
              </w:rPr>
            </w:pPr>
            <w:r>
              <w:rPr>
                <w:rFonts w:ascii="Verdana" w:cs="Verdana" w:eastAsia="Verdana" w:hAnsi="Verdana"/>
                <w:sz w:val="13"/>
                <w:szCs w:val="13"/>
                <w:b w:val="1"/>
                <w:bCs w:val="1"/>
                <w:color w:val="auto"/>
              </w:rPr>
              <w:t>Three Months Ended March 31,</w:t>
            </w:r>
          </w:p>
        </w:tc>
        <w:tc>
          <w:tcPr>
            <w:tcW w:w="0" w:type="dxa"/>
            <w:vAlign w:val="bottom"/>
          </w:tcPr>
          <w:p>
            <w:pPr>
              <w:spacing w:after="0"/>
              <w:rPr>
                <w:sz w:val="1"/>
                <w:szCs w:val="1"/>
                <w:color w:val="auto"/>
              </w:rPr>
            </w:pPr>
          </w:p>
        </w:tc>
      </w:tr>
      <w:tr>
        <w:trPr>
          <w:trHeight w:val="170"/>
        </w:trPr>
        <w:tc>
          <w:tcPr>
            <w:tcW w:w="4780" w:type="dxa"/>
            <w:vAlign w:val="bottom"/>
            <w:tcBorders>
              <w:bottom w:val="single" w:sz="8" w:color="E0E7ED"/>
            </w:tcBorders>
          </w:tcPr>
          <w:p>
            <w:pPr>
              <w:spacing w:after="0"/>
              <w:rPr>
                <w:sz w:val="14"/>
                <w:szCs w:val="14"/>
                <w:color w:val="auto"/>
              </w:rPr>
            </w:pPr>
          </w:p>
        </w:tc>
        <w:tc>
          <w:tcPr>
            <w:tcW w:w="3400" w:type="dxa"/>
            <w:vAlign w:val="bottom"/>
            <w:tcBorders>
              <w:bottom w:val="single" w:sz="8" w:color="E0E7ED"/>
            </w:tcBorders>
          </w:tcPr>
          <w:p>
            <w:pPr>
              <w:spacing w:after="0"/>
              <w:rPr>
                <w:sz w:val="14"/>
                <w:szCs w:val="14"/>
                <w:color w:val="auto"/>
              </w:rPr>
            </w:pPr>
          </w:p>
        </w:tc>
        <w:tc>
          <w:tcPr>
            <w:tcW w:w="1480" w:type="dxa"/>
            <w:vAlign w:val="bottom"/>
            <w:tcBorders>
              <w:bottom w:val="single" w:sz="8" w:color="auto"/>
            </w:tcBorders>
          </w:tcPr>
          <w:p>
            <w:pPr>
              <w:jc w:val="right"/>
              <w:ind w:right="48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1480" w:type="dxa"/>
            <w:vAlign w:val="bottom"/>
            <w:tcBorders>
              <w:bottom w:val="single" w:sz="8" w:color="auto"/>
            </w:tcBorders>
          </w:tcPr>
          <w:p>
            <w:pPr>
              <w:jc w:val="right"/>
              <w:ind w:right="477"/>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55"/>
        </w:trPr>
        <w:tc>
          <w:tcPr>
            <w:tcW w:w="47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Anti-dilutive common stock equivalents</w:t>
            </w:r>
          </w:p>
        </w:tc>
        <w:tc>
          <w:tcPr>
            <w:tcW w:w="3400" w:type="dxa"/>
            <w:vAlign w:val="bottom"/>
            <w:shd w:val="clear" w:color="auto" w:fill="E0E7ED"/>
          </w:tcPr>
          <w:p>
            <w:pPr>
              <w:spacing w:after="0"/>
              <w:rPr>
                <w:sz w:val="22"/>
                <w:szCs w:val="22"/>
                <w:color w:val="auto"/>
              </w:rPr>
            </w:pPr>
          </w:p>
        </w:tc>
        <w:tc>
          <w:tcPr>
            <w:tcW w:w="14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48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180"/>
              <w:spacing w:after="0"/>
              <w:rPr>
                <w:sz w:val="20"/>
                <w:szCs w:val="20"/>
                <w:color w:val="auto"/>
              </w:rPr>
            </w:pPr>
            <w:r>
              <w:rPr>
                <w:rFonts w:ascii="Verdana" w:cs="Verdana" w:eastAsia="Verdana" w:hAnsi="Verdana"/>
                <w:sz w:val="18"/>
                <w:szCs w:val="18"/>
                <w:color w:val="auto"/>
              </w:rPr>
              <w:t>Options</w:t>
            </w:r>
          </w:p>
        </w:tc>
        <w:tc>
          <w:tcPr>
            <w:tcW w:w="4880" w:type="dxa"/>
            <w:vAlign w:val="bottom"/>
            <w:gridSpan w:val="2"/>
          </w:tcPr>
          <w:p>
            <w:pPr>
              <w:jc w:val="right"/>
              <w:spacing w:after="0"/>
              <w:rPr>
                <w:sz w:val="20"/>
                <w:szCs w:val="20"/>
                <w:color w:val="auto"/>
              </w:rPr>
            </w:pPr>
            <w:r>
              <w:rPr>
                <w:rFonts w:ascii="Verdana" w:cs="Verdana" w:eastAsia="Verdana" w:hAnsi="Verdana"/>
                <w:sz w:val="18"/>
                <w:szCs w:val="18"/>
                <w:color w:val="auto"/>
              </w:rPr>
              <w:t>20,386</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22,806</w:t>
            </w:r>
          </w:p>
        </w:tc>
        <w:tc>
          <w:tcPr>
            <w:tcW w:w="0" w:type="dxa"/>
            <w:vAlign w:val="bottom"/>
          </w:tcPr>
          <w:p>
            <w:pPr>
              <w:spacing w:after="0"/>
              <w:rPr>
                <w:sz w:val="1"/>
                <w:szCs w:val="1"/>
                <w:color w:val="auto"/>
              </w:rPr>
            </w:pPr>
          </w:p>
        </w:tc>
      </w:tr>
      <w:tr>
        <w:trPr>
          <w:trHeight w:val="270"/>
        </w:trPr>
        <w:tc>
          <w:tcPr>
            <w:tcW w:w="47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PSU awards</w:t>
            </w:r>
          </w:p>
        </w:tc>
        <w:tc>
          <w:tcPr>
            <w:tcW w:w="3400" w:type="dxa"/>
            <w:vAlign w:val="bottom"/>
            <w:shd w:val="clear" w:color="auto" w:fill="E0E7ED"/>
          </w:tcPr>
          <w:p>
            <w:pPr>
              <w:spacing w:after="0"/>
              <w:rPr>
                <w:sz w:val="23"/>
                <w:szCs w:val="23"/>
                <w:color w:val="auto"/>
              </w:rPr>
            </w:pP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108,671</w:t>
            </w:r>
          </w:p>
        </w:tc>
        <w:tc>
          <w:tcPr>
            <w:tcW w:w="100" w:type="dxa"/>
            <w:vAlign w:val="bottom"/>
            <w:shd w:val="clear" w:color="auto" w:fill="E0E7ED"/>
          </w:tcPr>
          <w:p>
            <w:pPr>
              <w:spacing w:after="0"/>
              <w:rPr>
                <w:sz w:val="23"/>
                <w:szCs w:val="23"/>
                <w:color w:val="auto"/>
              </w:rPr>
            </w:pP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265,459</w:t>
            </w:r>
          </w:p>
        </w:tc>
        <w:tc>
          <w:tcPr>
            <w:tcW w:w="0" w:type="dxa"/>
            <w:vAlign w:val="bottom"/>
          </w:tcPr>
          <w:p>
            <w:pPr>
              <w:spacing w:after="0"/>
              <w:rPr>
                <w:sz w:val="1"/>
                <w:szCs w:val="1"/>
                <w:color w:val="auto"/>
              </w:rPr>
            </w:pPr>
          </w:p>
        </w:tc>
      </w:tr>
      <w:tr>
        <w:trPr>
          <w:trHeight w:val="270"/>
        </w:trPr>
        <w:tc>
          <w:tcPr>
            <w:tcW w:w="4780" w:type="dxa"/>
            <w:vAlign w:val="bottom"/>
          </w:tcPr>
          <w:p>
            <w:pPr>
              <w:ind w:left="20"/>
              <w:spacing w:after="0"/>
              <w:rPr>
                <w:sz w:val="20"/>
                <w:szCs w:val="20"/>
                <w:color w:val="auto"/>
              </w:rPr>
            </w:pPr>
            <w:r>
              <w:rPr>
                <w:rFonts w:ascii="Verdana" w:cs="Verdana" w:eastAsia="Verdana" w:hAnsi="Verdana"/>
                <w:sz w:val="18"/>
                <w:szCs w:val="18"/>
                <w:color w:val="auto"/>
              </w:rPr>
              <w:t>Total anti-dilutive common stock equivalents</w:t>
            </w:r>
          </w:p>
        </w:tc>
        <w:tc>
          <w:tcPr>
            <w:tcW w:w="4880" w:type="dxa"/>
            <w:vAlign w:val="bottom"/>
            <w:gridSpan w:val="2"/>
          </w:tcPr>
          <w:p>
            <w:pPr>
              <w:jc w:val="right"/>
              <w:spacing w:after="0"/>
              <w:rPr>
                <w:sz w:val="20"/>
                <w:szCs w:val="20"/>
                <w:color w:val="auto"/>
              </w:rPr>
            </w:pPr>
            <w:r>
              <w:rPr>
                <w:rFonts w:ascii="Verdana" w:cs="Verdana" w:eastAsia="Verdana" w:hAnsi="Verdana"/>
                <w:sz w:val="18"/>
                <w:szCs w:val="18"/>
                <w:color w:val="auto"/>
              </w:rPr>
              <w:t>129,057</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288,265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400" w:type="dxa"/>
            <w:vAlign w:val="bottom"/>
            <w:vMerge w:val="restart"/>
          </w:tcPr>
          <w:p>
            <w:pPr>
              <w:jc w:val="right"/>
              <w:ind w:right="2350"/>
              <w:spacing w:after="0"/>
              <w:rPr>
                <w:sz w:val="20"/>
                <w:szCs w:val="20"/>
                <w:color w:val="auto"/>
              </w:rPr>
            </w:pPr>
            <w:r>
              <w:rPr>
                <w:rFonts w:ascii="Verdana" w:cs="Verdana" w:eastAsia="Verdana" w:hAnsi="Verdana"/>
                <w:sz w:val="18"/>
                <w:szCs w:val="18"/>
                <w:color w:val="auto"/>
              </w:rPr>
              <w:t>57</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7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7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7" w:name="page58"/>
    <w:bookmarkEnd w:id="5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14. ACCUMULATED OTHER COMPREHENSIVE INCOME (LOSS)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following tables present changes in AOCI by component, net of tax, for the periods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ind w:left="100"/>
              <w:spacing w:after="0"/>
              <w:rPr>
                <w:sz w:val="20"/>
                <w:szCs w:val="20"/>
                <w:color w:val="auto"/>
              </w:rPr>
            </w:pPr>
            <w:r>
              <w:rPr>
                <w:rFonts w:ascii="Verdana" w:cs="Verdana" w:eastAsia="Verdana" w:hAnsi="Verdana"/>
                <w:sz w:val="13"/>
                <w:szCs w:val="13"/>
                <w:b w:val="1"/>
                <w:bCs w:val="1"/>
                <w:color w:val="auto"/>
              </w:rPr>
              <w:t>Three Months Ended March 31,</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70"/>
        </w:trPr>
        <w:tc>
          <w:tcPr>
            <w:tcW w:w="4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4"/>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Before Tax</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Verdana" w:cs="Verdana" w:eastAsia="Verdana" w:hAnsi="Verdana"/>
                <w:sz w:val="13"/>
                <w:szCs w:val="13"/>
                <w:b w:val="1"/>
                <w:bCs w:val="1"/>
                <w:color w:val="auto"/>
              </w:rPr>
              <w:t>Tax Effect</w:t>
            </w:r>
          </w:p>
        </w:tc>
        <w:tc>
          <w:tcPr>
            <w:tcW w:w="1120" w:type="dxa"/>
            <w:vAlign w:val="bottom"/>
          </w:tcPr>
          <w:p>
            <w:pPr>
              <w:jc w:val="right"/>
              <w:ind w:right="95"/>
              <w:spacing w:after="0"/>
              <w:rPr>
                <w:sz w:val="20"/>
                <w:szCs w:val="20"/>
                <w:color w:val="auto"/>
              </w:rPr>
            </w:pPr>
            <w:r>
              <w:rPr>
                <w:rFonts w:ascii="Verdana" w:cs="Verdana" w:eastAsia="Verdana" w:hAnsi="Verdana"/>
                <w:sz w:val="13"/>
                <w:szCs w:val="13"/>
                <w:b w:val="1"/>
                <w:bCs w:val="1"/>
                <w:color w:val="auto"/>
              </w:rPr>
              <w:t>Net of Tax</w:t>
            </w:r>
          </w:p>
        </w:tc>
        <w:tc>
          <w:tcPr>
            <w:tcW w:w="8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Before Tax</w:t>
            </w:r>
          </w:p>
        </w:tc>
        <w:tc>
          <w:tcPr>
            <w:tcW w:w="16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Verdana" w:cs="Verdana" w:eastAsia="Verdana" w:hAnsi="Verdana"/>
                <w:sz w:val="13"/>
                <w:szCs w:val="13"/>
                <w:b w:val="1"/>
                <w:bCs w:val="1"/>
                <w:color w:val="auto"/>
              </w:rPr>
              <w:t>Tax Effect</w:t>
            </w:r>
          </w:p>
        </w:tc>
        <w:tc>
          <w:tcPr>
            <w:tcW w:w="1120" w:type="dxa"/>
            <w:vAlign w:val="bottom"/>
          </w:tcPr>
          <w:p>
            <w:pPr>
              <w:jc w:val="right"/>
              <w:ind w:right="112"/>
              <w:spacing w:after="0"/>
              <w:rPr>
                <w:sz w:val="20"/>
                <w:szCs w:val="20"/>
                <w:color w:val="auto"/>
              </w:rPr>
            </w:pPr>
            <w:r>
              <w:rPr>
                <w:rFonts w:ascii="Verdana" w:cs="Verdana" w:eastAsia="Verdana" w:hAnsi="Verdana"/>
                <w:sz w:val="13"/>
                <w:szCs w:val="13"/>
                <w:b w:val="1"/>
                <w:bCs w:val="1"/>
                <w:color w:val="auto"/>
              </w:rPr>
              <w:t>Net of Tax</w:t>
            </w:r>
          </w:p>
        </w:tc>
      </w:tr>
      <w:tr>
        <w:trPr>
          <w:trHeight w:val="223"/>
        </w:trPr>
        <w:tc>
          <w:tcPr>
            <w:tcW w:w="41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Unrealized/Unrecognized gains (losses)</w:t>
            </w:r>
          </w:p>
        </w:tc>
        <w:tc>
          <w:tcPr>
            <w:tcW w:w="11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40" w:type="dxa"/>
            <w:vAlign w:val="bottom"/>
            <w:tcBorders>
              <w:top w:val="single" w:sz="8" w:color="auto"/>
            </w:tcBorders>
            <w:shd w:val="clear" w:color="auto" w:fill="E0E7ED"/>
          </w:tcPr>
          <w:p>
            <w:pPr>
              <w:spacing w:after="0"/>
              <w:rPr>
                <w:sz w:val="19"/>
                <w:szCs w:val="19"/>
                <w:color w:val="auto"/>
              </w:rPr>
            </w:pPr>
          </w:p>
        </w:tc>
        <w:tc>
          <w:tcPr>
            <w:tcW w:w="9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r>
      <w:tr>
        <w:trPr>
          <w:trHeight w:val="248"/>
        </w:trPr>
        <w:tc>
          <w:tcPr>
            <w:tcW w:w="41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on debt securities</w:t>
            </w: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r>
      <w:tr>
        <w:trPr>
          <w:trHeight w:val="263"/>
        </w:trPr>
        <w:tc>
          <w:tcPr>
            <w:tcW w:w="4160" w:type="dxa"/>
            <w:vAlign w:val="bottom"/>
          </w:tcPr>
          <w:p>
            <w:pPr>
              <w:ind w:left="20"/>
              <w:spacing w:after="0"/>
              <w:rPr>
                <w:sz w:val="20"/>
                <w:szCs w:val="20"/>
                <w:color w:val="auto"/>
              </w:rPr>
            </w:pPr>
            <w:r>
              <w:rPr>
                <w:rFonts w:ascii="Verdana" w:cs="Verdana" w:eastAsia="Verdana" w:hAnsi="Verdana"/>
                <w:sz w:val="18"/>
                <w:szCs w:val="18"/>
                <w:color w:val="auto"/>
              </w:rPr>
              <w:t>Balance at beginning of period</w:t>
            </w:r>
          </w:p>
        </w:tc>
        <w:tc>
          <w:tcPr>
            <w:tcW w:w="1120" w:type="dxa"/>
            <w:vAlign w:val="bottom"/>
          </w:tcPr>
          <w:p>
            <w:pPr>
              <w:jc w:val="right"/>
              <w:spacing w:after="0"/>
              <w:rPr>
                <w:sz w:val="20"/>
                <w:szCs w:val="20"/>
                <w:color w:val="auto"/>
              </w:rPr>
            </w:pPr>
            <w:r>
              <w:rPr>
                <w:rFonts w:ascii="Verdana" w:cs="Verdana" w:eastAsia="Verdana" w:hAnsi="Verdana"/>
                <w:sz w:val="18"/>
                <w:szCs w:val="18"/>
                <w:color w:val="auto"/>
                <w:w w:val="98"/>
              </w:rPr>
              <w:t>$ (282,688)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40" w:type="dxa"/>
            <w:vAlign w:val="bottom"/>
          </w:tcPr>
          <w:p>
            <w:pPr>
              <w:jc w:val="right"/>
              <w:spacing w:after="0"/>
              <w:rPr>
                <w:sz w:val="20"/>
                <w:szCs w:val="20"/>
                <w:color w:val="auto"/>
              </w:rPr>
            </w:pPr>
            <w:r>
              <w:rPr>
                <w:rFonts w:ascii="Verdana" w:cs="Verdana" w:eastAsia="Verdana" w:hAnsi="Verdana"/>
                <w:sz w:val="18"/>
                <w:szCs w:val="18"/>
                <w:color w:val="auto"/>
              </w:rPr>
              <w:t>80,579</w:t>
            </w: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8"/>
              </w:rPr>
              <w:t>$ (202,109)</w:t>
            </w: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w w:val="98"/>
              </w:rPr>
              <w:t>$ (352,878)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100,585</w:t>
            </w: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w w:val="98"/>
              </w:rPr>
              <w:t>$ (252,293)</w:t>
            </w:r>
          </w:p>
        </w:tc>
      </w:tr>
      <w:tr>
        <w:trPr>
          <w:trHeight w:val="244"/>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holding gains (losses) on debt</w:t>
            </w: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r>
      <w:tr>
        <w:trPr>
          <w:trHeight w:val="248"/>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 available for sale, net</w:t>
            </w: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(7,947)</w:t>
            </w: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2,266</w:t>
            </w:r>
          </w:p>
        </w:tc>
        <w:tc>
          <w:tcPr>
            <w:tcW w:w="80" w:type="dxa"/>
            <w:vAlign w:val="bottom"/>
            <w:shd w:val="clear" w:color="auto" w:fill="E0E7ED"/>
          </w:tcPr>
          <w:p>
            <w:pPr>
              <w:spacing w:after="0"/>
              <w:rPr>
                <w:sz w:val="21"/>
                <w:szCs w:val="21"/>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(5,681)</w:t>
            </w:r>
          </w:p>
        </w:tc>
        <w:tc>
          <w:tcPr>
            <w:tcW w:w="80" w:type="dxa"/>
            <w:vAlign w:val="bottom"/>
            <w:shd w:val="clear" w:color="auto" w:fill="E0E7ED"/>
          </w:tcPr>
          <w:p>
            <w:pPr>
              <w:spacing w:after="0"/>
              <w:rPr>
                <w:sz w:val="21"/>
                <w:szCs w:val="21"/>
                <w:color w:val="auto"/>
              </w:rPr>
            </w:pPr>
          </w:p>
        </w:tc>
        <w:tc>
          <w:tcPr>
            <w:tcW w:w="11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30,693</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(8,749)</w:t>
            </w:r>
          </w:p>
        </w:tc>
        <w:tc>
          <w:tcPr>
            <w:tcW w:w="80" w:type="dxa"/>
            <w:vAlign w:val="bottom"/>
            <w:shd w:val="clear" w:color="auto" w:fill="E0E7ED"/>
          </w:tcPr>
          <w:p>
            <w:pPr>
              <w:spacing w:after="0"/>
              <w:rPr>
                <w:sz w:val="21"/>
                <w:szCs w:val="21"/>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21,944</w:t>
            </w:r>
          </w:p>
        </w:tc>
      </w:tr>
      <w:tr>
        <w:trPr>
          <w:trHeight w:val="263"/>
        </w:trPr>
        <w:tc>
          <w:tcPr>
            <w:tcW w:w="4160" w:type="dxa"/>
            <w:vAlign w:val="bottom"/>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1120" w:type="dxa"/>
            <w:vAlign w:val="bottom"/>
          </w:tcPr>
          <w:p>
            <w:pPr>
              <w:jc w:val="right"/>
              <w:spacing w:after="0"/>
              <w:rPr>
                <w:sz w:val="20"/>
                <w:szCs w:val="20"/>
                <w:color w:val="auto"/>
              </w:rPr>
            </w:pPr>
            <w:r>
              <w:rPr>
                <w:rFonts w:ascii="Verdana" w:cs="Verdana" w:eastAsia="Verdana" w:hAnsi="Verdana"/>
                <w:sz w:val="18"/>
                <w:szCs w:val="18"/>
                <w:color w:val="auto"/>
              </w:rPr>
              <w:t>6,802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(1,939)</w:t>
            </w: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rPr>
              <w:t>4,863</w:t>
            </w: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1</w:t>
            </w: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rPr>
              <w:t>(3)</w:t>
            </w:r>
          </w:p>
        </w:tc>
      </w:tr>
      <w:tr>
        <w:trPr>
          <w:trHeight w:val="244"/>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unrecognized losses on</w:t>
            </w: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r>
      <w:tr>
        <w:trPr>
          <w:trHeight w:val="242"/>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 transferred to held to maturity</w:t>
            </w: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1,411</w:t>
            </w:r>
          </w:p>
        </w:tc>
        <w:tc>
          <w:tcPr>
            <w:tcW w:w="80" w:type="dxa"/>
            <w:vAlign w:val="bottom"/>
            <w:shd w:val="clear" w:color="auto" w:fill="E0E7ED"/>
          </w:tcPr>
          <w:p>
            <w:pPr>
              <w:spacing w:after="0"/>
              <w:rPr>
                <w:sz w:val="21"/>
                <w:szCs w:val="21"/>
                <w:color w:val="auto"/>
              </w:rPr>
            </w:pPr>
          </w:p>
        </w:tc>
        <w:tc>
          <w:tcPr>
            <w:tcW w:w="140" w:type="dxa"/>
            <w:vAlign w:val="bottom"/>
            <w:tcBorders>
              <w:bottom w:val="single" w:sz="8" w:color="auto"/>
            </w:tcBorders>
            <w:shd w:val="clear" w:color="auto" w:fill="E0E7ED"/>
          </w:tcPr>
          <w:p>
            <w:pPr>
              <w:spacing w:after="0"/>
              <w:rPr>
                <w:sz w:val="21"/>
                <w:szCs w:val="21"/>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(402)</w:t>
            </w:r>
          </w:p>
        </w:tc>
        <w:tc>
          <w:tcPr>
            <w:tcW w:w="80" w:type="dxa"/>
            <w:vAlign w:val="bottom"/>
            <w:shd w:val="clear" w:color="auto" w:fill="E0E7ED"/>
          </w:tcPr>
          <w:p>
            <w:pPr>
              <w:spacing w:after="0"/>
              <w:rPr>
                <w:sz w:val="21"/>
                <w:szCs w:val="21"/>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1,009</w:t>
            </w:r>
          </w:p>
        </w:tc>
        <w:tc>
          <w:tcPr>
            <w:tcW w:w="80" w:type="dxa"/>
            <w:vAlign w:val="bottom"/>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1,693</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(483)</w:t>
            </w:r>
          </w:p>
        </w:tc>
        <w:tc>
          <w:tcPr>
            <w:tcW w:w="80" w:type="dxa"/>
            <w:vAlign w:val="bottom"/>
            <w:shd w:val="clear" w:color="auto" w:fill="E0E7ED"/>
          </w:tcPr>
          <w:p>
            <w:pPr>
              <w:spacing w:after="0"/>
              <w:rPr>
                <w:sz w:val="21"/>
                <w:szCs w:val="21"/>
                <w:color w:val="auto"/>
              </w:rPr>
            </w:pPr>
          </w:p>
        </w:tc>
        <w:tc>
          <w:tcPr>
            <w:tcW w:w="11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1,210</w:t>
            </w:r>
          </w:p>
        </w:tc>
      </w:tr>
      <w:tr>
        <w:trPr>
          <w:trHeight w:val="264"/>
        </w:trPr>
        <w:tc>
          <w:tcPr>
            <w:tcW w:w="416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Balance at end of period</w:t>
            </w: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(282,422)</w:t>
            </w:r>
          </w:p>
        </w:tc>
        <w:tc>
          <w:tcPr>
            <w:tcW w:w="80" w:type="dxa"/>
            <w:vAlign w:val="bottom"/>
            <w:tcBorders>
              <w:bottom w:val="single" w:sz="8" w:color="E0E7ED"/>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80,504</w:t>
            </w:r>
          </w:p>
        </w:tc>
        <w:tc>
          <w:tcPr>
            <w:tcW w:w="80" w:type="dxa"/>
            <w:vAlign w:val="bottom"/>
            <w:tcBorders>
              <w:bottom w:val="single" w:sz="8" w:color="E0E7ED"/>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(201,918)</w:t>
            </w:r>
          </w:p>
        </w:tc>
        <w:tc>
          <w:tcPr>
            <w:tcW w:w="80" w:type="dxa"/>
            <w:vAlign w:val="bottom"/>
            <w:tcBorders>
              <w:bottom w:val="single" w:sz="8" w:color="E0E7ED"/>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(320,496)</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91,354</w:t>
            </w:r>
          </w:p>
        </w:tc>
        <w:tc>
          <w:tcPr>
            <w:tcW w:w="80" w:type="dxa"/>
            <w:vAlign w:val="bottom"/>
            <w:tcBorders>
              <w:bottom w:val="single" w:sz="8" w:color="E0E7ED"/>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(229,142)</w:t>
            </w:r>
          </w:p>
        </w:tc>
      </w:tr>
      <w:tr>
        <w:trPr>
          <w:trHeight w:val="256"/>
        </w:trPr>
        <w:tc>
          <w:tcPr>
            <w:tcW w:w="4160" w:type="dxa"/>
            <w:vAlign w:val="bottom"/>
            <w:shd w:val="clear" w:color="auto" w:fill="E0E7ED"/>
          </w:tcPr>
          <w:p>
            <w:pPr>
              <w:spacing w:after="0"/>
              <w:rPr>
                <w:sz w:val="22"/>
                <w:szCs w:val="22"/>
                <w:color w:val="auto"/>
              </w:rPr>
            </w:pPr>
          </w:p>
        </w:tc>
        <w:tc>
          <w:tcPr>
            <w:tcW w:w="11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40" w:type="dxa"/>
            <w:vAlign w:val="bottom"/>
            <w:shd w:val="clear" w:color="auto" w:fill="E0E7ED"/>
          </w:tcPr>
          <w:p>
            <w:pPr>
              <w:spacing w:after="0"/>
              <w:rPr>
                <w:sz w:val="22"/>
                <w:szCs w:val="22"/>
                <w:color w:val="auto"/>
              </w:rPr>
            </w:pPr>
          </w:p>
        </w:tc>
        <w:tc>
          <w:tcPr>
            <w:tcW w:w="9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1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9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120" w:type="dxa"/>
            <w:vAlign w:val="bottom"/>
            <w:shd w:val="clear" w:color="auto" w:fill="E0E7ED"/>
          </w:tcPr>
          <w:p>
            <w:pPr>
              <w:spacing w:after="0"/>
              <w:rPr>
                <w:sz w:val="22"/>
                <w:szCs w:val="22"/>
                <w:color w:val="auto"/>
              </w:rPr>
            </w:pPr>
          </w:p>
        </w:tc>
      </w:tr>
      <w:tr>
        <w:trPr>
          <w:trHeight w:val="238"/>
        </w:trPr>
        <w:tc>
          <w:tcPr>
            <w:tcW w:w="4160" w:type="dxa"/>
            <w:vAlign w:val="bottom"/>
          </w:tcPr>
          <w:p>
            <w:pPr>
              <w:ind w:left="20"/>
              <w:spacing w:after="0"/>
              <w:rPr>
                <w:sz w:val="20"/>
                <w:szCs w:val="20"/>
                <w:color w:val="auto"/>
              </w:rPr>
            </w:pPr>
            <w:r>
              <w:rPr>
                <w:rFonts w:ascii="Verdana" w:cs="Verdana" w:eastAsia="Verdana" w:hAnsi="Verdana"/>
                <w:sz w:val="18"/>
                <w:szCs w:val="18"/>
                <w:b w:val="1"/>
                <w:bCs w:val="1"/>
                <w:color w:val="auto"/>
              </w:rPr>
              <w:t>Unrealized gains (losses) on cash flow</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2"/>
        </w:trPr>
        <w:tc>
          <w:tcPr>
            <w:tcW w:w="4160" w:type="dxa"/>
            <w:vAlign w:val="bottom"/>
          </w:tcPr>
          <w:p>
            <w:pPr>
              <w:ind w:left="20"/>
              <w:spacing w:after="0"/>
              <w:rPr>
                <w:sz w:val="20"/>
                <w:szCs w:val="20"/>
                <w:color w:val="auto"/>
              </w:rPr>
            </w:pPr>
            <w:r>
              <w:rPr>
                <w:rFonts w:ascii="Verdana" w:cs="Verdana" w:eastAsia="Verdana" w:hAnsi="Verdana"/>
                <w:sz w:val="18"/>
                <w:szCs w:val="18"/>
                <w:b w:val="1"/>
                <w:bCs w:val="1"/>
                <w:color w:val="auto"/>
              </w:rPr>
              <w:t>hedges</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7"/>
        </w:trPr>
        <w:tc>
          <w:tcPr>
            <w:tcW w:w="41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Balance at beginning of period</w:t>
            </w: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(23,348)</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6,654</w:t>
            </w:r>
          </w:p>
        </w:tc>
        <w:tc>
          <w:tcPr>
            <w:tcW w:w="80" w:type="dxa"/>
            <w:vAlign w:val="bottom"/>
            <w:shd w:val="clear" w:color="auto" w:fill="E0E7ED"/>
          </w:tcPr>
          <w:p>
            <w:pPr>
              <w:spacing w:after="0"/>
              <w:rPr>
                <w:sz w:val="24"/>
                <w:szCs w:val="24"/>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(16,694)</w:t>
            </w:r>
          </w:p>
        </w:tc>
        <w:tc>
          <w:tcPr>
            <w:tcW w:w="8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(29,350)</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8,365</w:t>
            </w:r>
          </w:p>
        </w:tc>
        <w:tc>
          <w:tcPr>
            <w:tcW w:w="80" w:type="dxa"/>
            <w:vAlign w:val="bottom"/>
            <w:shd w:val="clear" w:color="auto" w:fill="E0E7ED"/>
          </w:tcPr>
          <w:p>
            <w:pPr>
              <w:spacing w:after="0"/>
              <w:rPr>
                <w:sz w:val="24"/>
                <w:szCs w:val="24"/>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(20,985)</w:t>
            </w:r>
          </w:p>
        </w:tc>
      </w:tr>
      <w:tr>
        <w:trPr>
          <w:trHeight w:val="238"/>
        </w:trPr>
        <w:tc>
          <w:tcPr>
            <w:tcW w:w="4160" w:type="dxa"/>
            <w:vAlign w:val="bottom"/>
          </w:tcPr>
          <w:p>
            <w:pPr>
              <w:ind w:left="180"/>
              <w:spacing w:after="0"/>
              <w:rPr>
                <w:sz w:val="20"/>
                <w:szCs w:val="20"/>
                <w:color w:val="auto"/>
              </w:rPr>
            </w:pPr>
            <w:r>
              <w:rPr>
                <w:rFonts w:ascii="Verdana" w:cs="Verdana" w:eastAsia="Verdana" w:hAnsi="Verdana"/>
                <w:sz w:val="18"/>
                <w:szCs w:val="18"/>
                <w:color w:val="auto"/>
              </w:rPr>
              <w:t>Unrealized holding gains (losses) on cash</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2"/>
        </w:trPr>
        <w:tc>
          <w:tcPr>
            <w:tcW w:w="4160" w:type="dxa"/>
            <w:vAlign w:val="bottom"/>
          </w:tcPr>
          <w:p>
            <w:pPr>
              <w:ind w:left="180"/>
              <w:spacing w:after="0"/>
              <w:rPr>
                <w:sz w:val="20"/>
                <w:szCs w:val="20"/>
                <w:color w:val="auto"/>
              </w:rPr>
            </w:pPr>
            <w:r>
              <w:rPr>
                <w:rFonts w:ascii="Verdana" w:cs="Verdana" w:eastAsia="Verdana" w:hAnsi="Verdana"/>
                <w:sz w:val="18"/>
                <w:szCs w:val="18"/>
                <w:color w:val="auto"/>
              </w:rPr>
              <w:t>flow hedges, net</w:t>
            </w:r>
          </w:p>
        </w:tc>
        <w:tc>
          <w:tcPr>
            <w:tcW w:w="1120" w:type="dxa"/>
            <w:vAlign w:val="bottom"/>
          </w:tcPr>
          <w:p>
            <w:pPr>
              <w:jc w:val="right"/>
              <w:spacing w:after="0"/>
              <w:rPr>
                <w:sz w:val="20"/>
                <w:szCs w:val="20"/>
                <w:color w:val="auto"/>
              </w:rPr>
            </w:pPr>
            <w:r>
              <w:rPr>
                <w:rFonts w:ascii="Verdana" w:cs="Verdana" w:eastAsia="Verdana" w:hAnsi="Verdana"/>
                <w:sz w:val="18"/>
                <w:szCs w:val="18"/>
                <w:color w:val="auto"/>
              </w:rPr>
              <w:t>(7,318)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2,086</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rPr>
              <w:t>(5,232)</w:t>
            </w:r>
          </w:p>
        </w:tc>
        <w:tc>
          <w:tcPr>
            <w:tcW w:w="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Verdana" w:cs="Verdana" w:eastAsia="Verdana" w:hAnsi="Verdana"/>
                <w:sz w:val="18"/>
                <w:szCs w:val="18"/>
                <w:color w:val="auto"/>
              </w:rPr>
              <w:t>4,264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(1,214)</w:t>
            </w:r>
          </w:p>
        </w:tc>
        <w:tc>
          <w:tcPr>
            <w:tcW w:w="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Verdana" w:cs="Verdana" w:eastAsia="Verdana" w:hAnsi="Verdana"/>
                <w:sz w:val="18"/>
                <w:szCs w:val="18"/>
                <w:color w:val="auto"/>
              </w:rPr>
              <w:t>3,050</w:t>
            </w:r>
          </w:p>
        </w:tc>
      </w:tr>
      <w:tr>
        <w:trPr>
          <w:trHeight w:val="270"/>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2,313</w:t>
            </w:r>
          </w:p>
        </w:tc>
        <w:tc>
          <w:tcPr>
            <w:tcW w:w="8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(659)</w:t>
            </w:r>
          </w:p>
        </w:tc>
        <w:tc>
          <w:tcPr>
            <w:tcW w:w="80" w:type="dxa"/>
            <w:vAlign w:val="bottom"/>
            <w:shd w:val="clear" w:color="auto" w:fill="E0E7ED"/>
          </w:tcPr>
          <w:p>
            <w:pPr>
              <w:spacing w:after="0"/>
              <w:rPr>
                <w:sz w:val="23"/>
                <w:szCs w:val="23"/>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1,654</w:t>
            </w:r>
          </w:p>
        </w:tc>
        <w:tc>
          <w:tcPr>
            <w:tcW w:w="80" w:type="dxa"/>
            <w:vAlign w:val="bottom"/>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1,809</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(516)</w:t>
            </w:r>
          </w:p>
        </w:tc>
        <w:tc>
          <w:tcPr>
            <w:tcW w:w="80" w:type="dxa"/>
            <w:vAlign w:val="bottom"/>
            <w:shd w:val="clear" w:color="auto" w:fill="E0E7ED"/>
          </w:tcPr>
          <w:p>
            <w:pPr>
              <w:spacing w:after="0"/>
              <w:rPr>
                <w:sz w:val="23"/>
                <w:szCs w:val="23"/>
                <w:color w:val="auto"/>
              </w:rPr>
            </w:pPr>
          </w:p>
        </w:tc>
        <w:tc>
          <w:tcPr>
            <w:tcW w:w="11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1,293</w:t>
            </w:r>
          </w:p>
        </w:tc>
      </w:tr>
      <w:tr>
        <w:trPr>
          <w:trHeight w:val="263"/>
        </w:trPr>
        <w:tc>
          <w:tcPr>
            <w:tcW w:w="416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Balance at end of period</w:t>
            </w: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(28,353)</w:t>
            </w:r>
          </w:p>
        </w:tc>
        <w:tc>
          <w:tcPr>
            <w:tcW w:w="80" w:type="dxa"/>
            <w:vAlign w:val="bottom"/>
            <w:tcBorders>
              <w:bottom w:val="single" w:sz="8" w:color="E0E7ED"/>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8,081</w:t>
            </w:r>
          </w:p>
        </w:tc>
        <w:tc>
          <w:tcPr>
            <w:tcW w:w="80" w:type="dxa"/>
            <w:vAlign w:val="bottom"/>
            <w:tcBorders>
              <w:bottom w:val="single" w:sz="8" w:color="E0E7ED"/>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(20,272)</w:t>
            </w:r>
          </w:p>
        </w:tc>
        <w:tc>
          <w:tcPr>
            <w:tcW w:w="80" w:type="dxa"/>
            <w:vAlign w:val="bottom"/>
            <w:tcBorders>
              <w:bottom w:val="single" w:sz="8" w:color="E0E7ED"/>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(23,277)</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6,635</w:t>
            </w:r>
          </w:p>
        </w:tc>
        <w:tc>
          <w:tcPr>
            <w:tcW w:w="80" w:type="dxa"/>
            <w:vAlign w:val="bottom"/>
            <w:tcBorders>
              <w:bottom w:val="single" w:sz="8" w:color="E0E7ED"/>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(16,642)</w:t>
            </w:r>
          </w:p>
        </w:tc>
      </w:tr>
      <w:tr>
        <w:trPr>
          <w:trHeight w:val="257"/>
        </w:trPr>
        <w:tc>
          <w:tcPr>
            <w:tcW w:w="4160" w:type="dxa"/>
            <w:vAlign w:val="bottom"/>
            <w:shd w:val="clear" w:color="auto" w:fill="E0E7ED"/>
          </w:tcPr>
          <w:p>
            <w:pPr>
              <w:spacing w:after="0"/>
              <w:rPr>
                <w:sz w:val="22"/>
                <w:szCs w:val="22"/>
                <w:color w:val="auto"/>
              </w:rPr>
            </w:pPr>
          </w:p>
        </w:tc>
        <w:tc>
          <w:tcPr>
            <w:tcW w:w="11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40" w:type="dxa"/>
            <w:vAlign w:val="bottom"/>
            <w:shd w:val="clear" w:color="auto" w:fill="E0E7ED"/>
          </w:tcPr>
          <w:p>
            <w:pPr>
              <w:spacing w:after="0"/>
              <w:rPr>
                <w:sz w:val="22"/>
                <w:szCs w:val="22"/>
                <w:color w:val="auto"/>
              </w:rPr>
            </w:pPr>
          </w:p>
        </w:tc>
        <w:tc>
          <w:tcPr>
            <w:tcW w:w="9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1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9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120" w:type="dxa"/>
            <w:vAlign w:val="bottom"/>
            <w:shd w:val="clear" w:color="auto" w:fill="E0E7ED"/>
          </w:tcPr>
          <w:p>
            <w:pPr>
              <w:spacing w:after="0"/>
              <w:rPr>
                <w:sz w:val="22"/>
                <w:szCs w:val="22"/>
                <w:color w:val="auto"/>
              </w:rPr>
            </w:pPr>
          </w:p>
        </w:tc>
      </w:tr>
      <w:tr>
        <w:trPr>
          <w:trHeight w:val="270"/>
        </w:trPr>
        <w:tc>
          <w:tcPr>
            <w:tcW w:w="4160" w:type="dxa"/>
            <w:vAlign w:val="bottom"/>
          </w:tcPr>
          <w:p>
            <w:pPr>
              <w:ind w:left="20"/>
              <w:spacing w:after="0"/>
              <w:rPr>
                <w:sz w:val="20"/>
                <w:szCs w:val="20"/>
                <w:color w:val="auto"/>
              </w:rPr>
            </w:pPr>
            <w:r>
              <w:rPr>
                <w:rFonts w:ascii="Verdana" w:cs="Verdana" w:eastAsia="Verdana" w:hAnsi="Verdana"/>
                <w:sz w:val="18"/>
                <w:szCs w:val="18"/>
                <w:color w:val="auto"/>
              </w:rPr>
              <w:t>Total AOCI</w:t>
            </w: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98"/>
              </w:rPr>
              <w:t>$ (310,775)</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88,585</w:t>
            </w:r>
          </w:p>
        </w:tc>
        <w:tc>
          <w:tcPr>
            <w:tcW w:w="8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98"/>
              </w:rPr>
              <w:t>$ (222,190)</w:t>
            </w:r>
          </w:p>
        </w:tc>
        <w:tc>
          <w:tcPr>
            <w:tcW w:w="80" w:type="dxa"/>
            <w:vAlign w:val="bottom"/>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98"/>
              </w:rPr>
              <w:t>$ (343,773)</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97,989</w:t>
            </w:r>
          </w:p>
        </w:tc>
        <w:tc>
          <w:tcPr>
            <w:tcW w:w="80" w:type="dxa"/>
            <w:vAlign w:val="bottom"/>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98"/>
              </w:rPr>
              <w:t>$ (245,784)</w:t>
            </w:r>
          </w:p>
        </w:tc>
      </w:tr>
      <w:tr>
        <w:trPr>
          <w:trHeight w:val="20"/>
        </w:trPr>
        <w:tc>
          <w:tcPr>
            <w:tcW w:w="4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912"/>
        </w:trPr>
        <w:tc>
          <w:tcPr>
            <w:tcW w:w="4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614"/>
              <w:spacing w:after="0"/>
              <w:rPr>
                <w:sz w:val="20"/>
                <w:szCs w:val="20"/>
                <w:color w:val="auto"/>
              </w:rPr>
            </w:pPr>
            <w:r>
              <w:rPr>
                <w:rFonts w:ascii="Verdana" w:cs="Verdana" w:eastAsia="Verdana" w:hAnsi="Verdana"/>
                <w:sz w:val="18"/>
                <w:szCs w:val="18"/>
                <w:color w:val="auto"/>
                <w:w w:val="95"/>
              </w:rPr>
              <w:t>58</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7"/>
        </w:trPr>
        <w:tc>
          <w:tcPr>
            <w:tcW w:w="4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8" w:name="page59"/>
    <w:bookmarkEnd w:id="5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15. OPERATING SEGMENTS AND RELATED INFORMATION</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 has three reportable operating segments: Banking, Wealth Management, and FirsTech. Busey’s three operating segments are strategic business units that are separately managed, as they offer different products and services and have different marketing strategies.</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The Banking Operating Segment</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Banking operating segment provides a full range of banking services to individual and corporate customers through First Busey Corporation’s wholly-owned bank subsidiary, Busey Bank, with 58 banking centers in Illinois; the St. Louis, Missouri, metropolitan area; southwest Florida; and Indianapolis, Indiana.</w:t>
      </w:r>
    </w:p>
    <w:p>
      <w:pPr>
        <w:spacing w:after="0" w:line="15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Banking services offered to individual customers include customary types of demand and savings deposits, money transfers, safe deposit services, individual retirement accounts and other fiduciary services, automated teller machines, and technology-based networks, as well as a variety of loan products including residential real estate, home equity lines of credit, and consumer loans. Banking services offered to corporate customers include commercial, commercial real estate, real estate construction, and agricultural loans, as well as commercial depository services such as cash management.</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The Wealth Management Operating Segment</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Wealth Management operating segment provides a full range of asset management, investment, brokerage, fiduciary, philanthropic advisory, tax preparation, and farm management services to individuals, businesses, and foundations. Services are provided through Busey Capital Management, Inc., a wholly-owned subsidiary of Busey Bank, and Busey Wealth Management, a division of Busey Bank.</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Wealth management services tailored to individuals include trust and estate advisory services and financial planning. Business services include business succession planning and employee retirement plan services. Services for foundations include investment strategy consulting and fiduciary services.</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The FirsTech Operating Segment</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FirsTech operating segment provides comprehensive and innovative payment technology solutions through Busey Bank’s wholly-owned subsidiary, FirsTech. FirsTech's multi-channel payment platform allows businesses to collect payments from their customers in a variety of ways to enable fast, frictionless payments. Payment method vehicles include, but are not limited to, text-based mobile bill pay; interactive voice response; electronic payment concentration delivered to Automated Clearing House networks, money management, and credit card networks; walk-in payment processing for customers at retail pay agents; customer service payments made over a telephone; direct debit services; and lockbox remittance processing for customers to make payments by mail. FirsTech also provides additional tools to help clients with billing, reconciliation, bill reminders, and treasury services.</w:t>
      </w:r>
    </w:p>
    <w:p>
      <w:pPr>
        <w:spacing w:after="0" w:line="161"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FirsTech's client base represents a diverse set of industries, with a higher concentration in highly regulated industries, such as financial institutions, utility, insurance, and telecommunications industries.</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Segment Financial Information</w:t>
      </w:r>
    </w:p>
    <w:p>
      <w:pPr>
        <w:spacing w:after="0" w:line="173" w:lineRule="exact"/>
        <w:rPr>
          <w:sz w:val="20"/>
          <w:szCs w:val="20"/>
          <w:color w:val="auto"/>
        </w:rPr>
      </w:pPr>
    </w:p>
    <w:p>
      <w:pPr>
        <w:jc w:val="both"/>
        <w:spacing w:after="0" w:line="242" w:lineRule="auto"/>
        <w:rPr>
          <w:rFonts w:ascii="Verdana" w:cs="Verdana" w:eastAsia="Verdana" w:hAnsi="Verdana"/>
          <w:sz w:val="18"/>
          <w:szCs w:val="18"/>
          <w:color w:val="0000FF"/>
        </w:rPr>
      </w:pPr>
      <w:r>
        <w:rPr>
          <w:rFonts w:ascii="Verdana" w:cs="Verdana" w:eastAsia="Verdana" w:hAnsi="Verdana"/>
          <w:sz w:val="18"/>
          <w:szCs w:val="18"/>
          <w:color w:val="auto"/>
        </w:rPr>
        <w:t xml:space="preserve">The segment financial information provided below has been derived from information used by management to monitor and manage Busey’s financial performance. The accounting policies of the three operating segments are the same as those </w:t>
      </w:r>
      <w:hyperlink r:id="rId24">
        <w:r>
          <w:rPr>
            <w:rFonts w:ascii="Verdana" w:cs="Verdana" w:eastAsia="Verdana" w:hAnsi="Verdana"/>
            <w:sz w:val="18"/>
            <w:szCs w:val="18"/>
            <w:color w:val="auto"/>
          </w:rPr>
          <w:t>described in the summary of significant accounting policies in “</w:t>
        </w:r>
        <w:r>
          <w:rPr>
            <w:rFonts w:ascii="Verdana" w:cs="Verdana" w:eastAsia="Verdana" w:hAnsi="Verdana"/>
            <w:sz w:val="18"/>
            <w:szCs w:val="18"/>
            <w:i w:val="1"/>
            <w:iCs w:val="1"/>
            <w:u w:val="single" w:color="auto"/>
            <w:color w:val="0000FF"/>
          </w:rPr>
          <w:t>Note 1. Significant Accounting Policies</w:t>
        </w:r>
        <w:r>
          <w:rPr>
            <w:rFonts w:ascii="Verdana" w:cs="Verdana" w:eastAsia="Verdana" w:hAnsi="Verdana"/>
            <w:sz w:val="18"/>
            <w:szCs w:val="18"/>
            <w:color w:val="auto"/>
          </w:rPr>
          <w:t xml:space="preserve">” of </w:t>
        </w:r>
        <w:r>
          <w:rPr>
            <w:rFonts w:ascii="Verdana" w:cs="Verdana" w:eastAsia="Verdana" w:hAnsi="Verdana"/>
            <w:sz w:val="18"/>
            <w:szCs w:val="18"/>
            <w:u w:val="single" w:color="auto"/>
            <w:color w:val="0000FF"/>
          </w:rPr>
          <w:t>Busey’s 2023</w:t>
        </w:r>
      </w:hyperlink>
      <w:r>
        <w:rPr>
          <w:rFonts w:ascii="Verdana" w:cs="Verdana" w:eastAsia="Verdana" w:hAnsi="Verdana"/>
          <w:sz w:val="18"/>
          <w:szCs w:val="18"/>
          <w:color w:val="auto"/>
        </w:rPr>
        <w:t xml:space="preserve"> </w:t>
      </w:r>
      <w:hyperlink r:id="rId24">
        <w:r>
          <w:rPr>
            <w:rFonts w:ascii="Verdana" w:cs="Verdana" w:eastAsia="Verdana" w:hAnsi="Verdana"/>
            <w:sz w:val="18"/>
            <w:szCs w:val="18"/>
            <w:u w:val="single" w:color="auto"/>
            <w:color w:val="0000FF"/>
          </w:rPr>
          <w:t>Annual Report</w:t>
        </w:r>
        <w:r>
          <w:rPr>
            <w:rFonts w:ascii="Verdana" w:cs="Verdana" w:eastAsia="Verdana" w:hAnsi="Verdana"/>
            <w:sz w:val="18"/>
            <w:szCs w:val="18"/>
            <w:color w:val="000000"/>
          </w:rPr>
          <w:t>. Busey accounts for intersegment revenue and transfers at current market value.</w:t>
        </w:r>
      </w:hyperlink>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9" w:name="page60"/>
    <w:bookmarkEnd w:id="59"/>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Following is a summary of selected financial information for Busey’s operating segments. The “other” category included in the tables below consists of the parent company, First Busey Risk Management, Inc. until its dissolution on December 18, 2023, and the elimination of intercompany transactions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Goodwill</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1038"/>
              <w:spacing w:after="0"/>
              <w:rPr>
                <w:sz w:val="20"/>
                <w:szCs w:val="20"/>
                <w:color w:val="auto"/>
              </w:rPr>
            </w:pPr>
            <w:r>
              <w:rPr>
                <w:rFonts w:ascii="Verdana" w:cs="Verdana" w:eastAsia="Verdana" w:hAnsi="Verdana"/>
                <w:sz w:val="13"/>
                <w:szCs w:val="13"/>
                <w:b w:val="1"/>
                <w:bCs w:val="1"/>
                <w:color w:val="auto"/>
              </w:rPr>
              <w:t>Total Assets</w:t>
            </w:r>
          </w:p>
        </w:tc>
      </w:tr>
      <w:tr>
        <w:trPr>
          <w:trHeight w:val="170"/>
        </w:trPr>
        <w:tc>
          <w:tcPr>
            <w:tcW w:w="4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Verdana" w:cs="Verdana" w:eastAsia="Verdana" w:hAnsi="Verdana"/>
                <w:sz w:val="13"/>
                <w:szCs w:val="13"/>
                <w:b w:val="1"/>
                <w:bCs w:val="1"/>
                <w:color w:val="auto"/>
              </w:rPr>
              <w:t>As of</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4"/>
                <w:szCs w:val="14"/>
                <w:color w:val="auto"/>
              </w:rPr>
            </w:pPr>
          </w:p>
        </w:tc>
      </w:tr>
      <w:tr>
        <w:trPr>
          <w:trHeight w:val="120"/>
        </w:trPr>
        <w:tc>
          <w:tcPr>
            <w:tcW w:w="4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ind w:left="140"/>
              <w:spacing w:after="0" w:line="120" w:lineRule="exact"/>
              <w:rPr>
                <w:sz w:val="20"/>
                <w:szCs w:val="20"/>
                <w:color w:val="auto"/>
              </w:rPr>
            </w:pPr>
            <w:r>
              <w:rPr>
                <w:rFonts w:ascii="Verdana" w:cs="Verdana" w:eastAsia="Verdana" w:hAnsi="Verdana"/>
                <w:sz w:val="13"/>
                <w:szCs w:val="13"/>
                <w:b w:val="1"/>
                <w:bCs w:val="1"/>
                <w:color w:val="auto"/>
              </w:rPr>
              <w:t>March 31,</w:t>
            </w:r>
          </w:p>
        </w:tc>
        <w:tc>
          <w:tcPr>
            <w:tcW w:w="260" w:type="dxa"/>
            <w:vAlign w:val="bottom"/>
          </w:tcPr>
          <w:p>
            <w:pPr>
              <w:spacing w:after="0"/>
              <w:rPr>
                <w:sz w:val="10"/>
                <w:szCs w:val="10"/>
                <w:color w:val="auto"/>
              </w:rPr>
            </w:pPr>
          </w:p>
        </w:tc>
        <w:tc>
          <w:tcPr>
            <w:tcW w:w="1240" w:type="dxa"/>
            <w:vAlign w:val="bottom"/>
          </w:tcPr>
          <w:p>
            <w:pPr>
              <w:jc w:val="right"/>
              <w:ind w:right="178"/>
              <w:spacing w:after="0" w:line="120" w:lineRule="exact"/>
              <w:rPr>
                <w:sz w:val="20"/>
                <w:szCs w:val="20"/>
                <w:color w:val="auto"/>
              </w:rPr>
            </w:pPr>
            <w:r>
              <w:rPr>
                <w:rFonts w:ascii="Verdana" w:cs="Verdana" w:eastAsia="Verdana" w:hAnsi="Verdana"/>
                <w:sz w:val="13"/>
                <w:szCs w:val="13"/>
                <w:b w:val="1"/>
                <w:bCs w:val="1"/>
                <w:color w:val="auto"/>
                <w:w w:val="94"/>
              </w:rPr>
              <w:t>December 31,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tcPr>
          <w:p>
            <w:pPr>
              <w:ind w:left="140"/>
              <w:spacing w:after="0" w:line="120" w:lineRule="exact"/>
              <w:rPr>
                <w:sz w:val="20"/>
                <w:szCs w:val="20"/>
                <w:color w:val="auto"/>
              </w:rPr>
            </w:pPr>
            <w:r>
              <w:rPr>
                <w:rFonts w:ascii="Verdana" w:cs="Verdana" w:eastAsia="Verdana" w:hAnsi="Verdana"/>
                <w:sz w:val="13"/>
                <w:szCs w:val="13"/>
                <w:b w:val="1"/>
                <w:bCs w:val="1"/>
                <w:color w:val="auto"/>
              </w:rPr>
              <w:t>March 31,</w:t>
            </w:r>
          </w:p>
        </w:tc>
        <w:tc>
          <w:tcPr>
            <w:tcW w:w="200" w:type="dxa"/>
            <w:vAlign w:val="bottom"/>
          </w:tcPr>
          <w:p>
            <w:pPr>
              <w:spacing w:after="0"/>
              <w:rPr>
                <w:sz w:val="10"/>
                <w:szCs w:val="10"/>
                <w:color w:val="auto"/>
              </w:rPr>
            </w:pPr>
          </w:p>
        </w:tc>
        <w:tc>
          <w:tcPr>
            <w:tcW w:w="1320" w:type="dxa"/>
            <w:vAlign w:val="bottom"/>
          </w:tcPr>
          <w:p>
            <w:pPr>
              <w:jc w:val="right"/>
              <w:ind w:right="178"/>
              <w:spacing w:after="0" w:line="120"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494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300"/>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8"/>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2"/>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8"/>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9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Operating segment</w:t>
            </w:r>
          </w:p>
        </w:tc>
        <w:tc>
          <w:tcPr>
            <w:tcW w:w="26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494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ind w:right="21"/>
              <w:spacing w:after="0"/>
              <w:rPr>
                <w:sz w:val="20"/>
                <w:szCs w:val="20"/>
                <w:color w:val="auto"/>
              </w:rPr>
            </w:pPr>
            <w:r>
              <w:rPr>
                <w:rFonts w:ascii="Verdana" w:cs="Verdana" w:eastAsia="Verdana" w:hAnsi="Verdana"/>
                <w:sz w:val="18"/>
                <w:szCs w:val="18"/>
                <w:color w:val="auto"/>
              </w:rPr>
              <w:t>294,773</w:t>
            </w:r>
          </w:p>
        </w:tc>
        <w:tc>
          <w:tcPr>
            <w:tcW w:w="8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294,773</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22"/>
              <w:spacing w:after="0"/>
              <w:rPr>
                <w:sz w:val="20"/>
                <w:szCs w:val="20"/>
                <w:color w:val="auto"/>
              </w:rPr>
            </w:pPr>
            <w:r>
              <w:rPr>
                <w:rFonts w:ascii="Verdana" w:cs="Verdana" w:eastAsia="Verdana" w:hAnsi="Verdana"/>
                <w:sz w:val="18"/>
                <w:szCs w:val="18"/>
                <w:color w:val="auto"/>
              </w:rPr>
              <w:t>11,722,919</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12,125,298</w:t>
            </w:r>
          </w:p>
        </w:tc>
      </w:tr>
      <w:tr>
        <w:trPr>
          <w:trHeight w:val="277"/>
        </w:trPr>
        <w:tc>
          <w:tcPr>
            <w:tcW w:w="4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14,108</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14,108</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107,251</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103,147</w:t>
            </w:r>
          </w:p>
        </w:tc>
      </w:tr>
      <w:tr>
        <w:trPr>
          <w:trHeight w:val="263"/>
        </w:trPr>
        <w:tc>
          <w:tcPr>
            <w:tcW w:w="494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26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Verdana" w:cs="Verdana" w:eastAsia="Verdana" w:hAnsi="Verdana"/>
                <w:sz w:val="18"/>
                <w:szCs w:val="18"/>
                <w:color w:val="auto"/>
              </w:rPr>
              <w:t>8,992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8,992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Verdana" w:cs="Verdana" w:eastAsia="Verdana" w:hAnsi="Verdana"/>
                <w:sz w:val="18"/>
                <w:szCs w:val="18"/>
                <w:color w:val="auto"/>
              </w:rPr>
              <w:t>50,643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51,600</w:t>
            </w:r>
          </w:p>
        </w:tc>
      </w:tr>
      <w:tr>
        <w:trPr>
          <w:trHeight w:val="270"/>
        </w:trPr>
        <w:tc>
          <w:tcPr>
            <w:tcW w:w="4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260" w:type="dxa"/>
            <w:vAlign w:val="bottom"/>
            <w:shd w:val="clear" w:color="auto" w:fill="E0E7ED"/>
          </w:tcPr>
          <w:p>
            <w:pPr>
              <w:spacing w:after="0"/>
              <w:rPr>
                <w:sz w:val="23"/>
                <w:szCs w:val="23"/>
                <w:color w:val="auto"/>
              </w:rPr>
            </w:pPr>
          </w:p>
        </w:tc>
        <w:tc>
          <w:tcPr>
            <w:tcW w:w="13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3"/>
                <w:szCs w:val="23"/>
                <w:color w:val="auto"/>
              </w:rPr>
            </w:pPr>
          </w:p>
        </w:tc>
        <w:tc>
          <w:tcPr>
            <w:tcW w:w="13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6,645</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3,370</w:t>
            </w:r>
          </w:p>
        </w:tc>
      </w:tr>
      <w:tr>
        <w:trPr>
          <w:trHeight w:val="270"/>
        </w:trPr>
        <w:tc>
          <w:tcPr>
            <w:tcW w:w="4940" w:type="dxa"/>
            <w:vAlign w:val="bottom"/>
          </w:tcPr>
          <w:p>
            <w:pPr>
              <w:ind w:left="20"/>
              <w:spacing w:after="0"/>
              <w:rPr>
                <w:sz w:val="20"/>
                <w:szCs w:val="20"/>
                <w:color w:val="auto"/>
              </w:rPr>
            </w:pPr>
            <w:r>
              <w:rPr>
                <w:rFonts w:ascii="Verdana" w:cs="Verdana" w:eastAsia="Verdana" w:hAnsi="Verdana"/>
                <w:sz w:val="18"/>
                <w:szCs w:val="18"/>
                <w:color w:val="auto"/>
              </w:rPr>
              <w:t>Consolidated 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Verdana" w:cs="Verdana" w:eastAsia="Verdana" w:hAnsi="Verdana"/>
                <w:sz w:val="18"/>
                <w:szCs w:val="18"/>
                <w:color w:val="auto"/>
                <w:w w:val="86"/>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317,873</w:t>
            </w:r>
          </w:p>
        </w:tc>
        <w:tc>
          <w:tcPr>
            <w:tcW w:w="8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317,873</w:t>
            </w:r>
          </w:p>
        </w:tc>
        <w:tc>
          <w:tcPr>
            <w:tcW w:w="10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Borders>
              <w:top w:val="single" w:sz="8" w:color="auto"/>
              <w:bottom w:val="single" w:sz="8" w:color="auto"/>
            </w:tcBorders>
          </w:tcPr>
          <w:p>
            <w:pPr>
              <w:jc w:val="right"/>
              <w:ind w:right="22"/>
              <w:spacing w:after="0"/>
              <w:rPr>
                <w:sz w:val="20"/>
                <w:szCs w:val="20"/>
                <w:color w:val="auto"/>
              </w:rPr>
            </w:pPr>
            <w:r>
              <w:rPr>
                <w:rFonts w:ascii="Verdana" w:cs="Verdana" w:eastAsia="Verdana" w:hAnsi="Verdana"/>
                <w:sz w:val="18"/>
                <w:szCs w:val="18"/>
                <w:color w:val="auto"/>
              </w:rPr>
              <w:t>11,887,458</w:t>
            </w:r>
          </w:p>
        </w:tc>
        <w:tc>
          <w:tcPr>
            <w:tcW w:w="8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12,283,415</w:t>
            </w:r>
          </w:p>
        </w:tc>
      </w:tr>
      <w:tr>
        <w:trPr>
          <w:trHeight w:val="21"/>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912"/>
        </w:trPr>
        <w:tc>
          <w:tcPr>
            <w:tcW w:w="4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ind w:left="300"/>
              <w:spacing w:after="0"/>
              <w:rPr>
                <w:sz w:val="20"/>
                <w:szCs w:val="20"/>
                <w:color w:val="auto"/>
              </w:rPr>
            </w:pPr>
            <w:r>
              <w:rPr>
                <w:rFonts w:ascii="Verdana" w:cs="Verdana" w:eastAsia="Verdana" w:hAnsi="Verdana"/>
                <w:sz w:val="18"/>
                <w:szCs w:val="18"/>
                <w:color w:val="auto"/>
              </w:rPr>
              <w:t>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7"/>
        </w:trPr>
        <w:tc>
          <w:tcPr>
            <w:tcW w:w="4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0" w:name="page61"/>
    <w:bookmarkEnd w:id="60"/>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371"/>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2"/>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1"/>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30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79,533</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89,890</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FirsTech</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13</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w:t>
            </w: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(3,779)</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(4,046)</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net interest income</w:t>
            </w: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75,767</w:t>
            </w:r>
          </w:p>
        </w:tc>
        <w:tc>
          <w:tcPr>
            <w:tcW w:w="8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85,857</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income</w:t>
            </w:r>
          </w:p>
        </w:tc>
        <w:tc>
          <w:tcPr>
            <w:tcW w:w="30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60" w:type="dxa"/>
            <w:vAlign w:val="bottom"/>
            <w:shd w:val="clear" w:color="auto" w:fill="E0E7ED"/>
          </w:tcPr>
          <w:p>
            <w:pPr>
              <w:spacing w:after="0"/>
              <w:rPr>
                <w:sz w:val="23"/>
                <w:szCs w:val="23"/>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13,472</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12,421</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15,712</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14,926</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30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5,971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5,674</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30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(155)</w:t>
            </w:r>
          </w:p>
        </w:tc>
        <w:tc>
          <w:tcPr>
            <w:tcW w:w="8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(1,173)</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Total noninterest income</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35,000</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31,848</w:t>
            </w:r>
          </w:p>
        </w:tc>
      </w:tr>
      <w:tr>
        <w:trPr>
          <w:trHeight w:val="20"/>
        </w:trPr>
        <w:tc>
          <w:tcPr>
            <w:tcW w:w="812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812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160" w:type="dxa"/>
            <w:vAlign w:val="bottom"/>
            <w:shd w:val="clear" w:color="auto" w:fill="E0E7ED"/>
          </w:tcPr>
          <w:p>
            <w:pPr>
              <w:spacing w:after="0"/>
              <w:rPr>
                <w:sz w:val="20"/>
                <w:szCs w:val="20"/>
                <w:color w:val="auto"/>
              </w:rPr>
            </w:pPr>
          </w:p>
        </w:tc>
      </w:tr>
      <w:tr>
        <w:trPr>
          <w:trHeight w:val="263"/>
        </w:trPr>
        <w:tc>
          <w:tcPr>
            <w:tcW w:w="8120" w:type="dxa"/>
            <w:vAlign w:val="bottom"/>
          </w:tcPr>
          <w:p>
            <w:pPr>
              <w:ind w:left="20"/>
              <w:spacing w:after="0"/>
              <w:rPr>
                <w:sz w:val="20"/>
                <w:szCs w:val="20"/>
                <w:color w:val="auto"/>
              </w:rPr>
            </w:pPr>
            <w:r>
              <w:rPr>
                <w:rFonts w:ascii="Verdana" w:cs="Verdana" w:eastAsia="Verdana" w:hAnsi="Verdana"/>
                <w:sz w:val="18"/>
                <w:szCs w:val="18"/>
                <w:b w:val="1"/>
                <w:bCs w:val="1"/>
                <w:color w:val="auto"/>
              </w:rPr>
              <w:t>Noninterest expense</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Banking</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52,387</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54,651</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Wealth Management</w:t>
            </w:r>
          </w:p>
        </w:tc>
        <w:tc>
          <w:tcPr>
            <w:tcW w:w="30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9,136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8,534</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FirsTech</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5,866</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5,739</w:t>
            </w: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3,380</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1,479</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noninterest expense</w:t>
            </w: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70,769</w:t>
            </w:r>
          </w:p>
        </w:tc>
        <w:tc>
          <w:tcPr>
            <w:tcW w:w="8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70,403</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Income before income taxes</w:t>
            </w:r>
          </w:p>
        </w:tc>
        <w:tc>
          <w:tcPr>
            <w:tcW w:w="30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60" w:type="dxa"/>
            <w:vAlign w:val="bottom"/>
            <w:shd w:val="clear" w:color="auto" w:fill="E0E7ED"/>
          </w:tcPr>
          <w:p>
            <w:pPr>
              <w:spacing w:after="0"/>
              <w:rPr>
                <w:sz w:val="23"/>
                <w:szCs w:val="23"/>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35,580</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46,707</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6,576</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6,392</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30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118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Verdana" w:cs="Verdana" w:eastAsia="Verdana" w:hAnsi="Verdana"/>
                <w:sz w:val="18"/>
                <w:szCs w:val="18"/>
                <w:color w:val="auto"/>
              </w:rPr>
              <w:t>(52)</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30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(7,314)</w:t>
            </w:r>
          </w:p>
        </w:tc>
        <w:tc>
          <w:tcPr>
            <w:tcW w:w="8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(6,698)</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Total income before income taxes</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34,960</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46,349</w:t>
            </w:r>
          </w:p>
        </w:tc>
      </w:tr>
      <w:tr>
        <w:trPr>
          <w:trHeight w:val="20"/>
        </w:trPr>
        <w:tc>
          <w:tcPr>
            <w:tcW w:w="812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812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160" w:type="dxa"/>
            <w:vAlign w:val="bottom"/>
            <w:shd w:val="clear" w:color="auto" w:fill="E0E7ED"/>
          </w:tcPr>
          <w:p>
            <w:pPr>
              <w:spacing w:after="0"/>
              <w:rPr>
                <w:sz w:val="20"/>
                <w:szCs w:val="20"/>
                <w:color w:val="auto"/>
              </w:rPr>
            </w:pPr>
          </w:p>
        </w:tc>
      </w:tr>
      <w:tr>
        <w:trPr>
          <w:trHeight w:val="263"/>
        </w:trPr>
        <w:tc>
          <w:tcPr>
            <w:tcW w:w="8120" w:type="dxa"/>
            <w:vAlign w:val="bottom"/>
          </w:tcPr>
          <w:p>
            <w:pPr>
              <w:ind w:left="20"/>
              <w:spacing w:after="0"/>
              <w:rPr>
                <w:sz w:val="20"/>
                <w:szCs w:val="20"/>
                <w:color w:val="auto"/>
              </w:rPr>
            </w:pPr>
            <w:r>
              <w:rPr>
                <w:rFonts w:ascii="Verdana" w:cs="Verdana" w:eastAsia="Verdana" w:hAnsi="Verdana"/>
                <w:sz w:val="18"/>
                <w:szCs w:val="18"/>
                <w:b w:val="1"/>
                <w:bCs w:val="1"/>
                <w:color w:val="auto"/>
              </w:rPr>
              <w:t>Net income</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Banking</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26,492</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36,835</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Wealth Management</w:t>
            </w:r>
          </w:p>
        </w:tc>
        <w:tc>
          <w:tcPr>
            <w:tcW w:w="30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4,998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4,858</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FirsTech</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86</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(38)</w:t>
            </w: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(5,351)</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(4,869)</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net income</w:t>
            </w: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26,225</w:t>
            </w:r>
          </w:p>
        </w:tc>
        <w:tc>
          <w:tcPr>
            <w:tcW w:w="8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36,786</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16. ACQUISITION</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Merchants and Manufacturers Bank Corporation</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Effective April 1, 2024, Busey completed its previously announced acquisition of M&amp;M, pursuant to which Busey acquired M&amp;M and its wholly-owned subsidiary, M&amp;M Bank, through a merger transaction. This partnership adds M&amp;M’s Life Equity Loan</w:t>
      </w:r>
      <w:r>
        <w:rPr>
          <w:rFonts w:ascii="Verdana" w:cs="Verdana" w:eastAsia="Verdana" w:hAnsi="Verdana"/>
          <w:sz w:val="11"/>
          <w:szCs w:val="11"/>
          <w:color w:val="auto"/>
        </w:rPr>
        <w:t>®</w:t>
      </w:r>
      <w:r>
        <w:rPr>
          <w:rFonts w:ascii="Verdana" w:cs="Verdana" w:eastAsia="Verdana" w:hAnsi="Verdana"/>
          <w:sz w:val="18"/>
          <w:szCs w:val="18"/>
          <w:color w:val="auto"/>
        </w:rPr>
        <w:t xml:space="preserve"> products to Busey’s existing suite of services and expands Busey’s presence in the suburban Chicago market.</w:t>
      </w:r>
    </w:p>
    <w:p>
      <w:pPr>
        <w:sectPr>
          <w:pgSz w:w="11900" w:h="16838" w:orient="portrait"/>
          <w:cols w:equalWidth="0" w:num="1">
            <w:col w:w="11240"/>
          </w:cols>
          <w:pgMar w:left="320" w:top="307"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type w:val="continuous"/>
        </w:sectPr>
      </w:pPr>
    </w:p>
    <w:bookmarkStart w:id="61" w:name="page62"/>
    <w:bookmarkEnd w:id="6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will operate M&amp;M Bank as a separate banking subsidiary of Busey until it is merged with Busey Bank, which is expected to occur in June 2024. At the time of the bank merger, M&amp;M Bank’s banking centers will become banking centers of Busey Bank, except for M&amp;M’s banking center located at 990 Essington Rd., Joliet, Illinois, which is expected to be closed in connection with the bank merger.</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At the effective time of the Merger, each share of M&amp;M common stock converted to the right to receive, at the election of each stockholder and subject to proration and adjustment as provided in the Merger Agreement, either (1) $117.74 in cash (“Cash Election”), (2) 5.7294 shares of Busey common stock (“Share Election”), or (3) mixed consideration of $34.55 in cash and 4.0481 shares of Busey common stock (“Mixed Election”).</w:t>
      </w:r>
    </w:p>
    <w:p>
      <w:pPr>
        <w:spacing w:after="0" w:line="171"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Most of the M&amp;M common stockholders who submitted an election form by the election deadline made the Share Election to receive their Merger consideration solely in the form of shares of Busey common stock. As a result of the elections of M&amp;M common stockholders, and in accordance with the proration and adjustment provisions of the Merger Agreement, the Merger consideration paid to M&amp;M common stockholders was comprised of an aggregate of approximately 1,429,304 shares of Busey common stock and an aggregate of approximately $12.2 million in cash, allocated as follows for each share of M&amp;M stock: (1) $117.74 in cash for the Cash Election, (2) $5.3966 in cash and 5.4668 shares of Busey common stock for the Share Election, and (3) $34.55 in cash and 4.0481 shares of Busey common stock for the Mixed Election. Pursuant to the terms of the Merger Agreement, M&amp;M common stockholders that did not make an election or submit a properly completed election form by the election deadline of March 29, 2024, received cash consideration of $117.74 for each share of M&amp;M common stock held. No fractional shares of Busey common stock were issued in the Merger. Fractional shares were paid in cash at the rate of $23.32 per share.</w:t>
      </w:r>
    </w:p>
    <w:p>
      <w:pPr>
        <w:spacing w:after="0" w:line="165"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This transaction was accounted for using the acquisition method of accounting and, accordingly, assets acquired, liabilities assumed, and consideration exchanged was recorded at estimated fair values on April 1, 2024, the date of acquisition. Fair values will be subject to refinement for up to one year after the closing date as additional information regarding the closing date fair values becomes available. During the three months ended March 31, 2024, Busey incurred $0.3 million in pre-tax acquisition expenses, comprised primarily of legal expenses, related to the acquisition of M&amp;M.</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2" w:name="page63"/>
    <w:bookmarkEnd w:id="6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line="254" w:lineRule="auto"/>
        <w:rPr>
          <w:sz w:val="20"/>
          <w:szCs w:val="20"/>
          <w:color w:val="auto"/>
        </w:rPr>
      </w:pPr>
      <w:r>
        <w:rPr>
          <w:rFonts w:ascii="Verdana" w:cs="Verdana" w:eastAsia="Verdana" w:hAnsi="Verdana"/>
          <w:sz w:val="18"/>
          <w:szCs w:val="18"/>
          <w:b w:val="1"/>
          <w:bCs w:val="1"/>
          <w:color w:val="auto"/>
        </w:rPr>
        <w:t>ITEM 2. 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Contents of Item 2. Management’s Discussion and Analysis of Financial Condition and Results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260" w:type="dxa"/>
            <w:vAlign w:val="bottom"/>
          </w:tcPr>
          <w:p>
            <w:pPr>
              <w:ind w:left="20"/>
              <w:spacing w:after="0"/>
              <w:rPr>
                <w:sz w:val="20"/>
                <w:szCs w:val="20"/>
                <w:color w:val="auto"/>
              </w:rPr>
            </w:pPr>
            <w:r>
              <w:rPr>
                <w:rFonts w:ascii="Verdana" w:cs="Verdana" w:eastAsia="Verdana" w:hAnsi="Verdana"/>
                <w:sz w:val="18"/>
                <w:szCs w:val="18"/>
                <w:color w:val="auto"/>
              </w:rPr>
              <w:t>SCOPE OF DISCUSSION</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64</w:t>
            </w:r>
          </w:p>
        </w:tc>
      </w:tr>
      <w:tr>
        <w:trPr>
          <w:trHeight w:val="283"/>
        </w:trPr>
        <w:tc>
          <w:tcPr>
            <w:tcW w:w="9260" w:type="dxa"/>
            <w:vAlign w:val="bottom"/>
          </w:tcPr>
          <w:p>
            <w:pPr>
              <w:ind w:left="20"/>
              <w:spacing w:after="0"/>
              <w:rPr>
                <w:sz w:val="20"/>
                <w:szCs w:val="20"/>
                <w:color w:val="auto"/>
              </w:rPr>
            </w:pPr>
            <w:r>
              <w:rPr>
                <w:rFonts w:ascii="Verdana" w:cs="Verdana" w:eastAsia="Verdana" w:hAnsi="Verdana"/>
                <w:sz w:val="18"/>
                <w:szCs w:val="18"/>
                <w:color w:val="auto"/>
              </w:rPr>
              <w:t>BUSINESS</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64</w:t>
            </w:r>
          </w:p>
        </w:tc>
      </w:tr>
      <w:tr>
        <w:trPr>
          <w:trHeight w:val="284"/>
        </w:trPr>
        <w:tc>
          <w:tcPr>
            <w:tcW w:w="9260" w:type="dxa"/>
            <w:vAlign w:val="bottom"/>
          </w:tcPr>
          <w:p>
            <w:pPr>
              <w:ind w:left="360"/>
              <w:spacing w:after="0"/>
              <w:rPr>
                <w:sz w:val="20"/>
                <w:szCs w:val="20"/>
                <w:color w:val="auto"/>
              </w:rPr>
            </w:pPr>
            <w:r>
              <w:rPr>
                <w:rFonts w:ascii="Verdana" w:cs="Verdana" w:eastAsia="Verdana" w:hAnsi="Verdana"/>
                <w:sz w:val="18"/>
                <w:szCs w:val="18"/>
                <w:color w:val="auto"/>
              </w:rPr>
              <w:t>Banking Center Markets</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64</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Busey's Conservative Banking Strategy</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64</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Acquisition</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65</w:t>
            </w:r>
          </w:p>
        </w:tc>
      </w:tr>
      <w:tr>
        <w:trPr>
          <w:trHeight w:val="270"/>
        </w:trPr>
        <w:tc>
          <w:tcPr>
            <w:tcW w:w="9260" w:type="dxa"/>
            <w:vAlign w:val="bottom"/>
          </w:tcPr>
          <w:p>
            <w:pPr>
              <w:ind w:left="20"/>
              <w:spacing w:after="0"/>
              <w:rPr>
                <w:sz w:val="20"/>
                <w:szCs w:val="20"/>
                <w:color w:val="auto"/>
              </w:rPr>
            </w:pPr>
            <w:r>
              <w:rPr>
                <w:rFonts w:ascii="Verdana" w:cs="Verdana" w:eastAsia="Verdana" w:hAnsi="Verdana"/>
                <w:sz w:val="18"/>
                <w:szCs w:val="18"/>
                <w:color w:val="auto"/>
              </w:rPr>
              <w:t>RESULTS OF OPERATIONS — THREE MONTHS ENDED MARCH 31, 2024</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66</w:t>
            </w:r>
          </w:p>
        </w:tc>
      </w:tr>
      <w:tr>
        <w:trPr>
          <w:trHeight w:val="283"/>
        </w:trPr>
        <w:tc>
          <w:tcPr>
            <w:tcW w:w="9260" w:type="dxa"/>
            <w:vAlign w:val="bottom"/>
          </w:tcPr>
          <w:p>
            <w:pPr>
              <w:ind w:left="360"/>
              <w:spacing w:after="0"/>
              <w:rPr>
                <w:sz w:val="20"/>
                <w:szCs w:val="20"/>
                <w:color w:val="auto"/>
              </w:rPr>
            </w:pPr>
            <w:r>
              <w:rPr>
                <w:rFonts w:ascii="Verdana" w:cs="Verdana" w:eastAsia="Verdana" w:hAnsi="Verdana"/>
                <w:sz w:val="18"/>
                <w:szCs w:val="18"/>
                <w:color w:val="auto"/>
              </w:rPr>
              <w:t>Net Income</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66</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Operating Performance Metrics</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66</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Net Interest Income</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67</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Noninterest Income</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71</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Busey executed a two-part balance sheet repositioning strategy.”</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72</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Noninterest Expense</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73</w:t>
            </w:r>
          </w:p>
        </w:tc>
      </w:tr>
      <w:tr>
        <w:trPr>
          <w:trHeight w:val="270"/>
        </w:trPr>
        <w:tc>
          <w:tcPr>
            <w:tcW w:w="9260" w:type="dxa"/>
            <w:vAlign w:val="bottom"/>
          </w:tcPr>
          <w:p>
            <w:pPr>
              <w:ind w:left="20"/>
              <w:spacing w:after="0"/>
              <w:rPr>
                <w:sz w:val="20"/>
                <w:szCs w:val="20"/>
                <w:color w:val="auto"/>
              </w:rPr>
            </w:pPr>
            <w:r>
              <w:rPr>
                <w:rFonts w:ascii="Verdana" w:cs="Verdana" w:eastAsia="Verdana" w:hAnsi="Verdana"/>
                <w:sz w:val="18"/>
                <w:szCs w:val="18"/>
                <w:color w:val="auto"/>
              </w:rPr>
              <w:t>FINANCIAL CONDITION</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75</w:t>
            </w:r>
          </w:p>
        </w:tc>
      </w:tr>
      <w:tr>
        <w:trPr>
          <w:trHeight w:val="283"/>
        </w:trPr>
        <w:tc>
          <w:tcPr>
            <w:tcW w:w="9260" w:type="dxa"/>
            <w:vAlign w:val="bottom"/>
          </w:tcPr>
          <w:p>
            <w:pPr>
              <w:ind w:left="360"/>
              <w:spacing w:after="0"/>
              <w:rPr>
                <w:sz w:val="20"/>
                <w:szCs w:val="20"/>
                <w:color w:val="auto"/>
              </w:rPr>
            </w:pPr>
            <w:r>
              <w:rPr>
                <w:rFonts w:ascii="Verdana" w:cs="Verdana" w:eastAsia="Verdana" w:hAnsi="Verdana"/>
                <w:sz w:val="18"/>
                <w:szCs w:val="18"/>
                <w:color w:val="auto"/>
              </w:rPr>
              <w:t>Balance Sheet</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75</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Portfolio Loans</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75</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Deposits</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81</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Liquidity</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82</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Off-Balance-Sheet Arrangements</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83</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Capital Resources</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83</w:t>
            </w:r>
          </w:p>
        </w:tc>
      </w:tr>
      <w:tr>
        <w:trPr>
          <w:trHeight w:val="270"/>
        </w:trPr>
        <w:tc>
          <w:tcPr>
            <w:tcW w:w="9260" w:type="dxa"/>
            <w:vAlign w:val="bottom"/>
          </w:tcPr>
          <w:p>
            <w:pPr>
              <w:ind w:left="20"/>
              <w:spacing w:after="0"/>
              <w:rPr>
                <w:sz w:val="20"/>
                <w:szCs w:val="20"/>
                <w:color w:val="auto"/>
              </w:rPr>
            </w:pPr>
            <w:r>
              <w:rPr>
                <w:rFonts w:ascii="Verdana" w:cs="Verdana" w:eastAsia="Verdana" w:hAnsi="Verdana"/>
                <w:sz w:val="18"/>
                <w:szCs w:val="18"/>
                <w:color w:val="auto"/>
              </w:rPr>
              <w:t>NON-GAAP FINANCIAL INFORMATION</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84</w:t>
            </w:r>
          </w:p>
        </w:tc>
      </w:tr>
      <w:tr>
        <w:trPr>
          <w:trHeight w:val="284"/>
        </w:trPr>
        <w:tc>
          <w:tcPr>
            <w:tcW w:w="9260" w:type="dxa"/>
            <w:vAlign w:val="bottom"/>
          </w:tcPr>
          <w:p>
            <w:pPr>
              <w:ind w:left="20"/>
              <w:spacing w:after="0"/>
              <w:rPr>
                <w:sz w:val="20"/>
                <w:szCs w:val="20"/>
                <w:color w:val="auto"/>
              </w:rPr>
            </w:pPr>
            <w:r>
              <w:rPr>
                <w:rFonts w:ascii="Verdana" w:cs="Verdana" w:eastAsia="Verdana" w:hAnsi="Verdana"/>
                <w:sz w:val="18"/>
                <w:szCs w:val="18"/>
                <w:color w:val="auto"/>
              </w:rPr>
              <w:t>FORWARD-LOOKING STATEMENTS</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92</w:t>
            </w:r>
          </w:p>
        </w:tc>
      </w:tr>
      <w:tr>
        <w:trPr>
          <w:trHeight w:val="283"/>
        </w:trPr>
        <w:tc>
          <w:tcPr>
            <w:tcW w:w="9260" w:type="dxa"/>
            <w:vAlign w:val="bottom"/>
          </w:tcPr>
          <w:p>
            <w:pPr>
              <w:ind w:left="20"/>
              <w:spacing w:after="0"/>
              <w:rPr>
                <w:sz w:val="20"/>
                <w:szCs w:val="20"/>
                <w:color w:val="auto"/>
              </w:rPr>
            </w:pPr>
            <w:r>
              <w:rPr>
                <w:rFonts w:ascii="Verdana" w:cs="Verdana" w:eastAsia="Verdana" w:hAnsi="Verdana"/>
                <w:sz w:val="18"/>
                <w:szCs w:val="18"/>
                <w:color w:val="auto"/>
              </w:rPr>
              <w:t>CRITICAL ACCOUNTING ESTIMATES</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92</w:t>
            </w:r>
          </w:p>
        </w:tc>
      </w:tr>
      <w:tr>
        <w:trPr>
          <w:trHeight w:val="283"/>
        </w:trPr>
        <w:tc>
          <w:tcPr>
            <w:tcW w:w="9260" w:type="dxa"/>
            <w:vAlign w:val="bottom"/>
          </w:tcPr>
          <w:p>
            <w:pPr>
              <w:ind w:left="360"/>
              <w:spacing w:after="0"/>
              <w:rPr>
                <w:sz w:val="20"/>
                <w:szCs w:val="20"/>
                <w:color w:val="auto"/>
              </w:rPr>
            </w:pPr>
            <w:r>
              <w:rPr>
                <w:rFonts w:ascii="Verdana" w:cs="Verdana" w:eastAsia="Verdana" w:hAnsi="Verdana"/>
                <w:sz w:val="18"/>
                <w:szCs w:val="18"/>
                <w:color w:val="auto"/>
              </w:rPr>
              <w:t>Fair Value of Debt Securities Available for Sale</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93</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Fair Value of Assets Acquired and Liabilities Assumed in Business Combinations</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93</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Goodwill</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94</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Income Taxes</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94</w:t>
            </w:r>
          </w:p>
        </w:tc>
      </w:tr>
      <w:tr>
        <w:trPr>
          <w:trHeight w:val="270"/>
        </w:trPr>
        <w:tc>
          <w:tcPr>
            <w:tcW w:w="9260" w:type="dxa"/>
            <w:vAlign w:val="bottom"/>
          </w:tcPr>
          <w:p>
            <w:pPr>
              <w:ind w:left="360"/>
              <w:spacing w:after="0"/>
              <w:rPr>
                <w:sz w:val="20"/>
                <w:szCs w:val="20"/>
                <w:color w:val="auto"/>
              </w:rPr>
            </w:pPr>
            <w:r>
              <w:rPr>
                <w:rFonts w:ascii="Verdana" w:cs="Verdana" w:eastAsia="Verdana" w:hAnsi="Verdana"/>
                <w:sz w:val="18"/>
                <w:szCs w:val="18"/>
                <w:color w:val="auto"/>
              </w:rPr>
              <w:t>Allowance for Credit Losses</w:t>
            </w:r>
          </w:p>
        </w:tc>
        <w:tc>
          <w:tcPr>
            <w:tcW w:w="1980" w:type="dxa"/>
            <w:vAlign w:val="bottom"/>
          </w:tcPr>
          <w:p>
            <w:pPr>
              <w:jc w:val="right"/>
              <w:spacing w:after="0"/>
              <w:rPr>
                <w:sz w:val="20"/>
                <w:szCs w:val="20"/>
                <w:color w:val="auto"/>
              </w:rPr>
            </w:pPr>
            <w:r>
              <w:rPr>
                <w:rFonts w:ascii="Verdana" w:cs="Verdana" w:eastAsia="Verdana" w:hAnsi="Verdana"/>
                <w:sz w:val="18"/>
                <w:szCs w:val="18"/>
                <w:color w:val="auto"/>
              </w:rPr>
              <w:t>94</w:t>
            </w:r>
          </w:p>
        </w:tc>
      </w:tr>
      <w:tr>
        <w:trPr>
          <w:trHeight w:val="932"/>
        </w:trPr>
        <w:tc>
          <w:tcPr>
            <w:tcW w:w="9260" w:type="dxa"/>
            <w:vAlign w:val="bottom"/>
          </w:tcPr>
          <w:p>
            <w:pPr>
              <w:ind w:left="5500"/>
              <w:spacing w:after="0"/>
              <w:rPr>
                <w:sz w:val="20"/>
                <w:szCs w:val="20"/>
                <w:color w:val="auto"/>
              </w:rPr>
            </w:pPr>
            <w:r>
              <w:rPr>
                <w:rFonts w:ascii="Verdana" w:cs="Verdana" w:eastAsia="Verdana" w:hAnsi="Verdana"/>
                <w:sz w:val="18"/>
                <w:szCs w:val="18"/>
                <w:color w:val="auto"/>
              </w:rPr>
              <w:t>63</w:t>
            </w:r>
          </w:p>
        </w:tc>
        <w:tc>
          <w:tcPr>
            <w:tcW w:w="1980" w:type="dxa"/>
            <w:vAlign w:val="bottom"/>
          </w:tcPr>
          <w:p>
            <w:pPr>
              <w:spacing w:after="0"/>
              <w:rPr>
                <w:sz w:val="24"/>
                <w:szCs w:val="24"/>
                <w:color w:val="auto"/>
              </w:rPr>
            </w:pPr>
          </w:p>
        </w:tc>
      </w:tr>
      <w:tr>
        <w:trPr>
          <w:trHeight w:val="277"/>
        </w:trPr>
        <w:tc>
          <w:tcPr>
            <w:tcW w:w="92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3" w:name="page64"/>
    <w:bookmarkEnd w:id="6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SCOPE OF DISCUSSION</w:t>
      </w:r>
    </w:p>
    <w:p>
      <w:pPr>
        <w:spacing w:after="0" w:line="173" w:lineRule="exact"/>
        <w:rPr>
          <w:sz w:val="20"/>
          <w:szCs w:val="20"/>
          <w:color w:val="auto"/>
        </w:rPr>
      </w:pPr>
    </w:p>
    <w:p>
      <w:pPr>
        <w:jc w:val="both"/>
        <w:spacing w:after="0" w:line="242" w:lineRule="auto"/>
        <w:rPr>
          <w:rFonts w:ascii="Verdana" w:cs="Verdana" w:eastAsia="Verdana" w:hAnsi="Verdana"/>
          <w:sz w:val="18"/>
          <w:szCs w:val="18"/>
          <w:color w:val="000000"/>
        </w:rPr>
      </w:pPr>
      <w:r>
        <w:rPr>
          <w:rFonts w:ascii="Verdana" w:cs="Verdana" w:eastAsia="Verdana" w:hAnsi="Verdana"/>
          <w:sz w:val="18"/>
          <w:szCs w:val="18"/>
          <w:color w:val="auto"/>
        </w:rPr>
        <w:t xml:space="preserve">The following discussion and analysis are intended to assist readers in understanding Busey’s financial condition and results of operations during the three months ended March 31, 2024, and should be read in conjunction with our </w:t>
      </w:r>
      <w:r>
        <w:rPr>
          <w:rFonts w:ascii="Verdana" w:cs="Verdana" w:eastAsia="Verdana" w:hAnsi="Verdana"/>
          <w:sz w:val="18"/>
          <w:szCs w:val="18"/>
          <w:u w:val="single" w:color="auto"/>
          <w:color w:val="0000FF"/>
        </w:rPr>
        <w:t>Consolidated</w:t>
      </w:r>
      <w:r>
        <w:rPr>
          <w:rFonts w:ascii="Verdana" w:cs="Verdana" w:eastAsia="Verdana" w:hAnsi="Verdana"/>
          <w:sz w:val="18"/>
          <w:szCs w:val="18"/>
          <w:color w:val="auto"/>
        </w:rPr>
        <w:t xml:space="preserve"> </w:t>
      </w:r>
      <w:r>
        <w:rPr>
          <w:rFonts w:ascii="Verdana" w:cs="Verdana" w:eastAsia="Verdana" w:hAnsi="Verdana"/>
          <w:sz w:val="18"/>
          <w:szCs w:val="18"/>
          <w:u w:val="single" w:color="auto"/>
          <w:color w:val="0000FF"/>
        </w:rPr>
        <w:t>Financial Statements (unaudited)</w:t>
      </w:r>
      <w:r>
        <w:rPr>
          <w:rFonts w:ascii="Verdana" w:cs="Verdana" w:eastAsia="Verdana" w:hAnsi="Verdana"/>
          <w:sz w:val="18"/>
          <w:szCs w:val="18"/>
          <w:color w:val="0000FF"/>
        </w:rPr>
        <w:t xml:space="preserve"> </w:t>
      </w:r>
      <w:r>
        <w:rPr>
          <w:rFonts w:ascii="Verdana" w:cs="Verdana" w:eastAsia="Verdana" w:hAnsi="Verdana"/>
          <w:sz w:val="18"/>
          <w:szCs w:val="18"/>
          <w:color w:val="000000"/>
        </w:rPr>
        <w:t>and the related</w:t>
      </w:r>
      <w:r>
        <w:rPr>
          <w:rFonts w:ascii="Verdana" w:cs="Verdana" w:eastAsia="Verdana" w:hAnsi="Verdana"/>
          <w:sz w:val="18"/>
          <w:szCs w:val="18"/>
          <w:color w:val="0000FF"/>
        </w:rPr>
        <w:t xml:space="preserve"> </w:t>
      </w:r>
      <w:r>
        <w:rPr>
          <w:rFonts w:ascii="Verdana" w:cs="Verdana" w:eastAsia="Verdana" w:hAnsi="Verdana"/>
          <w:sz w:val="18"/>
          <w:szCs w:val="18"/>
          <w:u w:val="single" w:color="auto"/>
          <w:color w:val="0000FF"/>
        </w:rPr>
        <w:t>Notes to the Consolidated Financial Statements (unaudited)</w:t>
      </w:r>
      <w:r>
        <w:rPr>
          <w:rFonts w:ascii="Verdana" w:cs="Verdana" w:eastAsia="Verdana" w:hAnsi="Verdana"/>
          <w:sz w:val="18"/>
          <w:szCs w:val="18"/>
          <w:color w:val="0000FF"/>
        </w:rPr>
        <w:t xml:space="preserve"> </w:t>
      </w:r>
      <w:r>
        <w:rPr>
          <w:rFonts w:ascii="Verdana" w:cs="Verdana" w:eastAsia="Verdana" w:hAnsi="Verdana"/>
          <w:sz w:val="18"/>
          <w:szCs w:val="18"/>
          <w:color w:val="000000"/>
        </w:rPr>
        <w:t>included in</w:t>
      </w:r>
      <w:r>
        <w:rPr>
          <w:rFonts w:ascii="Verdana" w:cs="Verdana" w:eastAsia="Verdana" w:hAnsi="Verdana"/>
          <w:sz w:val="18"/>
          <w:szCs w:val="18"/>
          <w:color w:val="0000FF"/>
        </w:rPr>
        <w:t xml:space="preserve"> </w:t>
      </w:r>
      <w:r>
        <w:rPr>
          <w:rFonts w:ascii="Verdana" w:cs="Verdana" w:eastAsia="Verdana" w:hAnsi="Verdana"/>
          <w:sz w:val="18"/>
          <w:szCs w:val="18"/>
          <w:color w:val="000000"/>
        </w:rPr>
        <w:t xml:space="preserve">this Quarterly Report, as well as our </w:t>
      </w:r>
      <w:hyperlink r:id="rId24">
        <w:r>
          <w:rPr>
            <w:rFonts w:ascii="Verdana" w:cs="Verdana" w:eastAsia="Verdana" w:hAnsi="Verdana"/>
            <w:sz w:val="18"/>
            <w:szCs w:val="18"/>
            <w:u w:val="single" w:color="auto"/>
            <w:color w:val="0000FF"/>
          </w:rPr>
          <w:t>2023 Annual Report</w:t>
        </w:r>
      </w:hyperlink>
      <w:r>
        <w:rPr>
          <w:rFonts w:ascii="Verdana" w:cs="Verdana" w:eastAsia="Verdana" w:hAnsi="Verdana"/>
          <w:sz w:val="18"/>
          <w:szCs w:val="18"/>
          <w:color w:val="000000"/>
        </w:rPr>
        <w:t>.</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BUSINESS</w:t>
      </w:r>
    </w:p>
    <w:p>
      <w:pPr>
        <w:spacing w:after="0" w:line="186"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First Busey Corporation is a $11.9 billion financial holding company headquartered in Champaign, Illinois. Our common stock is traded on The Nasdaq Global Select Market under the symbol “BUSE.”</w:t>
      </w:r>
    </w:p>
    <w:p>
      <w:pPr>
        <w:spacing w:after="0" w:line="14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Our three operating segments provide a full range of banking, wealth management, and payment technology solutions through our subsidiaries, Busey Bank and FirsTech, in Illinois; the St. Louis, Missouri metropolitan area; southwest Florida; and Indianapolis, Indiana.</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Banking Center Markets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Bank serves the Illinois banking market with 46 banking centers, including 21 located within central Illinois, 13 located within the suburban Chicago market, and 12 located within the St. Louis Metropolitan Statistical Area.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Bank has eight banking centers in Missouri. St. Louis, Missouri has a diverse economy with major employment sectors including health care, financial services, professional and business services, and retail. We have a total of 20 banking centers within the boundaries of the St. Louis Metropolitan Statistical Area, including branches in both Illinois and Missouri.</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Bank has three banking centers in southwest Florida, an area which has experienced strong population growth, job growth, and an expanded housing market, as well as the benefits of a tourism and winter resort economy.</w:t>
      </w:r>
    </w:p>
    <w:p>
      <w:pPr>
        <w:spacing w:after="0" w:line="15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Bank has one banking center in the Indianapolis, Indiana area, which is the most populous city of Indiana with a diverse economy, due in part to it serving as the headquarters of many large corporations.</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Busey's Conservative Banking Strategy</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Busey’s financial strength is built on a long-term conservative operating approach. The quality of our core deposit franchise is a critical value driver of our institution. Busey remains substantially core deposit</w:t>
      </w:r>
      <w:r>
        <w:rPr>
          <w:rFonts w:ascii="Verdana" w:cs="Verdana" w:eastAsia="Verdana" w:hAnsi="Verdana"/>
          <w:sz w:val="11"/>
          <w:szCs w:val="11"/>
          <w:color w:val="auto"/>
        </w:rPr>
        <w:t>1</w:t>
      </w:r>
      <w:r>
        <w:rPr>
          <w:rFonts w:ascii="Verdana" w:cs="Verdana" w:eastAsia="Verdana" w:hAnsi="Verdana"/>
          <w:sz w:val="18"/>
          <w:szCs w:val="18"/>
          <w:color w:val="auto"/>
        </w:rPr>
        <w:t xml:space="preserve"> funded, with robust liquidity and significant market share in the communities we serve. As of March 31, 2024, our loan to deposit ratio was 76.2% and core deposits represented 96.7% of total deposits. Furthermore, we have sufficient on- and off-balance sheet liquidity to manage deposit fluctuations and the liquidity needs of our customers.</w:t>
      </w:r>
    </w:p>
    <w:p>
      <w:pPr>
        <w:spacing w:after="0" w:line="171"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Our credit performance reflects our highly diversified, conservatively underwritten loan portfolio, which has been originated predominantly to established customers with tenured relationships with Busey. Our approach to lending and our underwriting standards are designed to emphasize relationship banking rather than transactional banking. In addition, as a matter of both policy and practice, we limit concentration exposures in any particular loan segment. As a result, asset quality remains strong by both Busey’s historical and current industry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Verdana" w:cs="Verdana" w:eastAsia="Verdana" w:hAnsi="Verdana"/>
          <w:sz w:val="23"/>
          <w:szCs w:val="23"/>
          <w:color w:val="auto"/>
          <w:vertAlign w:val="superscript"/>
        </w:rPr>
        <w:t>1</w:t>
      </w:r>
      <w:r>
        <w:rPr>
          <w:rFonts w:ascii="Verdana" w:cs="Verdana" w:eastAsia="Verdana" w:hAnsi="Verdana"/>
          <w:sz w:val="13"/>
          <w:szCs w:val="13"/>
          <w:color w:val="auto"/>
        </w:rPr>
        <w:t xml:space="preserve">  Core deposits is a non-GAAP financial measure. For a reconciliation of non-GAAP measures to the most directly comparable GAAP financial measures, see </w:t>
      </w:r>
      <w:r>
        <w:rPr>
          <w:rFonts w:ascii="Verdana" w:cs="Verdana" w:eastAsia="Verdana" w:hAnsi="Verdana"/>
          <w:sz w:val="13"/>
          <w:szCs w:val="13"/>
          <w:i w:val="1"/>
          <w:iCs w:val="1"/>
          <w:u w:val="single" w:color="auto"/>
          <w:color w:val="0000FF"/>
        </w:rPr>
        <w:t>“Item 2.</w:t>
      </w:r>
    </w:p>
    <w:p>
      <w:pPr>
        <w:spacing w:after="0"/>
        <w:rPr>
          <w:sz w:val="20"/>
          <w:szCs w:val="20"/>
          <w:color w:val="auto"/>
        </w:rPr>
      </w:pPr>
      <w:r>
        <w:rPr>
          <w:rFonts w:ascii="Verdana" w:cs="Verdana" w:eastAsia="Verdana" w:hAnsi="Verdana"/>
          <w:sz w:val="13"/>
          <w:szCs w:val="13"/>
          <w:i w:val="1"/>
          <w:iCs w:val="1"/>
          <w:u w:val="single" w:color="auto"/>
          <w:color w:val="0000FF"/>
        </w:rPr>
        <w:t>Management’s Discussion and Analysis—Non-GAAP Financial Information”</w:t>
      </w:r>
      <w:r>
        <w:rPr>
          <w:rFonts w:ascii="Verdana" w:cs="Verdana" w:eastAsia="Verdana" w:hAnsi="Verdana"/>
          <w:sz w:val="13"/>
          <w:szCs w:val="13"/>
          <w:i w:val="1"/>
          <w:iCs w:val="1"/>
          <w:color w:val="0000FF"/>
        </w:rPr>
        <w:t xml:space="preserve"> </w:t>
      </w:r>
      <w:r>
        <w:rPr>
          <w:rFonts w:ascii="Verdana" w:cs="Verdana" w:eastAsia="Verdana" w:hAnsi="Verdana"/>
          <w:sz w:val="13"/>
          <w:szCs w:val="13"/>
          <w:color w:val="000000"/>
        </w:rPr>
        <w:t>included in this Quarterly Report.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4" w:name="page65"/>
    <w:bookmarkEnd w:id="6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Busey’s conservative banking strategy is reflected in the strength of our capital base. We strive to consistently maintain capital ratios well in excess of thresholds required to be designated as well capitalized by applicable regulatory guidelines, thereby ensuring financial strength and flexibility across economic and operating cycles. At March 31, 2024, our leverage ratio of Tier 1 capital to average assets was 10.5%, our common equity Tier 1 capital to risk weighted assets ratio was 13.4%, and our total capital to risk weighted assets ratio was 17.9%.</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Acquisition</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Effective April 1, 2024, Busey completed its previously announced acquisition of M&amp;M, pursuant to which Busey acquired M&amp;M and its wholly-owned subsidiary, M&amp;M Bank, through a merger transaction. This partnership adds M&amp;M’s Life Equity Loan</w:t>
      </w:r>
      <w:r>
        <w:rPr>
          <w:rFonts w:ascii="Verdana" w:cs="Verdana" w:eastAsia="Verdana" w:hAnsi="Verdana"/>
          <w:sz w:val="11"/>
          <w:szCs w:val="11"/>
          <w:color w:val="auto"/>
        </w:rPr>
        <w:t>®</w:t>
      </w:r>
      <w:r>
        <w:rPr>
          <w:rFonts w:ascii="Verdana" w:cs="Verdana" w:eastAsia="Verdana" w:hAnsi="Verdana"/>
          <w:sz w:val="18"/>
          <w:szCs w:val="18"/>
          <w:color w:val="auto"/>
        </w:rPr>
        <w:t xml:space="preserve"> products to Busey’s existing suite of services and expands Busey’s presence in the suburban Chicago market.</w:t>
      </w:r>
    </w:p>
    <w:p>
      <w:pPr>
        <w:spacing w:after="0" w:line="16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will operate M&amp;M Bank as a separate banking subsidiary of Busey until it is merged with Busey Bank, which is expected to occur in June 2024. At the time of the bank merger, M&amp;M Bank’s banking centers will become banking centers of Busey Bank, except for M&amp;M’s banking center located at 990 Essington Rd., Joliet, Illinois, which is expected to be closed in connection with the bank merger.</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For additional information,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16. Acquisition</w:t>
      </w:r>
      <w:r>
        <w:rPr>
          <w:rFonts w:ascii="Verdana" w:cs="Verdana" w:eastAsia="Verdana" w:hAnsi="Verdana"/>
          <w:sz w:val="18"/>
          <w:szCs w:val="18"/>
          <w:i w:val="1"/>
          <w:iCs w:val="1"/>
          <w:color w:val="auto"/>
        </w:rPr>
        <w:t>.”</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 executed a two-part balance sheet repositioning strategy</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During the first quarter of 2024, Busey sold the mortgage servicing rights on approximately $923.5 million of one- to four-family mortgage loans for an estimated pre-tax gain of $7.5 million, which enabled us to sell available-for-sale investment securities with a book value of approximately $108.2 million for a pre-tax loss of $6.8 million with no resulting impact to tangible capital.</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color w:val="auto"/>
        </w:rPr>
        <w:t>At the time of the sale, the securities sold yielded a weighted average rate of 1.98% and had a weighted-average life of</w:t>
      </w:r>
    </w:p>
    <w:p>
      <w:pPr>
        <w:spacing w:after="0" w:line="236" w:lineRule="auto"/>
        <w:rPr>
          <w:sz w:val="20"/>
          <w:szCs w:val="20"/>
          <w:color w:val="auto"/>
        </w:rPr>
      </w:pPr>
      <w:r>
        <w:rPr>
          <w:rFonts w:ascii="Verdana" w:cs="Verdana" w:eastAsia="Verdana" w:hAnsi="Verdana"/>
          <w:sz w:val="18"/>
          <w:szCs w:val="18"/>
          <w:color w:val="auto"/>
        </w:rPr>
        <w:t>2.3 years. Proceeds from the repositioning were deposited into an interest-bearing account at the Federal Reserve yielding</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5.40%. Busey anticipates reinvesting the proceeds into higher yielding organic growth opportunities over time.</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increased net interest spread as a result of the two-part repositioning is expected to increase net interest income by approximately $3.3 million on an annualized basis and improve the net interest margin run rate by 3 basis points. In addition, execution of these transactions further bolsters Busey’s liquidity position and balance sheet flexibility, while also strengthening its capital position.</w:t>
      </w:r>
    </w:p>
    <w:p>
      <w:pPr>
        <w:spacing w:after="0" w:line="17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In combination, the gain generated from the sale of mortgage servicing rights and the loss generated from the sale of securities had an immediate positive impact on consolidated stockholders’ equity and book value per share. Risk-based regulatory capital ratios increased modestly as a result of the repositioning proceeds rotating into lower risk-weighted assets. Busey expects the above transactions to be accretive to capital and earnings per share in future periods.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5" w:name="page66"/>
    <w:bookmarkEnd w:id="6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RESULTS OF OPERATIONS — THREE MONTHS ENDED MARCH 31, 2024</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Net Income</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Results of our operations are presented below, segregated by operating segment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375"/>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8"/>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income by operating segment</w:t>
            </w:r>
          </w:p>
        </w:tc>
        <w:tc>
          <w:tcPr>
            <w:tcW w:w="30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8"/>
              <w:spacing w:after="0"/>
              <w:rPr>
                <w:sz w:val="20"/>
                <w:szCs w:val="20"/>
                <w:color w:val="auto"/>
              </w:rPr>
            </w:pPr>
            <w:r>
              <w:rPr>
                <w:rFonts w:ascii="Verdana" w:cs="Verdana" w:eastAsia="Verdana" w:hAnsi="Verdana"/>
                <w:sz w:val="18"/>
                <w:szCs w:val="18"/>
                <w:color w:val="auto"/>
              </w:rPr>
              <w:t>26,492</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36,835</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4,998</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4,858</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300" w:type="dxa"/>
            <w:vAlign w:val="bottom"/>
          </w:tcPr>
          <w:p>
            <w:pPr>
              <w:spacing w:after="0"/>
              <w:rPr>
                <w:sz w:val="22"/>
                <w:szCs w:val="22"/>
                <w:color w:val="auto"/>
              </w:rPr>
            </w:pPr>
          </w:p>
        </w:tc>
        <w:tc>
          <w:tcPr>
            <w:tcW w:w="1220" w:type="dxa"/>
            <w:vAlign w:val="bottom"/>
          </w:tcPr>
          <w:p>
            <w:pPr>
              <w:jc w:val="right"/>
              <w:ind w:right="18"/>
              <w:spacing w:after="0"/>
              <w:rPr>
                <w:sz w:val="20"/>
                <w:szCs w:val="20"/>
                <w:color w:val="auto"/>
              </w:rPr>
            </w:pPr>
            <w:r>
              <w:rPr>
                <w:rFonts w:ascii="Verdana" w:cs="Verdana" w:eastAsia="Verdana" w:hAnsi="Verdana"/>
                <w:sz w:val="18"/>
                <w:szCs w:val="18"/>
                <w:color w:val="auto"/>
              </w:rPr>
              <w:t>86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Verdana" w:cs="Verdana" w:eastAsia="Verdana" w:hAnsi="Verdana"/>
                <w:sz w:val="18"/>
                <w:szCs w:val="18"/>
                <w:color w:val="auto"/>
              </w:rPr>
              <w:t>(38)</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30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(5,351)</w:t>
            </w:r>
          </w:p>
        </w:tc>
        <w:tc>
          <w:tcPr>
            <w:tcW w:w="8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(4,869)</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Net income</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26,225</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36,786</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Operating Performance Metrics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Operating performance metrics presented in the table below have been derived from information used by management to monitor and manage Busey’s financial performance </w:t>
      </w:r>
      <w:r>
        <w:rPr>
          <w:rFonts w:ascii="Verdana" w:cs="Verdana" w:eastAsia="Verdana" w:hAnsi="Verdana"/>
          <w:sz w:val="18"/>
          <w:szCs w:val="18"/>
          <w:i w:val="1"/>
          <w:iCs w:val="1"/>
          <w:color w:val="auto"/>
        </w:rPr>
        <w:t>(dollars in thousands, except per share amounts)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4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532"/>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1240" w:type="dxa"/>
            <w:vAlign w:val="bottom"/>
            <w:tcBorders>
              <w:bottom w:val="single" w:sz="8" w:color="E0E7ED"/>
            </w:tcBorders>
          </w:tcPr>
          <w:p>
            <w:pPr>
              <w:spacing w:after="0"/>
              <w:rPr>
                <w:sz w:val="14"/>
                <w:szCs w:val="14"/>
                <w:color w:val="auto"/>
              </w:rPr>
            </w:pPr>
          </w:p>
        </w:tc>
        <w:tc>
          <w:tcPr>
            <w:tcW w:w="658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4"/>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2"/>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1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Reported:</w:t>
            </w:r>
          </w:p>
        </w:tc>
        <w:tc>
          <w:tcPr>
            <w:tcW w:w="6580" w:type="dxa"/>
            <w:vAlign w:val="bottom"/>
            <w:shd w:val="clear" w:color="auto" w:fill="E0E7ED"/>
          </w:tcPr>
          <w:p>
            <w:pPr>
              <w:ind w:left="240"/>
              <w:spacing w:after="0"/>
              <w:rPr>
                <w:sz w:val="20"/>
                <w:szCs w:val="20"/>
                <w:color w:val="auto"/>
              </w:rPr>
            </w:pPr>
            <w:r>
              <w:rPr>
                <w:rFonts w:ascii="Verdana" w:cs="Verdana" w:eastAsia="Verdana" w:hAnsi="Verdana"/>
                <w:sz w:val="18"/>
                <w:szCs w:val="18"/>
                <w:color w:val="auto"/>
              </w:rPr>
              <w:t>Net income</w:t>
            </w: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30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26,225</w:t>
            </w:r>
          </w:p>
        </w:tc>
        <w:tc>
          <w:tcPr>
            <w:tcW w:w="80" w:type="dxa"/>
            <w:vAlign w:val="bottom"/>
            <w:shd w:val="clear" w:color="auto" w:fill="E0E7ED"/>
          </w:tcPr>
          <w:p>
            <w:pPr>
              <w:spacing w:after="0"/>
              <w:rPr>
                <w:sz w:val="23"/>
                <w:szCs w:val="23"/>
                <w:color w:val="auto"/>
              </w:rPr>
            </w:pPr>
          </w:p>
        </w:tc>
        <w:tc>
          <w:tcPr>
            <w:tcW w:w="40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36,786</w:t>
            </w:r>
          </w:p>
        </w:tc>
      </w:tr>
      <w:tr>
        <w:trPr>
          <w:trHeight w:val="263"/>
        </w:trPr>
        <w:tc>
          <w:tcPr>
            <w:tcW w:w="1240" w:type="dxa"/>
            <w:vAlign w:val="bottom"/>
          </w:tcPr>
          <w:p>
            <w:pPr>
              <w:ind w:left="20"/>
              <w:spacing w:after="0"/>
              <w:rPr>
                <w:sz w:val="20"/>
                <w:szCs w:val="20"/>
                <w:color w:val="auto"/>
              </w:rPr>
            </w:pPr>
            <w:r>
              <w:rPr>
                <w:rFonts w:ascii="Verdana" w:cs="Verdana" w:eastAsia="Verdana" w:hAnsi="Verdana"/>
                <w:sz w:val="18"/>
                <w:szCs w:val="18"/>
                <w:b w:val="1"/>
                <w:bCs w:val="1"/>
                <w:color w:val="auto"/>
              </w:rPr>
              <w:t>Adjusted:</w:t>
            </w:r>
          </w:p>
        </w:tc>
        <w:tc>
          <w:tcPr>
            <w:tcW w:w="6580" w:type="dxa"/>
            <w:vAlign w:val="bottom"/>
          </w:tcPr>
          <w:p>
            <w:pPr>
              <w:ind w:left="240"/>
              <w:spacing w:after="0"/>
              <w:rPr>
                <w:sz w:val="20"/>
                <w:szCs w:val="20"/>
                <w:color w:val="auto"/>
              </w:rPr>
            </w:pPr>
            <w:r>
              <w:rPr>
                <w:rFonts w:ascii="Verdana" w:cs="Verdana" w:eastAsia="Verdana" w:hAnsi="Verdana"/>
                <w:sz w:val="18"/>
                <w:szCs w:val="18"/>
                <w:color w:val="auto"/>
              </w:rPr>
              <w:t>Net income</w:t>
            </w:r>
            <w:r>
              <w:rPr>
                <w:rFonts w:ascii="Verdana" w:cs="Verdana" w:eastAsia="Verdana" w:hAnsi="Verdana"/>
                <w:sz w:val="11"/>
                <w:szCs w:val="11"/>
                <w:color w:val="auto"/>
              </w:rPr>
              <w:t>1</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300" w:type="dxa"/>
            <w:vAlign w:val="bottom"/>
          </w:tcPr>
          <w:p>
            <w:pPr>
              <w:jc w:val="right"/>
              <w:ind w:right="194"/>
              <w:spacing w:after="0"/>
              <w:rPr>
                <w:sz w:val="20"/>
                <w:szCs w:val="20"/>
                <w:color w:val="auto"/>
              </w:rPr>
            </w:pPr>
            <w:r>
              <w:rPr>
                <w:rFonts w:ascii="Verdana" w:cs="Verdana" w:eastAsia="Verdana" w:hAnsi="Verdana"/>
                <w:sz w:val="18"/>
                <w:szCs w:val="18"/>
                <w:color w:val="auto"/>
              </w:rPr>
              <w:t>26,531</w:t>
            </w:r>
          </w:p>
        </w:tc>
        <w:tc>
          <w:tcPr>
            <w:tcW w:w="8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92"/>
              <w:spacing w:after="0"/>
              <w:rPr>
                <w:sz w:val="20"/>
                <w:szCs w:val="20"/>
                <w:color w:val="auto"/>
              </w:rPr>
            </w:pPr>
            <w:r>
              <w:rPr>
                <w:rFonts w:ascii="Verdana" w:cs="Verdana" w:eastAsia="Verdana" w:hAnsi="Verdana"/>
                <w:sz w:val="18"/>
                <w:szCs w:val="18"/>
                <w:color w:val="auto"/>
              </w:rPr>
              <w:t>36,786</w:t>
            </w:r>
          </w:p>
        </w:tc>
      </w:tr>
      <w:tr>
        <w:trPr>
          <w:trHeight w:val="277"/>
        </w:trPr>
        <w:tc>
          <w:tcPr>
            <w:tcW w:w="1240" w:type="dxa"/>
            <w:vAlign w:val="bottom"/>
            <w:shd w:val="clear" w:color="auto" w:fill="E0E7ED"/>
          </w:tcPr>
          <w:p>
            <w:pPr>
              <w:spacing w:after="0"/>
              <w:rPr>
                <w:sz w:val="24"/>
                <w:szCs w:val="24"/>
                <w:color w:val="auto"/>
              </w:rPr>
            </w:pPr>
          </w:p>
        </w:tc>
        <w:tc>
          <w:tcPr>
            <w:tcW w:w="65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30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r>
      <w:tr>
        <w:trPr>
          <w:trHeight w:val="263"/>
        </w:trPr>
        <w:tc>
          <w:tcPr>
            <w:tcW w:w="1240" w:type="dxa"/>
            <w:vAlign w:val="bottom"/>
          </w:tcPr>
          <w:p>
            <w:pPr>
              <w:ind w:left="20"/>
              <w:spacing w:after="0"/>
              <w:rPr>
                <w:sz w:val="20"/>
                <w:szCs w:val="20"/>
                <w:color w:val="auto"/>
              </w:rPr>
            </w:pPr>
            <w:r>
              <w:rPr>
                <w:rFonts w:ascii="Verdana" w:cs="Verdana" w:eastAsia="Verdana" w:hAnsi="Verdana"/>
                <w:sz w:val="18"/>
                <w:szCs w:val="18"/>
                <w:b w:val="1"/>
                <w:bCs w:val="1"/>
                <w:color w:val="auto"/>
              </w:rPr>
              <w:t>Reported:</w:t>
            </w:r>
          </w:p>
        </w:tc>
        <w:tc>
          <w:tcPr>
            <w:tcW w:w="6580" w:type="dxa"/>
            <w:vAlign w:val="bottom"/>
          </w:tcPr>
          <w:p>
            <w:pPr>
              <w:ind w:left="240"/>
              <w:spacing w:after="0"/>
              <w:rPr>
                <w:sz w:val="20"/>
                <w:szCs w:val="20"/>
                <w:color w:val="auto"/>
              </w:rPr>
            </w:pPr>
            <w:r>
              <w:rPr>
                <w:rFonts w:ascii="Verdana" w:cs="Verdana" w:eastAsia="Verdana" w:hAnsi="Verdana"/>
                <w:sz w:val="18"/>
                <w:szCs w:val="18"/>
                <w:color w:val="auto"/>
              </w:rPr>
              <w:t>Diluted earnings per common share</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300" w:type="dxa"/>
            <w:vAlign w:val="bottom"/>
          </w:tcPr>
          <w:p>
            <w:pPr>
              <w:jc w:val="right"/>
              <w:ind w:right="194"/>
              <w:spacing w:after="0"/>
              <w:rPr>
                <w:sz w:val="20"/>
                <w:szCs w:val="20"/>
                <w:color w:val="auto"/>
              </w:rPr>
            </w:pPr>
            <w:r>
              <w:rPr>
                <w:rFonts w:ascii="Verdana" w:cs="Verdana" w:eastAsia="Verdana" w:hAnsi="Verdana"/>
                <w:sz w:val="18"/>
                <w:szCs w:val="18"/>
                <w:color w:val="auto"/>
              </w:rPr>
              <w:t>0.46</w:t>
            </w:r>
          </w:p>
        </w:tc>
        <w:tc>
          <w:tcPr>
            <w:tcW w:w="8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92"/>
              <w:spacing w:after="0"/>
              <w:rPr>
                <w:sz w:val="20"/>
                <w:szCs w:val="20"/>
                <w:color w:val="auto"/>
              </w:rPr>
            </w:pPr>
            <w:r>
              <w:rPr>
                <w:rFonts w:ascii="Verdana" w:cs="Verdana" w:eastAsia="Verdana" w:hAnsi="Verdana"/>
                <w:sz w:val="18"/>
                <w:szCs w:val="18"/>
                <w:color w:val="auto"/>
              </w:rPr>
              <w:t>0.65</w:t>
            </w:r>
          </w:p>
        </w:tc>
      </w:tr>
      <w:tr>
        <w:trPr>
          <w:trHeight w:val="277"/>
        </w:trPr>
        <w:tc>
          <w:tcPr>
            <w:tcW w:w="1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Adjusted:</w:t>
            </w:r>
          </w:p>
        </w:tc>
        <w:tc>
          <w:tcPr>
            <w:tcW w:w="6580" w:type="dxa"/>
            <w:vAlign w:val="bottom"/>
            <w:shd w:val="clear" w:color="auto" w:fill="E0E7ED"/>
          </w:tcPr>
          <w:p>
            <w:pPr>
              <w:ind w:left="240"/>
              <w:spacing w:after="0"/>
              <w:rPr>
                <w:sz w:val="20"/>
                <w:szCs w:val="20"/>
                <w:color w:val="auto"/>
              </w:rPr>
            </w:pPr>
            <w:r>
              <w:rPr>
                <w:rFonts w:ascii="Verdana" w:cs="Verdana" w:eastAsia="Verdana" w:hAnsi="Verdana"/>
                <w:sz w:val="18"/>
                <w:szCs w:val="18"/>
                <w:color w:val="auto"/>
              </w:rPr>
              <w:t>Diluted earnings per common share</w:t>
            </w:r>
            <w:r>
              <w:rPr>
                <w:rFonts w:ascii="Verdana" w:cs="Verdana" w:eastAsia="Verdana" w:hAnsi="Verdana"/>
                <w:sz w:val="11"/>
                <w:szCs w:val="11"/>
                <w:color w:val="auto"/>
              </w:rPr>
              <w:t>1</w:t>
            </w: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30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0.47</w:t>
            </w:r>
          </w:p>
        </w:tc>
        <w:tc>
          <w:tcPr>
            <w:tcW w:w="80" w:type="dxa"/>
            <w:vAlign w:val="bottom"/>
            <w:shd w:val="clear" w:color="auto" w:fill="E0E7ED"/>
          </w:tcPr>
          <w:p>
            <w:pPr>
              <w:spacing w:after="0"/>
              <w:rPr>
                <w:sz w:val="24"/>
                <w:szCs w:val="24"/>
                <w:color w:val="auto"/>
              </w:rPr>
            </w:pPr>
          </w:p>
        </w:tc>
        <w:tc>
          <w:tcPr>
            <w:tcW w:w="40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0.65</w:t>
            </w:r>
          </w:p>
        </w:tc>
      </w:tr>
      <w:tr>
        <w:trPr>
          <w:trHeight w:val="270"/>
        </w:trPr>
        <w:tc>
          <w:tcPr>
            <w:tcW w:w="124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1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Reported:</w:t>
            </w:r>
          </w:p>
        </w:tc>
        <w:tc>
          <w:tcPr>
            <w:tcW w:w="6580" w:type="dxa"/>
            <w:vAlign w:val="bottom"/>
            <w:shd w:val="clear" w:color="auto" w:fill="E0E7ED"/>
          </w:tcPr>
          <w:p>
            <w:pPr>
              <w:ind w:left="240"/>
              <w:spacing w:after="0"/>
              <w:rPr>
                <w:sz w:val="20"/>
                <w:szCs w:val="20"/>
                <w:color w:val="auto"/>
              </w:rPr>
            </w:pPr>
            <w:r>
              <w:rPr>
                <w:rFonts w:ascii="Verdana" w:cs="Verdana" w:eastAsia="Verdana" w:hAnsi="Verdana"/>
                <w:sz w:val="18"/>
                <w:szCs w:val="18"/>
                <w:color w:val="auto"/>
              </w:rPr>
              <w:t>Return on average assets</w:t>
            </w:r>
            <w:r>
              <w:rPr>
                <w:rFonts w:ascii="Verdana" w:cs="Verdana" w:eastAsia="Verdana" w:hAnsi="Verdana"/>
                <w:sz w:val="11"/>
                <w:szCs w:val="11"/>
                <w:color w:val="auto"/>
              </w:rPr>
              <w:t>2</w:t>
            </w:r>
          </w:p>
        </w:tc>
        <w:tc>
          <w:tcPr>
            <w:tcW w:w="360" w:type="dxa"/>
            <w:vAlign w:val="bottom"/>
            <w:shd w:val="clear" w:color="auto" w:fill="E0E7ED"/>
          </w:tcPr>
          <w:p>
            <w:pPr>
              <w:spacing w:after="0"/>
              <w:rPr>
                <w:sz w:val="23"/>
                <w:szCs w:val="23"/>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0.88 %</w:t>
            </w:r>
          </w:p>
        </w:tc>
        <w:tc>
          <w:tcPr>
            <w:tcW w:w="80" w:type="dxa"/>
            <w:vAlign w:val="bottom"/>
            <w:shd w:val="clear" w:color="auto" w:fill="E0E7ED"/>
          </w:tcPr>
          <w:p>
            <w:pPr>
              <w:spacing w:after="0"/>
              <w:rPr>
                <w:sz w:val="23"/>
                <w:szCs w:val="23"/>
                <w:color w:val="auto"/>
              </w:rPr>
            </w:pPr>
          </w:p>
        </w:tc>
        <w:tc>
          <w:tcPr>
            <w:tcW w:w="40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1.22 %</w:t>
            </w:r>
          </w:p>
        </w:tc>
      </w:tr>
      <w:tr>
        <w:trPr>
          <w:trHeight w:val="263"/>
        </w:trPr>
        <w:tc>
          <w:tcPr>
            <w:tcW w:w="1240" w:type="dxa"/>
            <w:vAlign w:val="bottom"/>
          </w:tcPr>
          <w:p>
            <w:pPr>
              <w:ind w:left="20"/>
              <w:spacing w:after="0"/>
              <w:rPr>
                <w:sz w:val="20"/>
                <w:szCs w:val="20"/>
                <w:color w:val="auto"/>
              </w:rPr>
            </w:pPr>
            <w:r>
              <w:rPr>
                <w:rFonts w:ascii="Verdana" w:cs="Verdana" w:eastAsia="Verdana" w:hAnsi="Verdana"/>
                <w:sz w:val="18"/>
                <w:szCs w:val="18"/>
                <w:b w:val="1"/>
                <w:bCs w:val="1"/>
                <w:color w:val="auto"/>
              </w:rPr>
              <w:t>Adjusted:</w:t>
            </w:r>
          </w:p>
        </w:tc>
        <w:tc>
          <w:tcPr>
            <w:tcW w:w="6580" w:type="dxa"/>
            <w:vAlign w:val="bottom"/>
          </w:tcPr>
          <w:p>
            <w:pPr>
              <w:ind w:left="240"/>
              <w:spacing w:after="0"/>
              <w:rPr>
                <w:sz w:val="20"/>
                <w:szCs w:val="20"/>
                <w:color w:val="auto"/>
              </w:rPr>
            </w:pPr>
            <w:r>
              <w:rPr>
                <w:rFonts w:ascii="Verdana" w:cs="Verdana" w:eastAsia="Verdana" w:hAnsi="Verdana"/>
                <w:sz w:val="18"/>
                <w:szCs w:val="18"/>
                <w:color w:val="auto"/>
              </w:rPr>
              <w:t>Return on average assets</w:t>
            </w:r>
            <w:r>
              <w:rPr>
                <w:rFonts w:ascii="Verdana" w:cs="Verdana" w:eastAsia="Verdana" w:hAnsi="Verdana"/>
                <w:sz w:val="11"/>
                <w:szCs w:val="11"/>
                <w:color w:val="auto"/>
              </w:rPr>
              <w:t>1, 2</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0.89 %</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1.22 %</w:t>
            </w:r>
          </w:p>
        </w:tc>
      </w:tr>
      <w:tr>
        <w:trPr>
          <w:trHeight w:val="277"/>
        </w:trPr>
        <w:tc>
          <w:tcPr>
            <w:tcW w:w="1240" w:type="dxa"/>
            <w:vAlign w:val="bottom"/>
            <w:shd w:val="clear" w:color="auto" w:fill="E0E7ED"/>
          </w:tcPr>
          <w:p>
            <w:pPr>
              <w:spacing w:after="0"/>
              <w:rPr>
                <w:sz w:val="24"/>
                <w:szCs w:val="24"/>
                <w:color w:val="auto"/>
              </w:rPr>
            </w:pPr>
          </w:p>
        </w:tc>
        <w:tc>
          <w:tcPr>
            <w:tcW w:w="65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30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r>
      <w:tr>
        <w:trPr>
          <w:trHeight w:val="263"/>
        </w:trPr>
        <w:tc>
          <w:tcPr>
            <w:tcW w:w="1240" w:type="dxa"/>
            <w:vAlign w:val="bottom"/>
          </w:tcPr>
          <w:p>
            <w:pPr>
              <w:ind w:left="20"/>
              <w:spacing w:after="0"/>
              <w:rPr>
                <w:sz w:val="20"/>
                <w:szCs w:val="20"/>
                <w:color w:val="auto"/>
              </w:rPr>
            </w:pPr>
            <w:r>
              <w:rPr>
                <w:rFonts w:ascii="Verdana" w:cs="Verdana" w:eastAsia="Verdana" w:hAnsi="Verdana"/>
                <w:sz w:val="18"/>
                <w:szCs w:val="18"/>
                <w:b w:val="1"/>
                <w:bCs w:val="1"/>
                <w:color w:val="auto"/>
              </w:rPr>
              <w:t>Reported:</w:t>
            </w:r>
          </w:p>
        </w:tc>
        <w:tc>
          <w:tcPr>
            <w:tcW w:w="6580" w:type="dxa"/>
            <w:vAlign w:val="bottom"/>
          </w:tcPr>
          <w:p>
            <w:pPr>
              <w:ind w:left="240"/>
              <w:spacing w:after="0"/>
              <w:rPr>
                <w:sz w:val="20"/>
                <w:szCs w:val="20"/>
                <w:color w:val="auto"/>
              </w:rPr>
            </w:pPr>
            <w:r>
              <w:rPr>
                <w:rFonts w:ascii="Verdana" w:cs="Verdana" w:eastAsia="Verdana" w:hAnsi="Verdana"/>
                <w:sz w:val="18"/>
                <w:szCs w:val="18"/>
                <w:color w:val="auto"/>
              </w:rPr>
              <w:t>Return on average tangible common equity</w:t>
            </w:r>
            <w:r>
              <w:rPr>
                <w:rFonts w:ascii="Verdana" w:cs="Verdana" w:eastAsia="Verdana" w:hAnsi="Verdana"/>
                <w:sz w:val="11"/>
                <w:szCs w:val="11"/>
                <w:color w:val="auto"/>
              </w:rPr>
              <w:t>1, 2</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11.43 %</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18.48 %</w:t>
            </w:r>
          </w:p>
        </w:tc>
      </w:tr>
      <w:tr>
        <w:trPr>
          <w:trHeight w:val="277"/>
        </w:trPr>
        <w:tc>
          <w:tcPr>
            <w:tcW w:w="1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Adjusted:</w:t>
            </w:r>
          </w:p>
        </w:tc>
        <w:tc>
          <w:tcPr>
            <w:tcW w:w="6580" w:type="dxa"/>
            <w:vAlign w:val="bottom"/>
            <w:shd w:val="clear" w:color="auto" w:fill="E0E7ED"/>
          </w:tcPr>
          <w:p>
            <w:pPr>
              <w:ind w:left="240"/>
              <w:spacing w:after="0"/>
              <w:rPr>
                <w:sz w:val="20"/>
                <w:szCs w:val="20"/>
                <w:color w:val="auto"/>
              </w:rPr>
            </w:pPr>
            <w:r>
              <w:rPr>
                <w:rFonts w:ascii="Verdana" w:cs="Verdana" w:eastAsia="Verdana" w:hAnsi="Verdana"/>
                <w:sz w:val="18"/>
                <w:szCs w:val="18"/>
                <w:color w:val="auto"/>
              </w:rPr>
              <w:t>Return on average tangible common equity</w:t>
            </w:r>
            <w:r>
              <w:rPr>
                <w:rFonts w:ascii="Verdana" w:cs="Verdana" w:eastAsia="Verdana" w:hAnsi="Verdana"/>
                <w:sz w:val="11"/>
                <w:szCs w:val="11"/>
                <w:color w:val="auto"/>
              </w:rPr>
              <w:t>1, 2</w:t>
            </w:r>
          </w:p>
        </w:tc>
        <w:tc>
          <w:tcPr>
            <w:tcW w:w="36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11.56 %</w:t>
            </w:r>
          </w:p>
        </w:tc>
        <w:tc>
          <w:tcPr>
            <w:tcW w:w="8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18.48 %</w:t>
            </w:r>
          </w:p>
        </w:tc>
      </w:tr>
      <w:tr>
        <w:trPr>
          <w:trHeight w:val="270"/>
        </w:trPr>
        <w:tc>
          <w:tcPr>
            <w:tcW w:w="124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1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Reported:</w:t>
            </w:r>
          </w:p>
        </w:tc>
        <w:tc>
          <w:tcPr>
            <w:tcW w:w="6580" w:type="dxa"/>
            <w:vAlign w:val="bottom"/>
            <w:shd w:val="clear" w:color="auto" w:fill="E0E7ED"/>
          </w:tcPr>
          <w:p>
            <w:pPr>
              <w:ind w:left="240"/>
              <w:spacing w:after="0"/>
              <w:rPr>
                <w:sz w:val="20"/>
                <w:szCs w:val="20"/>
                <w:color w:val="auto"/>
              </w:rPr>
            </w:pPr>
            <w:r>
              <w:rPr>
                <w:rFonts w:ascii="Verdana" w:cs="Verdana" w:eastAsia="Verdana" w:hAnsi="Verdana"/>
                <w:sz w:val="18"/>
                <w:szCs w:val="18"/>
                <w:color w:val="auto"/>
              </w:rPr>
              <w:t>Pre-provision net revenue</w:t>
            </w:r>
            <w:r>
              <w:rPr>
                <w:rFonts w:ascii="Verdana" w:cs="Verdana" w:eastAsia="Verdana" w:hAnsi="Verdana"/>
                <w:sz w:val="11"/>
                <w:szCs w:val="11"/>
                <w:color w:val="auto"/>
              </w:rPr>
              <w:t>1</w:t>
            </w: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30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46,373</w:t>
            </w:r>
          </w:p>
        </w:tc>
        <w:tc>
          <w:tcPr>
            <w:tcW w:w="80" w:type="dxa"/>
            <w:vAlign w:val="bottom"/>
            <w:shd w:val="clear" w:color="auto" w:fill="E0E7ED"/>
          </w:tcPr>
          <w:p>
            <w:pPr>
              <w:spacing w:after="0"/>
              <w:rPr>
                <w:sz w:val="23"/>
                <w:szCs w:val="23"/>
                <w:color w:val="auto"/>
              </w:rPr>
            </w:pPr>
          </w:p>
        </w:tc>
        <w:tc>
          <w:tcPr>
            <w:tcW w:w="40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47,918</w:t>
            </w:r>
          </w:p>
        </w:tc>
      </w:tr>
      <w:tr>
        <w:trPr>
          <w:trHeight w:val="263"/>
        </w:trPr>
        <w:tc>
          <w:tcPr>
            <w:tcW w:w="1240" w:type="dxa"/>
            <w:vAlign w:val="bottom"/>
          </w:tcPr>
          <w:p>
            <w:pPr>
              <w:ind w:left="20"/>
              <w:spacing w:after="0"/>
              <w:rPr>
                <w:sz w:val="20"/>
                <w:szCs w:val="20"/>
                <w:color w:val="auto"/>
              </w:rPr>
            </w:pPr>
            <w:r>
              <w:rPr>
                <w:rFonts w:ascii="Verdana" w:cs="Verdana" w:eastAsia="Verdana" w:hAnsi="Verdana"/>
                <w:sz w:val="18"/>
                <w:szCs w:val="18"/>
                <w:b w:val="1"/>
                <w:bCs w:val="1"/>
                <w:color w:val="auto"/>
              </w:rPr>
              <w:t>Adjusted:</w:t>
            </w:r>
          </w:p>
        </w:tc>
        <w:tc>
          <w:tcPr>
            <w:tcW w:w="6580" w:type="dxa"/>
            <w:vAlign w:val="bottom"/>
          </w:tcPr>
          <w:p>
            <w:pPr>
              <w:ind w:left="240"/>
              <w:spacing w:after="0"/>
              <w:rPr>
                <w:sz w:val="20"/>
                <w:szCs w:val="20"/>
                <w:color w:val="auto"/>
              </w:rPr>
            </w:pPr>
            <w:r>
              <w:rPr>
                <w:rFonts w:ascii="Verdana" w:cs="Verdana" w:eastAsia="Verdana" w:hAnsi="Verdana"/>
                <w:sz w:val="18"/>
                <w:szCs w:val="18"/>
                <w:color w:val="auto"/>
              </w:rPr>
              <w:t>Pre-provision net revenue</w:t>
            </w:r>
            <w:r>
              <w:rPr>
                <w:rFonts w:ascii="Verdana" w:cs="Verdana" w:eastAsia="Verdana" w:hAnsi="Verdana"/>
                <w:sz w:val="11"/>
                <w:szCs w:val="11"/>
                <w:color w:val="auto"/>
              </w:rPr>
              <w:t>1</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300" w:type="dxa"/>
            <w:vAlign w:val="bottom"/>
          </w:tcPr>
          <w:p>
            <w:pPr>
              <w:jc w:val="right"/>
              <w:ind w:right="194"/>
              <w:spacing w:after="0"/>
              <w:rPr>
                <w:sz w:val="20"/>
                <w:szCs w:val="20"/>
                <w:color w:val="auto"/>
              </w:rPr>
            </w:pPr>
            <w:r>
              <w:rPr>
                <w:rFonts w:ascii="Verdana" w:cs="Verdana" w:eastAsia="Verdana" w:hAnsi="Verdana"/>
                <w:sz w:val="18"/>
                <w:szCs w:val="18"/>
                <w:color w:val="auto"/>
              </w:rPr>
              <w:t>38,638</w:t>
            </w:r>
          </w:p>
        </w:tc>
        <w:tc>
          <w:tcPr>
            <w:tcW w:w="8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92"/>
              <w:spacing w:after="0"/>
              <w:rPr>
                <w:sz w:val="20"/>
                <w:szCs w:val="20"/>
                <w:color w:val="auto"/>
              </w:rPr>
            </w:pPr>
            <w:r>
              <w:rPr>
                <w:rFonts w:ascii="Verdana" w:cs="Verdana" w:eastAsia="Verdana" w:hAnsi="Verdana"/>
                <w:sz w:val="18"/>
                <w:szCs w:val="18"/>
                <w:color w:val="auto"/>
              </w:rPr>
              <w:t>49,504</w:t>
            </w:r>
          </w:p>
        </w:tc>
      </w:tr>
      <w:tr>
        <w:trPr>
          <w:trHeight w:val="277"/>
        </w:trPr>
        <w:tc>
          <w:tcPr>
            <w:tcW w:w="1240" w:type="dxa"/>
            <w:vAlign w:val="bottom"/>
            <w:shd w:val="clear" w:color="auto" w:fill="E0E7ED"/>
          </w:tcPr>
          <w:p>
            <w:pPr>
              <w:spacing w:after="0"/>
              <w:rPr>
                <w:sz w:val="24"/>
                <w:szCs w:val="24"/>
                <w:color w:val="auto"/>
              </w:rPr>
            </w:pPr>
          </w:p>
        </w:tc>
        <w:tc>
          <w:tcPr>
            <w:tcW w:w="65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30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r>
      <w:tr>
        <w:trPr>
          <w:trHeight w:val="263"/>
        </w:trPr>
        <w:tc>
          <w:tcPr>
            <w:tcW w:w="1240" w:type="dxa"/>
            <w:vAlign w:val="bottom"/>
          </w:tcPr>
          <w:p>
            <w:pPr>
              <w:ind w:left="20"/>
              <w:spacing w:after="0"/>
              <w:rPr>
                <w:sz w:val="20"/>
                <w:szCs w:val="20"/>
                <w:color w:val="auto"/>
              </w:rPr>
            </w:pPr>
            <w:r>
              <w:rPr>
                <w:rFonts w:ascii="Verdana" w:cs="Verdana" w:eastAsia="Verdana" w:hAnsi="Verdana"/>
                <w:sz w:val="18"/>
                <w:szCs w:val="18"/>
                <w:b w:val="1"/>
                <w:bCs w:val="1"/>
                <w:color w:val="auto"/>
              </w:rPr>
              <w:t>Reported:</w:t>
            </w:r>
          </w:p>
        </w:tc>
        <w:tc>
          <w:tcPr>
            <w:tcW w:w="6580" w:type="dxa"/>
            <w:vAlign w:val="bottom"/>
          </w:tcPr>
          <w:p>
            <w:pPr>
              <w:ind w:left="240"/>
              <w:spacing w:after="0"/>
              <w:rPr>
                <w:sz w:val="20"/>
                <w:szCs w:val="20"/>
                <w:color w:val="auto"/>
              </w:rPr>
            </w:pPr>
            <w:r>
              <w:rPr>
                <w:rFonts w:ascii="Verdana" w:cs="Verdana" w:eastAsia="Verdana" w:hAnsi="Verdana"/>
                <w:sz w:val="18"/>
                <w:szCs w:val="18"/>
                <w:color w:val="auto"/>
              </w:rPr>
              <w:t>Pre-provision net revenue to average assets</w:t>
            </w:r>
            <w:r>
              <w:rPr>
                <w:rFonts w:ascii="Verdana" w:cs="Verdana" w:eastAsia="Verdana" w:hAnsi="Verdana"/>
                <w:sz w:val="11"/>
                <w:szCs w:val="11"/>
                <w:color w:val="auto"/>
              </w:rPr>
              <w:t>1, 2</w:t>
            </w: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1.55 %</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1.58 %</w:t>
            </w:r>
          </w:p>
        </w:tc>
      </w:tr>
      <w:tr>
        <w:trPr>
          <w:trHeight w:val="277"/>
        </w:trPr>
        <w:tc>
          <w:tcPr>
            <w:tcW w:w="12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Adjusted:</w:t>
            </w:r>
          </w:p>
        </w:tc>
        <w:tc>
          <w:tcPr>
            <w:tcW w:w="6580" w:type="dxa"/>
            <w:vAlign w:val="bottom"/>
            <w:shd w:val="clear" w:color="auto" w:fill="E0E7ED"/>
          </w:tcPr>
          <w:p>
            <w:pPr>
              <w:ind w:left="240"/>
              <w:spacing w:after="0"/>
              <w:rPr>
                <w:sz w:val="20"/>
                <w:szCs w:val="20"/>
                <w:color w:val="auto"/>
              </w:rPr>
            </w:pPr>
            <w:r>
              <w:rPr>
                <w:rFonts w:ascii="Verdana" w:cs="Verdana" w:eastAsia="Verdana" w:hAnsi="Verdana"/>
                <w:sz w:val="18"/>
                <w:szCs w:val="18"/>
                <w:color w:val="auto"/>
              </w:rPr>
              <w:t>Pre-provision net revenue to average assets</w:t>
            </w:r>
            <w:r>
              <w:rPr>
                <w:rFonts w:ascii="Verdana" w:cs="Verdana" w:eastAsia="Verdana" w:hAnsi="Verdana"/>
                <w:sz w:val="11"/>
                <w:szCs w:val="11"/>
                <w:color w:val="auto"/>
              </w:rPr>
              <w:t>1, 2</w:t>
            </w:r>
          </w:p>
        </w:tc>
        <w:tc>
          <w:tcPr>
            <w:tcW w:w="36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1.29 %</w:t>
            </w:r>
          </w:p>
        </w:tc>
        <w:tc>
          <w:tcPr>
            <w:tcW w:w="8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1.64 %</w:t>
            </w:r>
          </w:p>
        </w:tc>
      </w:tr>
    </w:tbl>
    <w:p>
      <w:pPr>
        <w:spacing w:after="0" w:line="5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500" w:right="20" w:hanging="330"/>
        <w:spacing w:after="0" w:line="225" w:lineRule="auto"/>
        <w:tabs>
          <w:tab w:leader="none" w:pos="491" w:val="left"/>
        </w:tabs>
        <w:numPr>
          <w:ilvl w:val="0"/>
          <w:numId w:val="15"/>
        </w:numPr>
        <w:rPr>
          <w:rFonts w:ascii="Verdana" w:cs="Verdana" w:eastAsia="Verdana" w:hAnsi="Verdana"/>
          <w:sz w:val="13"/>
          <w:szCs w:val="13"/>
          <w:color w:val="auto"/>
        </w:rPr>
      </w:pPr>
      <w:r>
        <w:rPr>
          <w:rFonts w:ascii="Verdana" w:cs="Verdana" w:eastAsia="Verdana" w:hAnsi="Verdana"/>
          <w:sz w:val="13"/>
          <w:szCs w:val="13"/>
          <w:color w:val="auto"/>
        </w:rPr>
        <w:t xml:space="preserve">A non-GAAP financial measure. For a reconciliation of non-GAAP measures to the most directly comparable GAAP financial measures, see </w:t>
      </w:r>
      <w:r>
        <w:rPr>
          <w:rFonts w:ascii="Verdana" w:cs="Verdana" w:eastAsia="Verdana" w:hAnsi="Verdana"/>
          <w:sz w:val="13"/>
          <w:szCs w:val="13"/>
          <w:i w:val="1"/>
          <w:iCs w:val="1"/>
          <w:u w:val="single" w:color="auto"/>
          <w:color w:val="0000FF"/>
        </w:rPr>
        <w:t>“Item 2. Management’s</w:t>
      </w:r>
      <w:r>
        <w:rPr>
          <w:rFonts w:ascii="Verdana" w:cs="Verdana" w:eastAsia="Verdana" w:hAnsi="Verdana"/>
          <w:sz w:val="13"/>
          <w:szCs w:val="13"/>
          <w:color w:val="auto"/>
        </w:rPr>
        <w:t xml:space="preserve"> </w:t>
      </w:r>
      <w:r>
        <w:rPr>
          <w:rFonts w:ascii="Verdana" w:cs="Verdana" w:eastAsia="Verdana" w:hAnsi="Verdana"/>
          <w:sz w:val="13"/>
          <w:szCs w:val="13"/>
          <w:i w:val="1"/>
          <w:iCs w:val="1"/>
          <w:u w:val="single" w:color="auto"/>
          <w:color w:val="0000FF"/>
        </w:rPr>
        <w:t>Discussion and Analysis—Non-GAAP Financial Information”</w:t>
      </w:r>
      <w:r>
        <w:rPr>
          <w:rFonts w:ascii="Verdana" w:cs="Verdana" w:eastAsia="Verdana" w:hAnsi="Verdana"/>
          <w:sz w:val="13"/>
          <w:szCs w:val="13"/>
          <w:i w:val="1"/>
          <w:iCs w:val="1"/>
          <w:color w:val="0000FF"/>
        </w:rPr>
        <w:t xml:space="preserve"> </w:t>
      </w:r>
      <w:r>
        <w:rPr>
          <w:rFonts w:ascii="Verdana" w:cs="Verdana" w:eastAsia="Verdana" w:hAnsi="Verdana"/>
          <w:sz w:val="13"/>
          <w:szCs w:val="13"/>
          <w:color w:val="000000"/>
        </w:rPr>
        <w:t>included in this Quarterly Report.</w:t>
      </w:r>
    </w:p>
    <w:p>
      <w:pPr>
        <w:ind w:left="480" w:hanging="310"/>
        <w:spacing w:after="0"/>
        <w:tabs>
          <w:tab w:leader="none" w:pos="480" w:val="left"/>
        </w:tabs>
        <w:numPr>
          <w:ilvl w:val="0"/>
          <w:numId w:val="15"/>
        </w:numPr>
        <w:rPr>
          <w:rFonts w:ascii="Verdana" w:cs="Verdana" w:eastAsia="Verdana" w:hAnsi="Verdana"/>
          <w:sz w:val="13"/>
          <w:szCs w:val="13"/>
          <w:color w:val="auto"/>
        </w:rPr>
      </w:pPr>
      <w:r>
        <w:rPr>
          <w:rFonts w:ascii="Verdana" w:cs="Verdana" w:eastAsia="Verdana" w:hAnsi="Verdana"/>
          <w:sz w:val="13"/>
          <w:szCs w:val="13"/>
          <w:color w:val="auto"/>
        </w:rPr>
        <w:t>Annualized measure.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6" w:name="page67"/>
    <w:bookmarkEnd w:id="6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Non-Operating Expenses and Non-GAAP Measures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views certain non-operating items, including acquisition-related and restructuring charges, as adjustments to net income reported under GAAP. Non-operating pretax adjustments were as follows for the periods presented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760" w:type="dxa"/>
            <w:vAlign w:val="bottom"/>
            <w:tcBorders>
              <w:bottom w:val="single" w:sz="8" w:color="auto"/>
            </w:tcBorders>
            <w:gridSpan w:val="4"/>
          </w:tcPr>
          <w:p>
            <w:pPr>
              <w:jc w:val="right"/>
              <w:ind w:right="19"/>
              <w:spacing w:after="0"/>
              <w:rPr>
                <w:sz w:val="20"/>
                <w:szCs w:val="20"/>
                <w:color w:val="auto"/>
              </w:rPr>
            </w:pPr>
            <w:r>
              <w:rPr>
                <w:rFonts w:ascii="Verdana" w:cs="Verdana" w:eastAsia="Verdana" w:hAnsi="Verdana"/>
                <w:sz w:val="13"/>
                <w:szCs w:val="13"/>
                <w:b w:val="1"/>
                <w:bCs w:val="1"/>
                <w:color w:val="auto"/>
              </w:rPr>
              <w:t>Three Months Ended March 31,</w:t>
            </w:r>
          </w:p>
        </w:tc>
        <w:tc>
          <w:tcPr>
            <w:tcW w:w="360" w:type="dxa"/>
            <w:vAlign w:val="bottom"/>
            <w:tcBorders>
              <w:bottom w:val="single" w:sz="8" w:color="auto"/>
            </w:tcBorders>
          </w:tcPr>
          <w:p>
            <w:pPr>
              <w:spacing w:after="0"/>
              <w:rPr>
                <w:sz w:val="15"/>
                <w:szCs w:val="15"/>
                <w:color w:val="auto"/>
              </w:rPr>
            </w:pPr>
          </w:p>
        </w:tc>
      </w:tr>
      <w:tr>
        <w:trPr>
          <w:trHeight w:val="170"/>
        </w:trPr>
        <w:tc>
          <w:tcPr>
            <w:tcW w:w="8120" w:type="dxa"/>
            <w:vAlign w:val="bottom"/>
            <w:tcBorders>
              <w:bottom w:val="single" w:sz="8" w:color="E0E7ED"/>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160" w:type="dxa"/>
            <w:vAlign w:val="bottom"/>
            <w:tcBorders>
              <w:bottom w:val="single" w:sz="8" w:color="auto"/>
            </w:tcBorders>
          </w:tcPr>
          <w:p>
            <w:pPr>
              <w:jc w:val="right"/>
              <w:ind w:right="139"/>
              <w:spacing w:after="0"/>
              <w:rPr>
                <w:sz w:val="20"/>
                <w:szCs w:val="20"/>
                <w:color w:val="auto"/>
              </w:rPr>
            </w:pPr>
            <w:r>
              <w:rPr>
                <w:rFonts w:ascii="Verdana" w:cs="Verdana" w:eastAsia="Verdana" w:hAnsi="Verdana"/>
                <w:sz w:val="13"/>
                <w:szCs w:val="13"/>
                <w:b w:val="1"/>
                <w:bCs w:val="1"/>
                <w:color w:val="auto"/>
              </w:rPr>
              <w:t>2023</w:t>
            </w:r>
          </w:p>
        </w:tc>
        <w:tc>
          <w:tcPr>
            <w:tcW w:w="360" w:type="dxa"/>
            <w:vAlign w:val="bottom"/>
            <w:tcBorders>
              <w:bottom w:val="single" w:sz="8" w:color="auto"/>
            </w:tcBorders>
          </w:tcPr>
          <w:p>
            <w:pPr>
              <w:spacing w:after="0"/>
              <w:rPr>
                <w:sz w:val="14"/>
                <w:szCs w:val="14"/>
                <w:color w:val="auto"/>
              </w:rPr>
            </w:pP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Non-operating costs</w:t>
            </w:r>
          </w:p>
        </w:tc>
        <w:tc>
          <w:tcPr>
            <w:tcW w:w="1000" w:type="dxa"/>
            <w:vAlign w:val="bottom"/>
            <w:shd w:val="clear" w:color="auto" w:fill="E0E7ED"/>
          </w:tcPr>
          <w:p>
            <w:pPr>
              <w:spacing w:after="0"/>
              <w:rPr>
                <w:sz w:val="22"/>
                <w:szCs w:val="22"/>
                <w:color w:val="auto"/>
              </w:rPr>
            </w:pPr>
          </w:p>
        </w:tc>
        <w:tc>
          <w:tcPr>
            <w:tcW w:w="5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Acquisition related expenses</w:t>
            </w:r>
            <w:r>
              <w:rPr>
                <w:rFonts w:ascii="Verdana" w:cs="Verdana" w:eastAsia="Verdana" w:hAnsi="Verdana"/>
                <w:sz w:val="11"/>
                <w:szCs w:val="11"/>
                <w:color w:val="auto"/>
              </w:rPr>
              <w:t>1</w:t>
            </w:r>
          </w:p>
        </w:tc>
        <w:tc>
          <w:tcPr>
            <w:tcW w:w="1000" w:type="dxa"/>
            <w:vAlign w:val="bottom"/>
          </w:tcPr>
          <w:p>
            <w:pPr>
              <w:jc w:val="right"/>
              <w:ind w:right="784"/>
              <w:spacing w:after="0"/>
              <w:rPr>
                <w:sz w:val="20"/>
                <w:szCs w:val="20"/>
                <w:color w:val="auto"/>
              </w:rPr>
            </w:pPr>
            <w:r>
              <w:rPr>
                <w:rFonts w:ascii="Verdana" w:cs="Verdana" w:eastAsia="Verdana" w:hAnsi="Verdana"/>
                <w:sz w:val="18"/>
                <w:szCs w:val="18"/>
                <w:color w:val="auto"/>
              </w:rPr>
              <w:t>$</w:t>
            </w:r>
          </w:p>
        </w:tc>
        <w:tc>
          <w:tcPr>
            <w:tcW w:w="520" w:type="dxa"/>
            <w:vAlign w:val="bottom"/>
          </w:tcPr>
          <w:p>
            <w:pPr>
              <w:jc w:val="right"/>
              <w:ind w:right="10"/>
              <w:spacing w:after="0"/>
              <w:rPr>
                <w:sz w:val="20"/>
                <w:szCs w:val="20"/>
                <w:color w:val="auto"/>
              </w:rPr>
            </w:pPr>
            <w:r>
              <w:rPr>
                <w:rFonts w:ascii="Verdana" w:cs="Verdana" w:eastAsia="Verdana" w:hAnsi="Verdana"/>
                <w:sz w:val="18"/>
                <w:szCs w:val="18"/>
                <w:color w:val="auto"/>
              </w:rPr>
              <w:t>285</w:t>
            </w:r>
          </w:p>
        </w:tc>
        <w:tc>
          <w:tcPr>
            <w:tcW w:w="80" w:type="dxa"/>
            <w:vAlign w:val="bottom"/>
          </w:tcPr>
          <w:p>
            <w:pPr>
              <w:spacing w:after="0"/>
              <w:rPr>
                <w:sz w:val="22"/>
                <w:szCs w:val="22"/>
                <w:color w:val="auto"/>
              </w:rPr>
            </w:pPr>
          </w:p>
        </w:tc>
        <w:tc>
          <w:tcPr>
            <w:tcW w:w="1160" w:type="dxa"/>
            <w:vAlign w:val="bottom"/>
          </w:tcPr>
          <w:p>
            <w:pPr>
              <w:jc w:val="right"/>
              <w:ind w:right="939"/>
              <w:spacing w:after="0"/>
              <w:rPr>
                <w:sz w:val="20"/>
                <w:szCs w:val="20"/>
                <w:color w:val="auto"/>
              </w:rPr>
            </w:pPr>
            <w:r>
              <w:rPr>
                <w:rFonts w:ascii="Verdana" w:cs="Verdana" w:eastAsia="Verdana" w:hAnsi="Verdana"/>
                <w:sz w:val="18"/>
                <w:szCs w:val="18"/>
                <w:color w:val="auto"/>
              </w:rPr>
              <w:t>$</w:t>
            </w:r>
          </w:p>
        </w:tc>
        <w:tc>
          <w:tcPr>
            <w:tcW w:w="360" w:type="dxa"/>
            <w:vAlign w:val="bottom"/>
          </w:tcPr>
          <w:p>
            <w:pPr>
              <w:ind w:left="100"/>
              <w:spacing w:after="0"/>
              <w:rPr>
                <w:sz w:val="20"/>
                <w:szCs w:val="20"/>
                <w:color w:val="auto"/>
              </w:rPr>
            </w:pPr>
            <w:r>
              <w:rPr>
                <w:rFonts w:ascii="Verdana" w:cs="Verdana" w:eastAsia="Verdana" w:hAnsi="Verdana"/>
                <w:sz w:val="18"/>
                <w:szCs w:val="18"/>
                <w:color w:val="auto"/>
              </w:rPr>
              <w:t>—</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Restructuring charges</w:t>
            </w:r>
            <w:r>
              <w:rPr>
                <w:rFonts w:ascii="Verdana" w:cs="Verdana" w:eastAsia="Verdana" w:hAnsi="Verdana"/>
                <w:sz w:val="11"/>
                <w:szCs w:val="11"/>
                <w:color w:val="auto"/>
              </w:rPr>
              <w:t>2</w:t>
            </w:r>
          </w:p>
        </w:tc>
        <w:tc>
          <w:tcPr>
            <w:tcW w:w="1000" w:type="dxa"/>
            <w:vAlign w:val="bottom"/>
            <w:tcBorders>
              <w:bottom w:val="single" w:sz="8" w:color="auto"/>
            </w:tcBorders>
            <w:shd w:val="clear" w:color="auto" w:fill="E0E7ED"/>
          </w:tcPr>
          <w:p>
            <w:pPr>
              <w:spacing w:after="0"/>
              <w:rPr>
                <w:sz w:val="23"/>
                <w:szCs w:val="23"/>
                <w:color w:val="auto"/>
              </w:rPr>
            </w:pPr>
          </w:p>
        </w:tc>
        <w:tc>
          <w:tcPr>
            <w:tcW w:w="5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123</w:t>
            </w:r>
          </w:p>
        </w:tc>
        <w:tc>
          <w:tcPr>
            <w:tcW w:w="80" w:type="dxa"/>
            <w:vAlign w:val="bottom"/>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ind w:left="100"/>
              <w:spacing w:after="0"/>
              <w:rPr>
                <w:sz w:val="20"/>
                <w:szCs w:val="20"/>
                <w:color w:val="auto"/>
              </w:rPr>
            </w:pPr>
            <w:r>
              <w:rPr>
                <w:rFonts w:ascii="Verdana" w:cs="Verdana" w:eastAsia="Verdana" w:hAnsi="Verdana"/>
                <w:sz w:val="18"/>
                <w:szCs w:val="18"/>
                <w:color w:val="auto"/>
              </w:rPr>
              <w:t>—</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Total non-operating costs</w:t>
            </w:r>
          </w:p>
        </w:tc>
        <w:tc>
          <w:tcPr>
            <w:tcW w:w="1000" w:type="dxa"/>
            <w:vAlign w:val="bottom"/>
            <w:tcBorders>
              <w:bottom w:val="single" w:sz="8" w:color="auto"/>
            </w:tcBorders>
          </w:tcPr>
          <w:p>
            <w:pPr>
              <w:jc w:val="right"/>
              <w:ind w:right="784"/>
              <w:spacing w:after="0"/>
              <w:rPr>
                <w:sz w:val="20"/>
                <w:szCs w:val="20"/>
                <w:color w:val="auto"/>
              </w:rPr>
            </w:pPr>
            <w:r>
              <w:rPr>
                <w:rFonts w:ascii="Verdana" w:cs="Verdana" w:eastAsia="Verdana" w:hAnsi="Verdana"/>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408</w:t>
            </w:r>
          </w:p>
        </w:tc>
        <w:tc>
          <w:tcPr>
            <w:tcW w:w="80" w:type="dxa"/>
            <w:vAlign w:val="bottom"/>
          </w:tcPr>
          <w:p>
            <w:pPr>
              <w:spacing w:after="0"/>
              <w:rPr>
                <w:sz w:val="23"/>
                <w:szCs w:val="23"/>
                <w:color w:val="auto"/>
              </w:rPr>
            </w:pPr>
          </w:p>
        </w:tc>
        <w:tc>
          <w:tcPr>
            <w:tcW w:w="1160" w:type="dxa"/>
            <w:vAlign w:val="bottom"/>
            <w:tcBorders>
              <w:bottom w:val="single" w:sz="8" w:color="auto"/>
            </w:tcBorders>
          </w:tcPr>
          <w:p>
            <w:pPr>
              <w:jc w:val="right"/>
              <w:ind w:right="939"/>
              <w:spacing w:after="0"/>
              <w:rPr>
                <w:sz w:val="20"/>
                <w:szCs w:val="20"/>
                <w:color w:val="auto"/>
              </w:rPr>
            </w:pPr>
            <w:r>
              <w:rPr>
                <w:rFonts w:ascii="Verdana" w:cs="Verdana" w:eastAsia="Verdana" w:hAnsi="Verdana"/>
                <w:sz w:val="18"/>
                <w:szCs w:val="18"/>
                <w:color w:val="auto"/>
              </w:rPr>
              <w:t>$</w:t>
            </w:r>
          </w:p>
        </w:tc>
        <w:tc>
          <w:tcPr>
            <w:tcW w:w="360" w:type="dxa"/>
            <w:vAlign w:val="bottom"/>
            <w:tcBorders>
              <w:bottom w:val="single" w:sz="8" w:color="auto"/>
            </w:tcBorders>
          </w:tcPr>
          <w:p>
            <w:pPr>
              <w:ind w:left="100"/>
              <w:spacing w:after="0"/>
              <w:rPr>
                <w:sz w:val="20"/>
                <w:szCs w:val="20"/>
                <w:color w:val="auto"/>
              </w:rPr>
            </w:pPr>
            <w:r>
              <w:rPr>
                <w:rFonts w:ascii="Verdana" w:cs="Verdana" w:eastAsia="Verdana" w:hAnsi="Verdana"/>
                <w:sz w:val="18"/>
                <w:szCs w:val="18"/>
                <w:color w:val="auto"/>
              </w:rPr>
              <w:t>—</w:t>
            </w:r>
          </w:p>
        </w:tc>
      </w:tr>
      <w:tr>
        <w:trPr>
          <w:trHeight w:val="21"/>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16"/>
        </w:numPr>
        <w:rPr>
          <w:rFonts w:ascii="Verdana" w:cs="Verdana" w:eastAsia="Verdana" w:hAnsi="Verdana"/>
          <w:sz w:val="13"/>
          <w:szCs w:val="13"/>
          <w:color w:val="auto"/>
        </w:rPr>
      </w:pPr>
      <w:r>
        <w:rPr>
          <w:rFonts w:ascii="Verdana" w:cs="Verdana" w:eastAsia="Verdana" w:hAnsi="Verdana"/>
          <w:sz w:val="13"/>
          <w:szCs w:val="13"/>
          <w:color w:val="auto"/>
        </w:rPr>
        <w:t>Acquisition expenses related to the acquisition of M&amp;M, which was completed on April 1, 2024.</w:t>
      </w:r>
    </w:p>
    <w:p>
      <w:pPr>
        <w:ind w:left="480" w:hanging="310"/>
        <w:spacing w:after="0"/>
        <w:tabs>
          <w:tab w:leader="none" w:pos="480" w:val="left"/>
        </w:tabs>
        <w:numPr>
          <w:ilvl w:val="0"/>
          <w:numId w:val="16"/>
        </w:numPr>
        <w:rPr>
          <w:rFonts w:ascii="Verdana" w:cs="Verdana" w:eastAsia="Verdana" w:hAnsi="Verdana"/>
          <w:sz w:val="13"/>
          <w:szCs w:val="13"/>
          <w:color w:val="auto"/>
        </w:rPr>
      </w:pPr>
      <w:r>
        <w:rPr>
          <w:rFonts w:ascii="Verdana" w:cs="Verdana" w:eastAsia="Verdana" w:hAnsi="Verdana"/>
          <w:sz w:val="13"/>
          <w:szCs w:val="13"/>
          <w:color w:val="auto"/>
        </w:rPr>
        <w:t>Restructuring charges related to previously disclosed restructuring and efficiency plans.</w:t>
      </w:r>
    </w:p>
    <w:p>
      <w:pPr>
        <w:spacing w:after="0" w:line="17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A reconciliation of non-GAAP measures, which Busey believes facilitates the assessment of its financial results and peer comparability, is included in tabular form in this Quarterly Report. See </w:t>
      </w:r>
      <w:r>
        <w:rPr>
          <w:rFonts w:ascii="Verdana" w:cs="Verdana" w:eastAsia="Verdana" w:hAnsi="Verdana"/>
          <w:sz w:val="18"/>
          <w:szCs w:val="18"/>
          <w:i w:val="1"/>
          <w:iCs w:val="1"/>
          <w:u w:val="single" w:color="auto"/>
          <w:color w:val="0000FF"/>
        </w:rPr>
        <w:t>“Item 2. Management’s Discussion and Analysis—</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Non-GAAP Financial Information.”</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Net Interest Income</w:t>
      </w:r>
    </w:p>
    <w:p>
      <w:pPr>
        <w:spacing w:after="0" w:line="186" w:lineRule="exact"/>
        <w:rPr>
          <w:sz w:val="20"/>
          <w:szCs w:val="20"/>
          <w:color w:val="auto"/>
        </w:rPr>
      </w:pPr>
    </w:p>
    <w:p>
      <w:pPr>
        <w:jc w:val="both"/>
        <w:ind w:right="20"/>
        <w:spacing w:after="0" w:line="242" w:lineRule="auto"/>
        <w:rPr>
          <w:sz w:val="20"/>
          <w:szCs w:val="20"/>
          <w:color w:val="auto"/>
        </w:rPr>
      </w:pPr>
      <w:r>
        <w:rPr>
          <w:rFonts w:ascii="Verdana" w:cs="Verdana" w:eastAsia="Verdana" w:hAnsi="Verdana"/>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Certain assets with tax favorable treatment are evaluated on a tax-equivalent basis, assuming a federal income tax rate of 21.0%.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7" w:name="page68"/>
    <w:bookmarkEnd w:id="6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Consolidated Average Balance Sheets and Interest Rates (Unaudited)</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The following tables show our unaudited consolidated average balance sheets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 detailing the major categories of assets and liabilities, the interest income earned on interest-earning assets, the interest expense paid for interest-bearing liabilities, and the related interest yields for the periods shown. Average information is provided on a daily average basis.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ind w:left="180"/>
              <w:spacing w:after="0"/>
              <w:rPr>
                <w:sz w:val="20"/>
                <w:szCs w:val="20"/>
                <w:color w:val="auto"/>
              </w:rPr>
            </w:pPr>
            <w:r>
              <w:rPr>
                <w:rFonts w:ascii="Verdana" w:cs="Verdana" w:eastAsia="Verdana" w:hAnsi="Verdana"/>
                <w:sz w:val="13"/>
                <w:szCs w:val="13"/>
                <w:b w:val="1"/>
                <w:bCs w:val="1"/>
                <w:color w:val="auto"/>
              </w:rPr>
              <w:t>Three Months Ended March 31,</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ind w:left="80"/>
              <w:spacing w:after="0" w:line="120" w:lineRule="exact"/>
              <w:rPr>
                <w:sz w:val="20"/>
                <w:szCs w:val="20"/>
                <w:color w:val="auto"/>
              </w:rPr>
            </w:pPr>
            <w:r>
              <w:rPr>
                <w:rFonts w:ascii="Verdana" w:cs="Verdana" w:eastAsia="Verdana" w:hAnsi="Verdana"/>
                <w:sz w:val="13"/>
                <w:szCs w:val="13"/>
                <w:b w:val="1"/>
                <w:bCs w:val="1"/>
                <w:color w:val="auto"/>
              </w:rPr>
              <w:t>Average</w:t>
            </w:r>
          </w:p>
        </w:tc>
        <w:tc>
          <w:tcPr>
            <w:tcW w:w="180" w:type="dxa"/>
            <w:vAlign w:val="bottom"/>
          </w:tcPr>
          <w:p>
            <w:pPr>
              <w:spacing w:after="0"/>
              <w:rPr>
                <w:sz w:val="10"/>
                <w:szCs w:val="10"/>
                <w:color w:val="auto"/>
              </w:rPr>
            </w:pPr>
          </w:p>
        </w:tc>
        <w:tc>
          <w:tcPr>
            <w:tcW w:w="1040" w:type="dxa"/>
            <w:vAlign w:val="bottom"/>
            <w:gridSpan w:val="2"/>
          </w:tcPr>
          <w:p>
            <w:pPr>
              <w:ind w:left="60"/>
              <w:spacing w:after="0" w:line="120" w:lineRule="exact"/>
              <w:rPr>
                <w:sz w:val="20"/>
                <w:szCs w:val="20"/>
                <w:color w:val="auto"/>
              </w:rPr>
            </w:pPr>
            <w:r>
              <w:rPr>
                <w:rFonts w:ascii="Verdana" w:cs="Verdana" w:eastAsia="Verdana" w:hAnsi="Verdana"/>
                <w:sz w:val="13"/>
                <w:szCs w:val="13"/>
                <w:b w:val="1"/>
                <w:bCs w:val="1"/>
                <w:color w:val="auto"/>
              </w:rPr>
              <w:t>Income/</w:t>
            </w:r>
          </w:p>
        </w:tc>
        <w:tc>
          <w:tcPr>
            <w:tcW w:w="1220" w:type="dxa"/>
            <w:vAlign w:val="bottom"/>
          </w:tcPr>
          <w:p>
            <w:pPr>
              <w:jc w:val="right"/>
              <w:ind w:right="337"/>
              <w:spacing w:after="0" w:line="120" w:lineRule="exact"/>
              <w:rPr>
                <w:sz w:val="20"/>
                <w:szCs w:val="20"/>
                <w:color w:val="auto"/>
              </w:rPr>
            </w:pPr>
            <w:r>
              <w:rPr>
                <w:rFonts w:ascii="Verdana" w:cs="Verdana" w:eastAsia="Verdana" w:hAnsi="Verdana"/>
                <w:sz w:val="13"/>
                <w:szCs w:val="13"/>
                <w:b w:val="1"/>
                <w:bCs w:val="1"/>
                <w:color w:val="auto"/>
              </w:rPr>
              <w:t>Yield/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100"/>
              <w:spacing w:after="0" w:line="120" w:lineRule="exact"/>
              <w:rPr>
                <w:sz w:val="20"/>
                <w:szCs w:val="20"/>
                <w:color w:val="auto"/>
              </w:rPr>
            </w:pPr>
            <w:r>
              <w:rPr>
                <w:rFonts w:ascii="Verdana" w:cs="Verdana" w:eastAsia="Verdana" w:hAnsi="Verdana"/>
                <w:sz w:val="13"/>
                <w:szCs w:val="13"/>
                <w:b w:val="1"/>
                <w:bCs w:val="1"/>
                <w:color w:val="auto"/>
              </w:rPr>
              <w:t>Average</w:t>
            </w:r>
          </w:p>
        </w:tc>
        <w:tc>
          <w:tcPr>
            <w:tcW w:w="180" w:type="dxa"/>
            <w:vAlign w:val="bottom"/>
          </w:tcPr>
          <w:p>
            <w:pPr>
              <w:spacing w:after="0"/>
              <w:rPr>
                <w:sz w:val="10"/>
                <w:szCs w:val="10"/>
                <w:color w:val="auto"/>
              </w:rPr>
            </w:pPr>
          </w:p>
        </w:tc>
        <w:tc>
          <w:tcPr>
            <w:tcW w:w="1040" w:type="dxa"/>
            <w:vAlign w:val="bottom"/>
            <w:gridSpan w:val="2"/>
          </w:tcPr>
          <w:p>
            <w:pPr>
              <w:ind w:left="80"/>
              <w:spacing w:after="0" w:line="120" w:lineRule="exact"/>
              <w:rPr>
                <w:sz w:val="20"/>
                <w:szCs w:val="20"/>
                <w:color w:val="auto"/>
              </w:rPr>
            </w:pPr>
            <w:r>
              <w:rPr>
                <w:rFonts w:ascii="Verdana" w:cs="Verdana" w:eastAsia="Verdana" w:hAnsi="Verdana"/>
                <w:sz w:val="13"/>
                <w:szCs w:val="13"/>
                <w:b w:val="1"/>
                <w:bCs w:val="1"/>
                <w:color w:val="auto"/>
              </w:rPr>
              <w:t>Income/</w:t>
            </w:r>
          </w:p>
        </w:tc>
        <w:tc>
          <w:tcPr>
            <w:tcW w:w="1240" w:type="dxa"/>
            <w:vAlign w:val="bottom"/>
          </w:tcPr>
          <w:p>
            <w:pPr>
              <w:jc w:val="right"/>
              <w:ind w:right="337"/>
              <w:spacing w:after="0" w:line="120" w:lineRule="exact"/>
              <w:rPr>
                <w:sz w:val="20"/>
                <w:szCs w:val="20"/>
                <w:color w:val="auto"/>
              </w:rPr>
            </w:pPr>
            <w:r>
              <w:rPr>
                <w:rFonts w:ascii="Verdana" w:cs="Verdana" w:eastAsia="Verdana" w:hAnsi="Verdana"/>
                <w:sz w:val="13"/>
                <w:szCs w:val="13"/>
                <w:b w:val="1"/>
                <w:bCs w:val="1"/>
                <w:color w:val="auto"/>
              </w:rPr>
              <w:t>Yield/</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Balance</w:t>
            </w: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Expense</w:t>
            </w:r>
          </w:p>
        </w:tc>
        <w:tc>
          <w:tcPr>
            <w:tcW w:w="1220" w:type="dxa"/>
            <w:vAlign w:val="bottom"/>
          </w:tcPr>
          <w:p>
            <w:pPr>
              <w:jc w:val="right"/>
              <w:ind w:right="357"/>
              <w:spacing w:after="0" w:line="176" w:lineRule="exact"/>
              <w:rPr>
                <w:sz w:val="20"/>
                <w:szCs w:val="20"/>
                <w:color w:val="auto"/>
              </w:rPr>
            </w:pPr>
            <w:r>
              <w:rPr>
                <w:rFonts w:ascii="Verdana" w:cs="Verdana" w:eastAsia="Verdana" w:hAnsi="Verdana"/>
                <w:sz w:val="13"/>
                <w:szCs w:val="13"/>
                <w:b w:val="1"/>
                <w:bCs w:val="1"/>
                <w:color w:val="auto"/>
              </w:rPr>
              <w:t>Rate</w:t>
            </w:r>
            <w:r>
              <w:rPr>
                <w:rFonts w:ascii="Verdana" w:cs="Verdana" w:eastAsia="Verdana" w:hAnsi="Verdana"/>
                <w:sz w:val="16"/>
                <w:szCs w:val="16"/>
                <w:b w:val="1"/>
                <w:bCs w:val="1"/>
                <w:color w:val="auto"/>
                <w:vertAlign w:val="superscript"/>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Balance</w:t>
            </w: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Expense</w:t>
            </w:r>
          </w:p>
        </w:tc>
        <w:tc>
          <w:tcPr>
            <w:tcW w:w="1240" w:type="dxa"/>
            <w:vAlign w:val="bottom"/>
          </w:tcPr>
          <w:p>
            <w:pPr>
              <w:jc w:val="right"/>
              <w:ind w:right="377"/>
              <w:spacing w:after="0" w:line="176" w:lineRule="exact"/>
              <w:rPr>
                <w:sz w:val="20"/>
                <w:szCs w:val="20"/>
                <w:color w:val="auto"/>
              </w:rPr>
            </w:pPr>
            <w:r>
              <w:rPr>
                <w:rFonts w:ascii="Verdana" w:cs="Verdana" w:eastAsia="Verdana" w:hAnsi="Verdana"/>
                <w:sz w:val="13"/>
                <w:szCs w:val="13"/>
                <w:b w:val="1"/>
                <w:bCs w:val="1"/>
                <w:color w:val="auto"/>
              </w:rPr>
              <w:t>Rate</w:t>
            </w:r>
            <w:r>
              <w:rPr>
                <w:rFonts w:ascii="Verdana" w:cs="Verdana" w:eastAsia="Verdana" w:hAnsi="Verdana"/>
                <w:sz w:val="16"/>
                <w:szCs w:val="16"/>
                <w:b w:val="1"/>
                <w:bCs w:val="1"/>
                <w:color w:val="auto"/>
                <w:vertAlign w:val="superscript"/>
              </w:rPr>
              <w:t>5</w:t>
            </w:r>
          </w:p>
        </w:tc>
        <w:tc>
          <w:tcPr>
            <w:tcW w:w="0" w:type="dxa"/>
            <w:vAlign w:val="bottom"/>
          </w:tcPr>
          <w:p>
            <w:pPr>
              <w:spacing w:after="0"/>
              <w:rPr>
                <w:sz w:val="1"/>
                <w:szCs w:val="1"/>
                <w:color w:val="auto"/>
              </w:rPr>
            </w:pPr>
          </w:p>
        </w:tc>
      </w:tr>
      <w:tr>
        <w:trPr>
          <w:trHeight w:val="155"/>
        </w:trPr>
        <w:tc>
          <w:tcPr>
            <w:tcW w:w="3780" w:type="dxa"/>
            <w:vAlign w:val="bottom"/>
            <w:tcBorders>
              <w:top w:val="single" w:sz="8" w:color="E0E7ED"/>
            </w:tcBorders>
            <w:shd w:val="clear" w:color="auto" w:fill="E0E7ED"/>
          </w:tcPr>
          <w:p>
            <w:pPr>
              <w:ind w:left="20"/>
              <w:spacing w:after="0" w:line="145" w:lineRule="exact"/>
              <w:rPr>
                <w:sz w:val="20"/>
                <w:szCs w:val="20"/>
                <w:color w:val="auto"/>
              </w:rPr>
            </w:pPr>
            <w:r>
              <w:rPr>
                <w:rFonts w:ascii="Verdana" w:cs="Verdana" w:eastAsia="Verdana" w:hAnsi="Verdana"/>
                <w:sz w:val="13"/>
                <w:szCs w:val="13"/>
                <w:b w:val="1"/>
                <w:bCs w:val="1"/>
                <w:color w:val="auto"/>
              </w:rPr>
              <w:t>Assets</w:t>
            </w:r>
          </w:p>
        </w:tc>
        <w:tc>
          <w:tcPr>
            <w:tcW w:w="20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8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22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8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8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240" w:type="dxa"/>
            <w:vAlign w:val="bottom"/>
            <w:tcBorders>
              <w:top w:val="single" w:sz="8" w:color="auto"/>
            </w:tcBorders>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Interest-bearing bank deposits and federal funds sold</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488,610</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6,471</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5.33 %</w:t>
            </w:r>
          </w:p>
        </w:tc>
        <w:tc>
          <w:tcPr>
            <w:tcW w:w="280" w:type="dxa"/>
            <w:vAlign w:val="bottom"/>
            <w:gridSpan w:val="2"/>
          </w:tcPr>
          <w:p>
            <w:pPr>
              <w:jc w:val="right"/>
              <w:ind w:right="17"/>
              <w:spacing w:after="0"/>
              <w:rPr>
                <w:sz w:val="20"/>
                <w:szCs w:val="20"/>
                <w:color w:val="auto"/>
              </w:rPr>
            </w:pPr>
            <w:r>
              <w:rPr>
                <w:rFonts w:ascii="Verdana" w:cs="Verdana" w:eastAsia="Verdana" w:hAnsi="Verdana"/>
                <w:sz w:val="13"/>
                <w:szCs w:val="13"/>
                <w:color w:val="auto"/>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108,051</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988</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3.71 %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Investment securities: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U.S. Government obligations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12,405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62</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2.01 %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125,218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195</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0.63 %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line="181" w:lineRule="exact"/>
              <w:rPr>
                <w:sz w:val="20"/>
                <w:szCs w:val="20"/>
                <w:color w:val="auto"/>
              </w:rPr>
            </w:pPr>
            <w:r>
              <w:rPr>
                <w:rFonts w:ascii="Verdana" w:cs="Verdana" w:eastAsia="Verdana" w:hAnsi="Verdana"/>
                <w:sz w:val="13"/>
                <w:szCs w:val="13"/>
                <w:color w:val="auto"/>
              </w:rPr>
              <w:t>Obligations of states and political subdivisions</w:t>
            </w:r>
            <w:r>
              <w:rPr>
                <w:rFonts w:ascii="Verdana" w:cs="Verdana" w:eastAsia="Verdana" w:hAnsi="Verdana"/>
                <w:sz w:val="16"/>
                <w:szCs w:val="16"/>
                <w:color w:val="auto"/>
                <w:vertAlign w:val="superscript"/>
              </w:rPr>
              <w:t>1</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165,446</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1,147</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2.79 %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254,403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1,765</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2.81 %</w:t>
            </w: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Other securities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2,729,293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18,819</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2.77 %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2,980,364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18,579</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2.53 %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Loans held for sale</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4,833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72</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5.98 %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1,650</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5.65 %</w:t>
            </w:r>
          </w:p>
        </w:tc>
        <w:tc>
          <w:tcPr>
            <w:tcW w:w="0" w:type="dxa"/>
            <w:vAlign w:val="bottom"/>
          </w:tcPr>
          <w:p>
            <w:pPr>
              <w:spacing w:after="0"/>
              <w:rPr>
                <w:sz w:val="1"/>
                <w:szCs w:val="1"/>
                <w:color w:val="auto"/>
              </w:rPr>
            </w:pPr>
          </w:p>
        </w:tc>
      </w:tr>
      <w:tr>
        <w:trPr>
          <w:trHeight w:val="175"/>
        </w:trPr>
        <w:tc>
          <w:tcPr>
            <w:tcW w:w="3780" w:type="dxa"/>
            <w:vAlign w:val="bottom"/>
            <w:tcBorders>
              <w:bottom w:val="single" w:sz="8" w:color="E0E7ED"/>
            </w:tcBorders>
          </w:tcPr>
          <w:p>
            <w:pPr>
              <w:ind w:left="180"/>
              <w:spacing w:after="0" w:line="176" w:lineRule="exact"/>
              <w:rPr>
                <w:sz w:val="20"/>
                <w:szCs w:val="20"/>
                <w:color w:val="auto"/>
              </w:rPr>
            </w:pPr>
            <w:r>
              <w:rPr>
                <w:rFonts w:ascii="Verdana" w:cs="Verdana" w:eastAsia="Verdana" w:hAnsi="Verdana"/>
                <w:sz w:val="13"/>
                <w:szCs w:val="13"/>
                <w:color w:val="auto"/>
              </w:rPr>
              <w:t>Portfolio loans</w:t>
            </w:r>
            <w:r>
              <w:rPr>
                <w:rFonts w:ascii="Verdana" w:cs="Verdana" w:eastAsia="Verdana" w:hAnsi="Verdana"/>
                <w:sz w:val="16"/>
                <w:szCs w:val="16"/>
                <w:color w:val="auto"/>
                <w:vertAlign w:val="superscript"/>
              </w:rPr>
              <w:t>1, 2</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7,599,316</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99,611</w:t>
            </w:r>
          </w:p>
        </w:tc>
        <w:tc>
          <w:tcPr>
            <w:tcW w:w="100" w:type="dxa"/>
            <w:vAlign w:val="bottom"/>
            <w:tcBorders>
              <w:bottom w:val="single" w:sz="8" w:color="E0E7ED"/>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5.27 %</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7,710,876</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90,113</w:t>
            </w:r>
          </w:p>
        </w:tc>
        <w:tc>
          <w:tcPr>
            <w:tcW w:w="100" w:type="dxa"/>
            <w:vAlign w:val="bottom"/>
            <w:tcBorders>
              <w:bottom w:val="single" w:sz="8" w:color="E0E7ED"/>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4.74 %</w:t>
            </w:r>
          </w:p>
        </w:tc>
        <w:tc>
          <w:tcPr>
            <w:tcW w:w="0" w:type="dxa"/>
            <w:vAlign w:val="bottom"/>
          </w:tcPr>
          <w:p>
            <w:pPr>
              <w:spacing w:after="0"/>
              <w:rPr>
                <w:sz w:val="1"/>
                <w:szCs w:val="1"/>
                <w:color w:val="auto"/>
              </w:rPr>
            </w:pPr>
          </w:p>
        </w:tc>
      </w:tr>
      <w:tr>
        <w:trPr>
          <w:trHeight w:val="194"/>
        </w:trPr>
        <w:tc>
          <w:tcPr>
            <w:tcW w:w="3780" w:type="dxa"/>
            <w:vAlign w:val="bottom"/>
            <w:tcBorders>
              <w:bottom w:val="single" w:sz="8" w:color="E0E7ED"/>
            </w:tcBorders>
            <w:shd w:val="clear" w:color="auto" w:fill="E0E7ED"/>
          </w:tcPr>
          <w:p>
            <w:pPr>
              <w:ind w:left="180"/>
              <w:spacing w:after="0" w:line="169" w:lineRule="exact"/>
              <w:rPr>
                <w:sz w:val="20"/>
                <w:szCs w:val="20"/>
                <w:color w:val="auto"/>
              </w:rPr>
            </w:pPr>
            <w:r>
              <w:rPr>
                <w:rFonts w:ascii="Verdana" w:cs="Verdana" w:eastAsia="Verdana" w:hAnsi="Verdana"/>
                <w:sz w:val="13"/>
                <w:szCs w:val="13"/>
                <w:color w:val="auto"/>
              </w:rPr>
              <w:t>Total interest-earning assets</w:t>
            </w:r>
            <w:r>
              <w:rPr>
                <w:rFonts w:ascii="Verdana" w:cs="Verdana" w:eastAsia="Verdana" w:hAnsi="Verdana"/>
                <w:sz w:val="16"/>
                <w:szCs w:val="16"/>
                <w:color w:val="auto"/>
                <w:vertAlign w:val="superscript"/>
              </w:rPr>
              <w:t>1, 3</w:t>
            </w:r>
          </w:p>
        </w:tc>
        <w:tc>
          <w:tcPr>
            <w:tcW w:w="20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10,999,903</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126,182</w:t>
            </w: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4.61 %</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11,180,562</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111,663</w:t>
            </w: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4.05 %</w:t>
            </w: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Cash and due from banks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105,583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115,145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Premises and equipment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122,291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127,094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ACL</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(92,137)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(92,693)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Other assets</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888,568</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2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933,610</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40" w:type="dxa"/>
            <w:vAlign w:val="bottom"/>
            <w:tcBorders>
              <w:bottom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7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Total assets</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12,024,208</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12,263,718</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E0E7ED"/>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Liabilities and stockholders’ equity</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Interest-bearing transaction deposits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2,524,757</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10,811</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1.72 %</w:t>
            </w:r>
          </w:p>
        </w:tc>
        <w:tc>
          <w:tcPr>
            <w:tcW w:w="280" w:type="dxa"/>
            <w:vAlign w:val="bottom"/>
            <w:gridSpan w:val="2"/>
          </w:tcPr>
          <w:p>
            <w:pPr>
              <w:jc w:val="right"/>
              <w:ind w:right="17"/>
              <w:spacing w:after="0"/>
              <w:rPr>
                <w:sz w:val="20"/>
                <w:szCs w:val="20"/>
                <w:color w:val="auto"/>
              </w:rPr>
            </w:pPr>
            <w:r>
              <w:rPr>
                <w:rFonts w:ascii="Verdana" w:cs="Verdana" w:eastAsia="Verdana" w:hAnsi="Verdana"/>
                <w:sz w:val="13"/>
                <w:szCs w:val="13"/>
                <w:color w:val="auto"/>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2,767,507</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6,938</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1.02 %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Savings and money market deposits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3,076,203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16,388</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2.14 %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2,911,194</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3,952</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0.55 %</w:t>
            </w: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Time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1,729,145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16,769</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3.90 %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958,704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3,850</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1.63 %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Federal funds purchased and repurchase agreements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178,659</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1,372</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3.09 %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230,351</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1,222</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2.15 %</w:t>
            </w:r>
          </w:p>
        </w:tc>
        <w:tc>
          <w:tcPr>
            <w:tcW w:w="0" w:type="dxa"/>
            <w:vAlign w:val="bottom"/>
          </w:tcPr>
          <w:p>
            <w:pPr>
              <w:spacing w:after="0"/>
              <w:rPr>
                <w:sz w:val="1"/>
                <w:szCs w:val="1"/>
                <w:color w:val="auto"/>
              </w:rPr>
            </w:pPr>
          </w:p>
        </w:tc>
      </w:tr>
      <w:tr>
        <w:trPr>
          <w:trHeight w:val="175"/>
        </w:trPr>
        <w:tc>
          <w:tcPr>
            <w:tcW w:w="3780" w:type="dxa"/>
            <w:vAlign w:val="bottom"/>
          </w:tcPr>
          <w:p>
            <w:pPr>
              <w:ind w:left="180"/>
              <w:spacing w:after="0" w:line="176" w:lineRule="exact"/>
              <w:rPr>
                <w:sz w:val="20"/>
                <w:szCs w:val="20"/>
                <w:color w:val="auto"/>
              </w:rPr>
            </w:pPr>
            <w:r>
              <w:rPr>
                <w:rFonts w:ascii="Verdana" w:cs="Verdana" w:eastAsia="Verdana" w:hAnsi="Verdana"/>
                <w:sz w:val="13"/>
                <w:szCs w:val="13"/>
                <w:color w:val="auto"/>
              </w:rPr>
              <w:t>Borrowings</w:t>
            </w:r>
            <w:r>
              <w:rPr>
                <w:rFonts w:ascii="Verdana" w:cs="Verdana" w:eastAsia="Verdana" w:hAnsi="Verdana"/>
                <w:sz w:val="16"/>
                <w:szCs w:val="16"/>
                <w:color w:val="auto"/>
                <w:vertAlign w:val="superscript"/>
              </w:rPr>
              <w:t>4</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250,882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3,637</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5.83 %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675,349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8,373</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5.03 %</w:t>
            </w:r>
          </w:p>
        </w:tc>
        <w:tc>
          <w:tcPr>
            <w:tcW w:w="0" w:type="dxa"/>
            <w:vAlign w:val="bottom"/>
          </w:tcPr>
          <w:p>
            <w:pPr>
              <w:spacing w:after="0"/>
              <w:rPr>
                <w:sz w:val="1"/>
                <w:szCs w:val="1"/>
                <w:color w:val="auto"/>
              </w:rPr>
            </w:pPr>
          </w:p>
        </w:tc>
      </w:tr>
      <w:tr>
        <w:trPr>
          <w:trHeight w:val="121"/>
        </w:trPr>
        <w:tc>
          <w:tcPr>
            <w:tcW w:w="3780" w:type="dxa"/>
            <w:vAlign w:val="bottom"/>
            <w:shd w:val="clear" w:color="auto" w:fill="E0E7ED"/>
          </w:tcPr>
          <w:p>
            <w:pPr>
              <w:ind w:left="180"/>
              <w:spacing w:after="0" w:line="122" w:lineRule="exact"/>
              <w:rPr>
                <w:sz w:val="20"/>
                <w:szCs w:val="20"/>
                <w:color w:val="auto"/>
              </w:rPr>
            </w:pPr>
            <w:r>
              <w:rPr>
                <w:rFonts w:ascii="Verdana" w:cs="Verdana" w:eastAsia="Verdana" w:hAnsi="Verdana"/>
                <w:sz w:val="13"/>
                <w:szCs w:val="13"/>
                <w:color w:val="auto"/>
              </w:rPr>
              <w:t>Junior subordinated debt issued to unconsolidated</w:t>
            </w:r>
          </w:p>
        </w:tc>
        <w:tc>
          <w:tcPr>
            <w:tcW w:w="20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72,009</w:t>
            </w:r>
          </w:p>
        </w:tc>
        <w:tc>
          <w:tcPr>
            <w:tcW w:w="100" w:type="dxa"/>
            <w:vAlign w:val="bottom"/>
            <w:shd w:val="clear" w:color="auto" w:fill="E0E7ED"/>
          </w:tcPr>
          <w:p>
            <w:pPr>
              <w:spacing w:after="0"/>
              <w:rPr>
                <w:sz w:val="10"/>
                <w:szCs w:val="10"/>
                <w:color w:val="auto"/>
              </w:rPr>
            </w:pPr>
          </w:p>
        </w:tc>
        <w:tc>
          <w:tcPr>
            <w:tcW w:w="18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989</w:t>
            </w:r>
          </w:p>
        </w:tc>
        <w:tc>
          <w:tcPr>
            <w:tcW w:w="100" w:type="dxa"/>
            <w:vAlign w:val="bottom"/>
            <w:shd w:val="clear" w:color="auto" w:fill="E0E7ED"/>
          </w:tcPr>
          <w:p>
            <w:pPr>
              <w:spacing w:after="0"/>
              <w:rPr>
                <w:sz w:val="10"/>
                <w:szCs w:val="10"/>
                <w:color w:val="auto"/>
              </w:rPr>
            </w:pP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5.52 %</w:t>
            </w:r>
          </w:p>
        </w:tc>
        <w:tc>
          <w:tcPr>
            <w:tcW w:w="100" w:type="dxa"/>
            <w:vAlign w:val="bottom"/>
            <w:shd w:val="clear" w:color="auto" w:fill="E0E7ED"/>
          </w:tcPr>
          <w:p>
            <w:pPr>
              <w:spacing w:after="0"/>
              <w:rPr>
                <w:sz w:val="10"/>
                <w:szCs w:val="10"/>
                <w:color w:val="auto"/>
              </w:rPr>
            </w:pPr>
          </w:p>
        </w:tc>
        <w:tc>
          <w:tcPr>
            <w:tcW w:w="18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71,825</w:t>
            </w:r>
          </w:p>
        </w:tc>
        <w:tc>
          <w:tcPr>
            <w:tcW w:w="100" w:type="dxa"/>
            <w:vAlign w:val="bottom"/>
            <w:shd w:val="clear" w:color="auto" w:fill="E0E7ED"/>
          </w:tcPr>
          <w:p>
            <w:pPr>
              <w:spacing w:after="0"/>
              <w:rPr>
                <w:sz w:val="10"/>
                <w:szCs w:val="10"/>
                <w:color w:val="auto"/>
              </w:rPr>
            </w:pPr>
          </w:p>
        </w:tc>
        <w:tc>
          <w:tcPr>
            <w:tcW w:w="18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913</w:t>
            </w:r>
          </w:p>
        </w:tc>
        <w:tc>
          <w:tcPr>
            <w:tcW w:w="100" w:type="dxa"/>
            <w:vAlign w:val="bottom"/>
            <w:shd w:val="clear" w:color="auto" w:fill="E0E7ED"/>
          </w:tcPr>
          <w:p>
            <w:pPr>
              <w:spacing w:after="0"/>
              <w:rPr>
                <w:sz w:val="10"/>
                <w:szCs w:val="10"/>
                <w:color w:val="auto"/>
              </w:rPr>
            </w:pPr>
          </w:p>
        </w:tc>
        <w:tc>
          <w:tcPr>
            <w:tcW w:w="12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5.16 %</w:t>
            </w:r>
          </w:p>
        </w:tc>
        <w:tc>
          <w:tcPr>
            <w:tcW w:w="0" w:type="dxa"/>
            <w:vAlign w:val="bottom"/>
          </w:tcPr>
          <w:p>
            <w:pPr>
              <w:spacing w:after="0"/>
              <w:rPr>
                <w:sz w:val="1"/>
                <w:szCs w:val="1"/>
                <w:color w:val="auto"/>
              </w:rPr>
            </w:pPr>
          </w:p>
        </w:tc>
      </w:tr>
      <w:tr>
        <w:trPr>
          <w:trHeight w:val="170"/>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trusts</w:t>
            </w:r>
          </w:p>
        </w:tc>
        <w:tc>
          <w:tcPr>
            <w:tcW w:w="20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22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240" w:type="dxa"/>
            <w:vAlign w:val="bottom"/>
            <w:tcBorders>
              <w:bottom w:val="single" w:sz="8" w:color="auto"/>
            </w:tcBorders>
            <w:vMerge w:val="continue"/>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rPr>
                <w:sz w:val="20"/>
                <w:szCs w:val="20"/>
                <w:color w:val="auto"/>
              </w:rPr>
            </w:pPr>
            <w:r>
              <w:rPr>
                <w:rFonts w:ascii="Verdana" w:cs="Verdana" w:eastAsia="Verdana" w:hAnsi="Verdana"/>
                <w:sz w:val="13"/>
                <w:szCs w:val="13"/>
                <w:color w:val="auto"/>
              </w:rPr>
              <w:t>Total interest-bearing liabilities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7,831,655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49,966</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2.57 %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7,614,930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25,248</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1.34 %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9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9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22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9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9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24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180"/>
              <w:spacing w:after="0" w:line="176" w:lineRule="exact"/>
              <w:rPr>
                <w:sz w:val="20"/>
                <w:szCs w:val="20"/>
                <w:color w:val="auto"/>
              </w:rPr>
            </w:pPr>
            <w:r>
              <w:rPr>
                <w:rFonts w:ascii="Verdana" w:cs="Verdana" w:eastAsia="Verdana" w:hAnsi="Verdana"/>
                <w:sz w:val="13"/>
                <w:szCs w:val="13"/>
                <w:color w:val="auto"/>
              </w:rPr>
              <w:t>Net interest spread</w:t>
            </w:r>
            <w:r>
              <w:rPr>
                <w:rFonts w:ascii="Verdana" w:cs="Verdana" w:eastAsia="Verdana" w:hAnsi="Verdana"/>
                <w:sz w:val="16"/>
                <w:szCs w:val="16"/>
                <w:color w:val="auto"/>
                <w:vertAlign w:val="superscript"/>
              </w:rPr>
              <w:t>1</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2.04 %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2.71 %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shd w:val="clear" w:color="auto" w:fill="E0E7ED"/>
          </w:tcPr>
          <w:p>
            <w:pPr>
              <w:spacing w:after="0"/>
              <w:rPr>
                <w:sz w:val="12"/>
                <w:szCs w:val="12"/>
                <w:color w:val="auto"/>
              </w:rPr>
            </w:pPr>
          </w:p>
        </w:tc>
        <w:tc>
          <w:tcPr>
            <w:tcW w:w="200" w:type="dxa"/>
            <w:vAlign w:val="bottom"/>
            <w:shd w:val="clear" w:color="auto" w:fill="E0E7ED"/>
          </w:tcPr>
          <w:p>
            <w:pPr>
              <w:spacing w:after="0"/>
              <w:rPr>
                <w:sz w:val="12"/>
                <w:szCs w:val="12"/>
                <w:color w:val="auto"/>
              </w:rPr>
            </w:pPr>
          </w:p>
        </w:tc>
        <w:tc>
          <w:tcPr>
            <w:tcW w:w="9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9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22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9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9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24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Noninterest-bearing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2,708,586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3,272,745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Other liabilities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208,243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205,224</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Stockholders’ equity</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1,275,724</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2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1,170,819</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40" w:type="dxa"/>
            <w:vAlign w:val="bottom"/>
            <w:tcBorders>
              <w:bottom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7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Total liabilities and stockholders’ equity</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12,024,208</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12,263,718</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E0E7ED"/>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E0E7ED"/>
          </w:tcPr>
          <w:p>
            <w:pPr>
              <w:ind w:left="20"/>
              <w:spacing w:after="0" w:line="176" w:lineRule="exact"/>
              <w:rPr>
                <w:sz w:val="20"/>
                <w:szCs w:val="20"/>
                <w:color w:val="auto"/>
              </w:rPr>
            </w:pPr>
            <w:r>
              <w:rPr>
                <w:rFonts w:ascii="Verdana" w:cs="Verdana" w:eastAsia="Verdana" w:hAnsi="Verdana"/>
                <w:sz w:val="13"/>
                <w:szCs w:val="13"/>
                <w:color w:val="auto"/>
              </w:rPr>
              <w:t>Interest income / earning assets</w:t>
            </w:r>
            <w:r>
              <w:rPr>
                <w:rFonts w:ascii="Verdana" w:cs="Verdana" w:eastAsia="Verdana" w:hAnsi="Verdana"/>
                <w:sz w:val="16"/>
                <w:szCs w:val="16"/>
                <w:color w:val="auto"/>
                <w:vertAlign w:val="superscript"/>
              </w:rPr>
              <w:t>1, 3</w:t>
            </w:r>
          </w:p>
        </w:tc>
        <w:tc>
          <w:tcPr>
            <w:tcW w:w="200" w:type="dxa"/>
            <w:vAlign w:val="bottom"/>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10,999,903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126,182</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4.61 %</w:t>
            </w:r>
          </w:p>
        </w:tc>
        <w:tc>
          <w:tcPr>
            <w:tcW w:w="280" w:type="dxa"/>
            <w:vAlign w:val="bottom"/>
            <w:gridSpan w:val="2"/>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11,180,562</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111,663</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4.05 %</w:t>
            </w:r>
          </w:p>
        </w:tc>
        <w:tc>
          <w:tcPr>
            <w:tcW w:w="0" w:type="dxa"/>
            <w:vAlign w:val="bottom"/>
          </w:tcPr>
          <w:p>
            <w:pPr>
              <w:spacing w:after="0"/>
              <w:rPr>
                <w:sz w:val="1"/>
                <w:szCs w:val="1"/>
                <w:color w:val="auto"/>
              </w:rPr>
            </w:pPr>
          </w:p>
        </w:tc>
      </w:tr>
      <w:tr>
        <w:trPr>
          <w:trHeight w:val="170"/>
        </w:trPr>
        <w:tc>
          <w:tcPr>
            <w:tcW w:w="3780" w:type="dxa"/>
            <w:vAlign w:val="bottom"/>
            <w:tcBorders>
              <w:bottom w:val="single" w:sz="8" w:color="E0E7ED"/>
            </w:tcBorders>
          </w:tcPr>
          <w:p>
            <w:pPr>
              <w:ind w:left="20"/>
              <w:spacing w:after="0"/>
              <w:rPr>
                <w:sz w:val="20"/>
                <w:szCs w:val="20"/>
                <w:color w:val="auto"/>
              </w:rPr>
            </w:pPr>
            <w:r>
              <w:rPr>
                <w:rFonts w:ascii="Verdana" w:cs="Verdana" w:eastAsia="Verdana" w:hAnsi="Verdana"/>
                <w:sz w:val="13"/>
                <w:szCs w:val="13"/>
                <w:color w:val="auto"/>
              </w:rPr>
              <w:t>Interest expense / earning assets</w:t>
            </w:r>
          </w:p>
        </w:tc>
        <w:tc>
          <w:tcPr>
            <w:tcW w:w="20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jc w:val="right"/>
              <w:spacing w:after="0"/>
              <w:rPr>
                <w:sz w:val="20"/>
                <w:szCs w:val="20"/>
                <w:color w:val="auto"/>
              </w:rPr>
            </w:pPr>
            <w:r>
              <w:rPr>
                <w:rFonts w:ascii="Verdana" w:cs="Verdana" w:eastAsia="Verdana" w:hAnsi="Verdana"/>
                <w:sz w:val="13"/>
                <w:szCs w:val="13"/>
                <w:color w:val="auto"/>
              </w:rPr>
              <w:t>10,999,903</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49,966</w:t>
            </w:r>
          </w:p>
        </w:tc>
        <w:tc>
          <w:tcPr>
            <w:tcW w:w="100" w:type="dxa"/>
            <w:vAlign w:val="bottom"/>
            <w:tcBorders>
              <w:bottom w:val="single" w:sz="8" w:color="E0E7ED"/>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1.82 %</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jc w:val="right"/>
              <w:spacing w:after="0"/>
              <w:rPr>
                <w:sz w:val="20"/>
                <w:szCs w:val="20"/>
                <w:color w:val="auto"/>
              </w:rPr>
            </w:pPr>
            <w:r>
              <w:rPr>
                <w:rFonts w:ascii="Verdana" w:cs="Verdana" w:eastAsia="Verdana" w:hAnsi="Verdana"/>
                <w:sz w:val="13"/>
                <w:szCs w:val="13"/>
                <w:color w:val="auto"/>
              </w:rPr>
              <w:t>11,180,562</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25,248</w:t>
            </w:r>
          </w:p>
        </w:tc>
        <w:tc>
          <w:tcPr>
            <w:tcW w:w="100" w:type="dxa"/>
            <w:vAlign w:val="bottom"/>
            <w:tcBorders>
              <w:bottom w:val="single" w:sz="8" w:color="E0E7ED"/>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0.92 %</w:t>
            </w:r>
          </w:p>
        </w:tc>
        <w:tc>
          <w:tcPr>
            <w:tcW w:w="0" w:type="dxa"/>
            <w:vAlign w:val="bottom"/>
          </w:tcPr>
          <w:p>
            <w:pPr>
              <w:spacing w:after="0"/>
              <w:rPr>
                <w:sz w:val="1"/>
                <w:szCs w:val="1"/>
                <w:color w:val="auto"/>
              </w:rPr>
            </w:pPr>
          </w:p>
        </w:tc>
      </w:tr>
      <w:tr>
        <w:trPr>
          <w:trHeight w:val="199"/>
        </w:trPr>
        <w:tc>
          <w:tcPr>
            <w:tcW w:w="3780" w:type="dxa"/>
            <w:vAlign w:val="bottom"/>
            <w:tcBorders>
              <w:bottom w:val="single" w:sz="8" w:color="E0E7ED"/>
            </w:tcBorders>
            <w:shd w:val="clear" w:color="auto" w:fill="E0E7ED"/>
          </w:tcPr>
          <w:p>
            <w:pPr>
              <w:ind w:left="20"/>
              <w:spacing w:after="0" w:line="175" w:lineRule="exact"/>
              <w:rPr>
                <w:sz w:val="20"/>
                <w:szCs w:val="20"/>
                <w:color w:val="auto"/>
              </w:rPr>
            </w:pPr>
            <w:r>
              <w:rPr>
                <w:rFonts w:ascii="Verdana" w:cs="Verdana" w:eastAsia="Verdana" w:hAnsi="Verdana"/>
                <w:sz w:val="13"/>
                <w:szCs w:val="13"/>
                <w:color w:val="auto"/>
              </w:rPr>
              <w:t>Net interest margin</w:t>
            </w:r>
            <w:r>
              <w:rPr>
                <w:rFonts w:ascii="Verdana" w:cs="Verdana" w:eastAsia="Verdana" w:hAnsi="Verdana"/>
                <w:sz w:val="16"/>
                <w:szCs w:val="16"/>
                <w:color w:val="auto"/>
                <w:vertAlign w:val="superscript"/>
              </w:rPr>
              <w:t>1</w:t>
            </w:r>
          </w:p>
        </w:tc>
        <w:tc>
          <w:tcPr>
            <w:tcW w:w="20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76,216</w:t>
            </w: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2.79 %</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86,415</w:t>
            </w: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3.13 %</w:t>
            </w: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500" w:hanging="330"/>
        <w:spacing w:after="0" w:line="225" w:lineRule="auto"/>
        <w:tabs>
          <w:tab w:leader="none" w:pos="491" w:val="left"/>
        </w:tabs>
        <w:numPr>
          <w:ilvl w:val="0"/>
          <w:numId w:val="17"/>
        </w:numPr>
        <w:rPr>
          <w:rFonts w:ascii="Verdana" w:cs="Verdana" w:eastAsia="Verdana" w:hAnsi="Verdana"/>
          <w:sz w:val="13"/>
          <w:szCs w:val="13"/>
          <w:color w:val="auto"/>
        </w:rPr>
      </w:pPr>
      <w:r>
        <w:rPr>
          <w:rFonts w:ascii="Verdana" w:cs="Verdana" w:eastAsia="Verdana" w:hAnsi="Verdana"/>
          <w:sz w:val="13"/>
          <w:szCs w:val="13"/>
          <w:color w:val="auto"/>
        </w:rPr>
        <w:t xml:space="preserve">On a tax-equivalent basis and assuming a federal income tax rate of 21.0%. For a reconciliation of non-GAAP measures to the most directly comparable GAAP financial measures, see </w:t>
      </w:r>
      <w:r>
        <w:rPr>
          <w:rFonts w:ascii="Verdana" w:cs="Verdana" w:eastAsia="Verdana" w:hAnsi="Verdana"/>
          <w:sz w:val="13"/>
          <w:szCs w:val="13"/>
          <w:i w:val="1"/>
          <w:iCs w:val="1"/>
          <w:u w:val="single" w:color="auto"/>
          <w:color w:val="0000FF"/>
        </w:rPr>
        <w:t>“Item 2. Management’s Discussion and Analysis—Non-GAAP Financial Information”</w:t>
      </w:r>
      <w:r>
        <w:rPr>
          <w:rFonts w:ascii="Verdana" w:cs="Verdana" w:eastAsia="Verdana" w:hAnsi="Verdana"/>
          <w:sz w:val="13"/>
          <w:szCs w:val="13"/>
          <w:color w:val="auto"/>
        </w:rPr>
        <w:t xml:space="preserve"> included in this Quarterly Report.</w:t>
      </w:r>
    </w:p>
    <w:p>
      <w:pPr>
        <w:ind w:left="480" w:hanging="310"/>
        <w:spacing w:after="0" w:line="225" w:lineRule="auto"/>
        <w:tabs>
          <w:tab w:leader="none" w:pos="480" w:val="left"/>
        </w:tabs>
        <w:numPr>
          <w:ilvl w:val="0"/>
          <w:numId w:val="17"/>
        </w:numPr>
        <w:rPr>
          <w:rFonts w:ascii="Verdana" w:cs="Verdana" w:eastAsia="Verdana" w:hAnsi="Verdana"/>
          <w:sz w:val="13"/>
          <w:szCs w:val="13"/>
          <w:color w:val="auto"/>
        </w:rPr>
      </w:pPr>
      <w:r>
        <w:rPr>
          <w:rFonts w:ascii="Verdana" w:cs="Verdana" w:eastAsia="Verdana" w:hAnsi="Verdana"/>
          <w:sz w:val="13"/>
          <w:szCs w:val="13"/>
          <w:color w:val="auto"/>
        </w:rPr>
        <w:t>Non-accrual loans have been included in average portfolio loans.</w:t>
      </w:r>
    </w:p>
    <w:p>
      <w:pPr>
        <w:ind w:left="480" w:hanging="310"/>
        <w:spacing w:after="0"/>
        <w:tabs>
          <w:tab w:leader="none" w:pos="480" w:val="left"/>
        </w:tabs>
        <w:numPr>
          <w:ilvl w:val="0"/>
          <w:numId w:val="17"/>
        </w:numPr>
        <w:rPr>
          <w:rFonts w:ascii="Verdana" w:cs="Verdana" w:eastAsia="Verdana" w:hAnsi="Verdana"/>
          <w:sz w:val="13"/>
          <w:szCs w:val="13"/>
          <w:color w:val="auto"/>
        </w:rPr>
      </w:pPr>
      <w:r>
        <w:rPr>
          <w:rFonts w:ascii="Verdana" w:cs="Verdana" w:eastAsia="Verdana" w:hAnsi="Verdana"/>
          <w:sz w:val="13"/>
          <w:szCs w:val="13"/>
          <w:color w:val="auto"/>
        </w:rPr>
        <w:t>Interest income includes tax-equivalent adjustments of $0.4 million and $0.6 million for the three months ended March 31, 2024, and 2023, respectively.</w:t>
      </w:r>
    </w:p>
    <w:p>
      <w:pPr>
        <w:spacing w:after="0" w:line="4" w:lineRule="exact"/>
        <w:rPr>
          <w:rFonts w:ascii="Verdana" w:cs="Verdana" w:eastAsia="Verdana" w:hAnsi="Verdana"/>
          <w:sz w:val="13"/>
          <w:szCs w:val="13"/>
          <w:color w:val="auto"/>
        </w:rPr>
      </w:pPr>
    </w:p>
    <w:p>
      <w:pPr>
        <w:ind w:left="480" w:hanging="310"/>
        <w:spacing w:after="0" w:line="225" w:lineRule="auto"/>
        <w:tabs>
          <w:tab w:leader="none" w:pos="480" w:val="left"/>
        </w:tabs>
        <w:numPr>
          <w:ilvl w:val="0"/>
          <w:numId w:val="17"/>
        </w:numPr>
        <w:rPr>
          <w:rFonts w:ascii="Verdana" w:cs="Verdana" w:eastAsia="Verdana" w:hAnsi="Verdana"/>
          <w:sz w:val="13"/>
          <w:szCs w:val="13"/>
          <w:color w:val="auto"/>
        </w:rPr>
      </w:pPr>
      <w:r>
        <w:rPr>
          <w:rFonts w:ascii="Verdana" w:cs="Verdana" w:eastAsia="Verdana" w:hAnsi="Verdana"/>
          <w:sz w:val="13"/>
          <w:szCs w:val="13"/>
          <w:color w:val="auto"/>
        </w:rPr>
        <w:t>Includes short-term and long-term borrowings. Interest expense includes non-usage fees on a revolving loan.</w:t>
      </w:r>
    </w:p>
    <w:p>
      <w:pPr>
        <w:ind w:left="480" w:hanging="310"/>
        <w:spacing w:after="0"/>
        <w:tabs>
          <w:tab w:leader="none" w:pos="480" w:val="left"/>
        </w:tabs>
        <w:numPr>
          <w:ilvl w:val="0"/>
          <w:numId w:val="17"/>
        </w:numPr>
        <w:rPr>
          <w:rFonts w:ascii="Verdana" w:cs="Verdana" w:eastAsia="Verdana" w:hAnsi="Verdana"/>
          <w:sz w:val="13"/>
          <w:szCs w:val="13"/>
          <w:color w:val="auto"/>
        </w:rPr>
      </w:pPr>
      <w:r>
        <w:rPr>
          <w:rFonts w:ascii="Verdana" w:cs="Verdana" w:eastAsia="Verdana" w:hAnsi="Verdana"/>
          <w:sz w:val="13"/>
          <w:szCs w:val="13"/>
          <w:color w:val="auto"/>
        </w:rPr>
        <w:t>Annualized.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8" w:name="page69"/>
    <w:bookmarkEnd w:id="6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Notable changes in average assets and average liabilities are summarized as follows for the periods presented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tcPr>
          <w:p>
            <w:pPr>
              <w:spacing w:after="0"/>
              <w:rPr>
                <w:sz w:val="15"/>
                <w:szCs w:val="15"/>
                <w:color w:val="auto"/>
              </w:rPr>
            </w:pPr>
          </w:p>
        </w:tc>
        <w:tc>
          <w:tcPr>
            <w:tcW w:w="3520" w:type="dxa"/>
            <w:vAlign w:val="bottom"/>
            <w:gridSpan w:val="4"/>
          </w:tcPr>
          <w:p>
            <w:pPr>
              <w:ind w:left="620"/>
              <w:spacing w:after="0"/>
              <w:rPr>
                <w:sz w:val="20"/>
                <w:szCs w:val="20"/>
                <w:color w:val="auto"/>
              </w:rPr>
            </w:pPr>
            <w:r>
              <w:rPr>
                <w:rFonts w:ascii="Verdana" w:cs="Verdana" w:eastAsia="Verdana" w:hAnsi="Verdana"/>
                <w:sz w:val="13"/>
                <w:szCs w:val="13"/>
                <w:b w:val="1"/>
                <w:bCs w:val="1"/>
                <w:color w:val="auto"/>
              </w:rPr>
              <w:t>Three Months Ended March 31,</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0"/>
        </w:trPr>
        <w:tc>
          <w:tcPr>
            <w:tcW w:w="4580" w:type="dxa"/>
            <w:vAlign w:val="bottom"/>
          </w:tcPr>
          <w:p>
            <w:pPr>
              <w:spacing w:after="0"/>
              <w:rPr>
                <w:sz w:val="14"/>
                <w:szCs w:val="14"/>
                <w:color w:val="auto"/>
              </w:rPr>
            </w:pPr>
          </w:p>
        </w:tc>
        <w:tc>
          <w:tcPr>
            <w:tcW w:w="1660" w:type="dxa"/>
            <w:vAlign w:val="bottom"/>
            <w:tcBorders>
              <w:top w:val="single" w:sz="8" w:color="auto"/>
            </w:tcBorders>
          </w:tcPr>
          <w:p>
            <w:pPr>
              <w:jc w:val="right"/>
              <w:ind w:right="57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ind w:right="57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Change</w:t>
            </w:r>
          </w:p>
        </w:tc>
        <w:tc>
          <w:tcPr>
            <w:tcW w:w="1580" w:type="dxa"/>
            <w:vAlign w:val="bottom"/>
          </w:tcPr>
          <w:p>
            <w:pPr>
              <w:jc w:val="right"/>
              <w:ind w:right="335"/>
              <w:spacing w:after="0"/>
              <w:rPr>
                <w:sz w:val="20"/>
                <w:szCs w:val="20"/>
                <w:color w:val="auto"/>
              </w:rPr>
            </w:pPr>
            <w:r>
              <w:rPr>
                <w:rFonts w:ascii="Verdana" w:cs="Verdana" w:eastAsia="Verdana" w:hAnsi="Verdana"/>
                <w:sz w:val="13"/>
                <w:szCs w:val="13"/>
                <w:b w:val="1"/>
                <w:bCs w:val="1"/>
                <w:color w:val="auto"/>
              </w:rPr>
              <w:t>% Change</w:t>
            </w:r>
          </w:p>
        </w:tc>
      </w:tr>
      <w:tr>
        <w:trPr>
          <w:trHeight w:val="269"/>
        </w:trPr>
        <w:tc>
          <w:tcPr>
            <w:tcW w:w="45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Average interest-earning assets</w:t>
            </w:r>
          </w:p>
        </w:tc>
        <w:tc>
          <w:tcPr>
            <w:tcW w:w="1660" w:type="dxa"/>
            <w:vAlign w:val="bottom"/>
            <w:tcBorders>
              <w:top w:val="single" w:sz="8" w:color="auto"/>
            </w:tcBorders>
            <w:shd w:val="clear" w:color="auto" w:fill="E0E7ED"/>
          </w:tcPr>
          <w:p>
            <w:pPr>
              <w:jc w:val="right"/>
              <w:ind w:right="198"/>
              <w:spacing w:after="0"/>
              <w:rPr>
                <w:sz w:val="20"/>
                <w:szCs w:val="20"/>
                <w:color w:val="auto"/>
              </w:rPr>
            </w:pPr>
            <w:r>
              <w:rPr>
                <w:rFonts w:ascii="Verdana" w:cs="Verdana" w:eastAsia="Verdana" w:hAnsi="Verdana"/>
                <w:sz w:val="18"/>
                <w:szCs w:val="18"/>
                <w:color w:val="auto"/>
              </w:rPr>
              <w:t>$  10,999,903</w:t>
            </w:r>
          </w:p>
        </w:tc>
        <w:tc>
          <w:tcPr>
            <w:tcW w:w="100" w:type="dxa"/>
            <w:vAlign w:val="bottom"/>
            <w:tcBorders>
              <w:top w:val="single" w:sz="8" w:color="E0E7ED"/>
            </w:tcBorders>
            <w:shd w:val="clear" w:color="auto" w:fill="E0E7ED"/>
          </w:tcPr>
          <w:p>
            <w:pPr>
              <w:spacing w:after="0"/>
              <w:rPr>
                <w:sz w:val="23"/>
                <w:szCs w:val="23"/>
                <w:color w:val="auto"/>
              </w:rPr>
            </w:pPr>
          </w:p>
        </w:tc>
        <w:tc>
          <w:tcPr>
            <w:tcW w:w="1680" w:type="dxa"/>
            <w:vAlign w:val="bottom"/>
            <w:tcBorders>
              <w:top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  11,180,562</w:t>
            </w:r>
          </w:p>
        </w:tc>
        <w:tc>
          <w:tcPr>
            <w:tcW w:w="80" w:type="dxa"/>
            <w:vAlign w:val="bottom"/>
            <w:tcBorders>
              <w:top w:val="single" w:sz="8" w:color="E0E7ED"/>
            </w:tcBorders>
            <w:shd w:val="clear" w:color="auto" w:fill="E0E7ED"/>
          </w:tcPr>
          <w:p>
            <w:pPr>
              <w:spacing w:after="0"/>
              <w:rPr>
                <w:sz w:val="23"/>
                <w:szCs w:val="23"/>
                <w:color w:val="auto"/>
              </w:rPr>
            </w:pPr>
          </w:p>
        </w:tc>
        <w:tc>
          <w:tcPr>
            <w:tcW w:w="300" w:type="dxa"/>
            <w:vAlign w:val="bottom"/>
            <w:tcBorders>
              <w:top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60" w:type="dxa"/>
            <w:vAlign w:val="bottom"/>
            <w:tcBorders>
              <w:top w:val="single" w:sz="8" w:color="auto"/>
            </w:tcBorders>
            <w:shd w:val="clear" w:color="auto" w:fill="E0E7ED"/>
          </w:tcPr>
          <w:p>
            <w:pPr>
              <w:jc w:val="center"/>
              <w:ind w:left="115"/>
              <w:spacing w:after="0"/>
              <w:rPr>
                <w:sz w:val="20"/>
                <w:szCs w:val="20"/>
                <w:color w:val="auto"/>
              </w:rPr>
            </w:pPr>
            <w:r>
              <w:rPr>
                <w:rFonts w:ascii="Verdana" w:cs="Verdana" w:eastAsia="Verdana" w:hAnsi="Verdana"/>
                <w:sz w:val="18"/>
                <w:szCs w:val="18"/>
                <w:color w:val="auto"/>
              </w:rPr>
              <w:t>(180,659)</w:t>
            </w:r>
          </w:p>
        </w:tc>
        <w:tc>
          <w:tcPr>
            <w:tcW w:w="100" w:type="dxa"/>
            <w:vAlign w:val="bottom"/>
            <w:tcBorders>
              <w:top w:val="single" w:sz="8" w:color="E0E7ED"/>
            </w:tcBorders>
            <w:shd w:val="clear" w:color="auto" w:fill="E0E7ED"/>
          </w:tcPr>
          <w:p>
            <w:pPr>
              <w:spacing w:after="0"/>
              <w:rPr>
                <w:sz w:val="23"/>
                <w:szCs w:val="23"/>
                <w:color w:val="auto"/>
              </w:rPr>
            </w:pPr>
          </w:p>
        </w:tc>
        <w:tc>
          <w:tcPr>
            <w:tcW w:w="15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(1.6)%</w:t>
            </w:r>
          </w:p>
        </w:tc>
      </w:tr>
      <w:tr>
        <w:trPr>
          <w:trHeight w:val="263"/>
        </w:trPr>
        <w:tc>
          <w:tcPr>
            <w:tcW w:w="4580" w:type="dxa"/>
            <w:vAlign w:val="bottom"/>
          </w:tcPr>
          <w:p>
            <w:pPr>
              <w:ind w:left="20"/>
              <w:spacing w:after="0"/>
              <w:rPr>
                <w:sz w:val="20"/>
                <w:szCs w:val="20"/>
                <w:color w:val="auto"/>
              </w:rPr>
            </w:pPr>
            <w:r>
              <w:rPr>
                <w:rFonts w:ascii="Verdana" w:cs="Verdana" w:eastAsia="Verdana" w:hAnsi="Verdana"/>
                <w:sz w:val="18"/>
                <w:szCs w:val="18"/>
                <w:color w:val="auto"/>
              </w:rPr>
              <w:t>Average interest-bearing liabilities</w:t>
            </w:r>
          </w:p>
        </w:tc>
        <w:tc>
          <w:tcPr>
            <w:tcW w:w="1660" w:type="dxa"/>
            <w:vAlign w:val="bottom"/>
          </w:tcPr>
          <w:p>
            <w:pPr>
              <w:jc w:val="right"/>
              <w:ind w:right="198"/>
              <w:spacing w:after="0"/>
              <w:rPr>
                <w:sz w:val="20"/>
                <w:szCs w:val="20"/>
                <w:color w:val="auto"/>
              </w:rPr>
            </w:pPr>
            <w:r>
              <w:rPr>
                <w:rFonts w:ascii="Verdana" w:cs="Verdana" w:eastAsia="Verdana" w:hAnsi="Verdana"/>
                <w:sz w:val="18"/>
                <w:szCs w:val="18"/>
                <w:color w:val="auto"/>
              </w:rPr>
              <w:t>7,831,655</w:t>
            </w:r>
          </w:p>
        </w:tc>
        <w:tc>
          <w:tcPr>
            <w:tcW w:w="100" w:type="dxa"/>
            <w:vAlign w:val="bottom"/>
          </w:tcPr>
          <w:p>
            <w:pPr>
              <w:spacing w:after="0"/>
              <w:rPr>
                <w:sz w:val="22"/>
                <w:szCs w:val="22"/>
                <w:color w:val="auto"/>
              </w:rPr>
            </w:pPr>
          </w:p>
        </w:tc>
        <w:tc>
          <w:tcPr>
            <w:tcW w:w="1680" w:type="dxa"/>
            <w:vAlign w:val="bottom"/>
          </w:tcPr>
          <w:p>
            <w:pPr>
              <w:jc w:val="right"/>
              <w:ind w:right="195"/>
              <w:spacing w:after="0"/>
              <w:rPr>
                <w:sz w:val="20"/>
                <w:szCs w:val="20"/>
                <w:color w:val="auto"/>
              </w:rPr>
            </w:pPr>
            <w:r>
              <w:rPr>
                <w:rFonts w:ascii="Verdana" w:cs="Verdana" w:eastAsia="Verdana" w:hAnsi="Verdana"/>
                <w:sz w:val="18"/>
                <w:szCs w:val="18"/>
                <w:color w:val="auto"/>
              </w:rPr>
              <w:t>7,614,930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center"/>
              <w:ind w:left="155"/>
              <w:spacing w:after="0"/>
              <w:rPr>
                <w:sz w:val="20"/>
                <w:szCs w:val="20"/>
                <w:color w:val="auto"/>
              </w:rPr>
            </w:pPr>
            <w:r>
              <w:rPr>
                <w:rFonts w:ascii="Verdana" w:cs="Verdana" w:eastAsia="Verdana" w:hAnsi="Verdana"/>
                <w:sz w:val="18"/>
                <w:szCs w:val="18"/>
                <w:color w:val="auto"/>
              </w:rPr>
              <w:t>216,725</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Verdana" w:cs="Verdana" w:eastAsia="Verdana" w:hAnsi="Verdana"/>
                <w:sz w:val="18"/>
                <w:szCs w:val="18"/>
                <w:color w:val="auto"/>
              </w:rPr>
              <w:t>2.8 %</w:t>
            </w:r>
          </w:p>
        </w:tc>
      </w:tr>
      <w:tr>
        <w:trPr>
          <w:trHeight w:val="277"/>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noninterest-bearing deposits</w:t>
            </w:r>
          </w:p>
        </w:tc>
        <w:tc>
          <w:tcPr>
            <w:tcW w:w="1660" w:type="dxa"/>
            <w:vAlign w:val="bottom"/>
            <w:shd w:val="clear" w:color="auto" w:fill="E0E7ED"/>
          </w:tcPr>
          <w:p>
            <w:pPr>
              <w:jc w:val="right"/>
              <w:ind w:right="198"/>
              <w:spacing w:after="0"/>
              <w:rPr>
                <w:sz w:val="20"/>
                <w:szCs w:val="20"/>
                <w:color w:val="auto"/>
              </w:rPr>
            </w:pPr>
            <w:r>
              <w:rPr>
                <w:rFonts w:ascii="Verdana" w:cs="Verdana" w:eastAsia="Verdana" w:hAnsi="Verdana"/>
                <w:sz w:val="18"/>
                <w:szCs w:val="18"/>
                <w:color w:val="auto"/>
              </w:rPr>
              <w:t>2,708,586</w:t>
            </w:r>
          </w:p>
        </w:tc>
        <w:tc>
          <w:tcPr>
            <w:tcW w:w="100" w:type="dxa"/>
            <w:vAlign w:val="bottom"/>
            <w:shd w:val="clear" w:color="auto" w:fill="E0E7ED"/>
          </w:tcPr>
          <w:p>
            <w:pPr>
              <w:spacing w:after="0"/>
              <w:rPr>
                <w:sz w:val="24"/>
                <w:szCs w:val="24"/>
                <w:color w:val="auto"/>
              </w:rPr>
            </w:pPr>
          </w:p>
        </w:tc>
        <w:tc>
          <w:tcPr>
            <w:tcW w:w="16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3,272,745</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60" w:type="dxa"/>
            <w:vAlign w:val="bottom"/>
            <w:shd w:val="clear" w:color="auto" w:fill="E0E7ED"/>
          </w:tcPr>
          <w:p>
            <w:pPr>
              <w:jc w:val="center"/>
              <w:ind w:left="115"/>
              <w:spacing w:after="0"/>
              <w:rPr>
                <w:sz w:val="20"/>
                <w:szCs w:val="20"/>
                <w:color w:val="auto"/>
              </w:rPr>
            </w:pPr>
            <w:r>
              <w:rPr>
                <w:rFonts w:ascii="Verdana" w:cs="Verdana" w:eastAsia="Verdana" w:hAnsi="Verdana"/>
                <w:sz w:val="18"/>
                <w:szCs w:val="18"/>
                <w:color w:val="auto"/>
              </w:rPr>
              <w:t>(564,159)</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w:t>
            </w:r>
          </w:p>
        </w:tc>
      </w:tr>
      <w:tr>
        <w:trPr>
          <w:trHeight w:val="270"/>
        </w:trPr>
        <w:tc>
          <w:tcPr>
            <w:tcW w:w="45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average deposits</w:t>
            </w:r>
          </w:p>
        </w:tc>
        <w:tc>
          <w:tcPr>
            <w:tcW w:w="1660" w:type="dxa"/>
            <w:vAlign w:val="bottom"/>
            <w:shd w:val="clear" w:color="auto" w:fill="E0E7ED"/>
          </w:tcPr>
          <w:p>
            <w:pPr>
              <w:jc w:val="right"/>
              <w:ind w:right="198"/>
              <w:spacing w:after="0"/>
              <w:rPr>
                <w:sz w:val="20"/>
                <w:szCs w:val="20"/>
                <w:color w:val="auto"/>
              </w:rPr>
            </w:pPr>
            <w:r>
              <w:rPr>
                <w:rFonts w:ascii="Verdana" w:cs="Verdana" w:eastAsia="Verdana" w:hAnsi="Verdana"/>
                <w:sz w:val="18"/>
                <w:szCs w:val="18"/>
                <w:color w:val="auto"/>
              </w:rPr>
              <w:t>10,038,691</w:t>
            </w:r>
          </w:p>
        </w:tc>
        <w:tc>
          <w:tcPr>
            <w:tcW w:w="100" w:type="dxa"/>
            <w:vAlign w:val="bottom"/>
            <w:shd w:val="clear" w:color="auto" w:fill="E0E7ED"/>
          </w:tcPr>
          <w:p>
            <w:pPr>
              <w:spacing w:after="0"/>
              <w:rPr>
                <w:sz w:val="23"/>
                <w:szCs w:val="23"/>
                <w:color w:val="auto"/>
              </w:rPr>
            </w:pPr>
          </w:p>
        </w:tc>
        <w:tc>
          <w:tcPr>
            <w:tcW w:w="16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9,910,150</w:t>
            </w: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60" w:type="dxa"/>
            <w:vAlign w:val="bottom"/>
            <w:shd w:val="clear" w:color="auto" w:fill="E0E7ED"/>
          </w:tcPr>
          <w:p>
            <w:pPr>
              <w:jc w:val="center"/>
              <w:ind w:left="155"/>
              <w:spacing w:after="0"/>
              <w:rPr>
                <w:sz w:val="20"/>
                <w:szCs w:val="20"/>
                <w:color w:val="auto"/>
              </w:rPr>
            </w:pPr>
            <w:r>
              <w:rPr>
                <w:rFonts w:ascii="Verdana" w:cs="Verdana" w:eastAsia="Verdana" w:hAnsi="Verdana"/>
                <w:sz w:val="18"/>
                <w:szCs w:val="18"/>
                <w:color w:val="auto"/>
              </w:rPr>
              <w:t>128,541</w:t>
            </w:r>
          </w:p>
        </w:tc>
        <w:tc>
          <w:tcPr>
            <w:tcW w:w="100" w:type="dxa"/>
            <w:vAlign w:val="bottom"/>
            <w:shd w:val="clear" w:color="auto" w:fill="E0E7ED"/>
          </w:tcPr>
          <w:p>
            <w:pPr>
              <w:spacing w:after="0"/>
              <w:rPr>
                <w:sz w:val="23"/>
                <w:szCs w:val="23"/>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1.3 %</w:t>
            </w:r>
          </w:p>
        </w:tc>
      </w:tr>
      <w:tr>
        <w:trPr>
          <w:trHeight w:val="263"/>
        </w:trPr>
        <w:tc>
          <w:tcPr>
            <w:tcW w:w="4580" w:type="dxa"/>
            <w:vAlign w:val="bottom"/>
          </w:tcPr>
          <w:p>
            <w:pPr>
              <w:ind w:left="20"/>
              <w:spacing w:after="0"/>
              <w:rPr>
                <w:sz w:val="20"/>
                <w:szCs w:val="20"/>
                <w:color w:val="auto"/>
              </w:rPr>
            </w:pPr>
            <w:r>
              <w:rPr>
                <w:rFonts w:ascii="Verdana" w:cs="Verdana" w:eastAsia="Verdana" w:hAnsi="Verdana"/>
                <w:sz w:val="18"/>
                <w:szCs w:val="18"/>
                <w:color w:val="auto"/>
              </w:rPr>
              <w:t>Total average liabilities</w:t>
            </w:r>
          </w:p>
        </w:tc>
        <w:tc>
          <w:tcPr>
            <w:tcW w:w="1660" w:type="dxa"/>
            <w:vAlign w:val="bottom"/>
          </w:tcPr>
          <w:p>
            <w:pPr>
              <w:jc w:val="right"/>
              <w:ind w:right="198"/>
              <w:spacing w:after="0"/>
              <w:rPr>
                <w:sz w:val="20"/>
                <w:szCs w:val="20"/>
                <w:color w:val="auto"/>
              </w:rPr>
            </w:pPr>
            <w:r>
              <w:rPr>
                <w:rFonts w:ascii="Verdana" w:cs="Verdana" w:eastAsia="Verdana" w:hAnsi="Verdana"/>
                <w:sz w:val="18"/>
                <w:szCs w:val="18"/>
                <w:color w:val="auto"/>
              </w:rPr>
              <w:t>10,748,484</w:t>
            </w:r>
          </w:p>
        </w:tc>
        <w:tc>
          <w:tcPr>
            <w:tcW w:w="100" w:type="dxa"/>
            <w:vAlign w:val="bottom"/>
          </w:tcPr>
          <w:p>
            <w:pPr>
              <w:spacing w:after="0"/>
              <w:rPr>
                <w:sz w:val="22"/>
                <w:szCs w:val="22"/>
                <w:color w:val="auto"/>
              </w:rPr>
            </w:pPr>
          </w:p>
        </w:tc>
        <w:tc>
          <w:tcPr>
            <w:tcW w:w="1680" w:type="dxa"/>
            <w:vAlign w:val="bottom"/>
          </w:tcPr>
          <w:p>
            <w:pPr>
              <w:jc w:val="right"/>
              <w:ind w:right="195"/>
              <w:spacing w:after="0"/>
              <w:rPr>
                <w:sz w:val="20"/>
                <w:szCs w:val="20"/>
                <w:color w:val="auto"/>
              </w:rPr>
            </w:pPr>
            <w:r>
              <w:rPr>
                <w:rFonts w:ascii="Verdana" w:cs="Verdana" w:eastAsia="Verdana" w:hAnsi="Verdana"/>
                <w:sz w:val="18"/>
                <w:szCs w:val="18"/>
                <w:color w:val="auto"/>
              </w:rPr>
              <w:t>11,092,899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center"/>
              <w:ind w:left="115"/>
              <w:spacing w:after="0"/>
              <w:rPr>
                <w:sz w:val="20"/>
                <w:szCs w:val="20"/>
                <w:color w:val="auto"/>
              </w:rPr>
            </w:pPr>
            <w:r>
              <w:rPr>
                <w:rFonts w:ascii="Verdana" w:cs="Verdana" w:eastAsia="Verdana" w:hAnsi="Verdana"/>
                <w:sz w:val="18"/>
                <w:szCs w:val="18"/>
                <w:color w:val="auto"/>
              </w:rPr>
              <w:t>(344,415)</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Verdana" w:cs="Verdana" w:eastAsia="Verdana" w:hAnsi="Verdana"/>
                <w:sz w:val="18"/>
                <w:szCs w:val="18"/>
                <w:color w:val="auto"/>
              </w:rPr>
              <w:t>(3.1)%</w:t>
            </w:r>
          </w:p>
        </w:tc>
      </w:tr>
      <w:tr>
        <w:trPr>
          <w:trHeight w:val="277"/>
        </w:trPr>
        <w:tc>
          <w:tcPr>
            <w:tcW w:w="4580" w:type="dxa"/>
            <w:vAlign w:val="bottom"/>
            <w:shd w:val="clear" w:color="auto" w:fill="E0E7ED"/>
          </w:tcPr>
          <w:p>
            <w:pPr>
              <w:spacing w:after="0"/>
              <w:rPr>
                <w:sz w:val="24"/>
                <w:szCs w:val="24"/>
                <w:color w:val="auto"/>
              </w:rPr>
            </w:pPr>
          </w:p>
        </w:tc>
        <w:tc>
          <w:tcPr>
            <w:tcW w:w="16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16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40" w:type="dxa"/>
            <w:vAlign w:val="bottom"/>
          </w:tcPr>
          <w:p>
            <w:pPr>
              <w:ind w:left="20"/>
              <w:spacing w:after="0"/>
              <w:rPr>
                <w:sz w:val="20"/>
                <w:szCs w:val="20"/>
                <w:color w:val="auto"/>
              </w:rPr>
            </w:pPr>
            <w:r>
              <w:rPr>
                <w:rFonts w:ascii="Verdana" w:cs="Verdana" w:eastAsia="Verdana" w:hAnsi="Verdana"/>
                <w:sz w:val="18"/>
                <w:szCs w:val="18"/>
                <w:color w:val="auto"/>
              </w:rPr>
              <w:t>Average noninterest-bearing deposits as a</w:t>
            </w:r>
          </w:p>
        </w:tc>
        <w:tc>
          <w:tcPr>
            <w:tcW w:w="2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42"/>
        </w:trPr>
        <w:tc>
          <w:tcPr>
            <w:tcW w:w="4740" w:type="dxa"/>
            <w:vAlign w:val="bottom"/>
          </w:tcPr>
          <w:p>
            <w:pPr>
              <w:ind w:left="20"/>
              <w:spacing w:after="0"/>
              <w:rPr>
                <w:sz w:val="20"/>
                <w:szCs w:val="20"/>
                <w:color w:val="auto"/>
              </w:rPr>
            </w:pPr>
            <w:r>
              <w:rPr>
                <w:rFonts w:ascii="Verdana" w:cs="Verdana" w:eastAsia="Verdana" w:hAnsi="Verdana"/>
                <w:sz w:val="18"/>
                <w:szCs w:val="18"/>
                <w:color w:val="auto"/>
              </w:rPr>
              <w:t>percent of total average deposits</w:t>
            </w:r>
          </w:p>
        </w:tc>
        <w:tc>
          <w:tcPr>
            <w:tcW w:w="2040" w:type="dxa"/>
            <w:vAlign w:val="bottom"/>
          </w:tcPr>
          <w:p>
            <w:pPr>
              <w:jc w:val="right"/>
              <w:ind w:right="470"/>
              <w:spacing w:after="0"/>
              <w:rPr>
                <w:sz w:val="20"/>
                <w:szCs w:val="20"/>
                <w:color w:val="auto"/>
              </w:rPr>
            </w:pPr>
            <w:r>
              <w:rPr>
                <w:rFonts w:ascii="Verdana" w:cs="Verdana" w:eastAsia="Verdana" w:hAnsi="Verdana"/>
                <w:sz w:val="18"/>
                <w:szCs w:val="18"/>
                <w:color w:val="auto"/>
              </w:rPr>
              <w:t>27.0 %</w:t>
            </w:r>
          </w:p>
        </w:tc>
        <w:tc>
          <w:tcPr>
            <w:tcW w:w="1540" w:type="dxa"/>
            <w:vAlign w:val="bottom"/>
          </w:tcPr>
          <w:p>
            <w:pPr>
              <w:jc w:val="right"/>
              <w:ind w:right="230"/>
              <w:spacing w:after="0"/>
              <w:rPr>
                <w:sz w:val="20"/>
                <w:szCs w:val="20"/>
                <w:color w:val="auto"/>
              </w:rPr>
            </w:pPr>
            <w:r>
              <w:rPr>
                <w:rFonts w:ascii="Verdana" w:cs="Verdana" w:eastAsia="Verdana" w:hAnsi="Verdana"/>
                <w:sz w:val="18"/>
                <w:szCs w:val="18"/>
                <w:color w:val="auto"/>
              </w:rPr>
              <w:t>33.0 %</w:t>
            </w:r>
          </w:p>
        </w:tc>
        <w:tc>
          <w:tcPr>
            <w:tcW w:w="2920" w:type="dxa"/>
            <w:vAlign w:val="bottom"/>
          </w:tcPr>
          <w:p>
            <w:pPr>
              <w:jc w:val="right"/>
              <w:ind w:right="1610"/>
              <w:spacing w:after="0"/>
              <w:rPr>
                <w:sz w:val="20"/>
                <w:szCs w:val="20"/>
                <w:color w:val="auto"/>
              </w:rPr>
            </w:pPr>
            <w:r>
              <w:rPr>
                <w:rFonts w:ascii="Verdana" w:cs="Verdana" w:eastAsia="Verdana" w:hAnsi="Verdana"/>
                <w:sz w:val="18"/>
                <w:szCs w:val="18"/>
                <w:color w:val="auto"/>
              </w:rPr>
              <w:t>(600) bps</w:t>
            </w:r>
          </w:p>
        </w:tc>
      </w:tr>
      <w:tr>
        <w:trPr>
          <w:trHeight w:val="244"/>
        </w:trPr>
        <w:tc>
          <w:tcPr>
            <w:tcW w:w="47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average deposits as a percent of total</w:t>
            </w:r>
          </w:p>
        </w:tc>
        <w:tc>
          <w:tcPr>
            <w:tcW w:w="2040" w:type="dxa"/>
            <w:vAlign w:val="bottom"/>
            <w:shd w:val="clear" w:color="auto" w:fill="E0E7ED"/>
          </w:tcPr>
          <w:p>
            <w:pPr>
              <w:spacing w:after="0"/>
              <w:rPr>
                <w:sz w:val="21"/>
                <w:szCs w:val="21"/>
                <w:color w:val="auto"/>
              </w:rPr>
            </w:pPr>
          </w:p>
        </w:tc>
        <w:tc>
          <w:tcPr>
            <w:tcW w:w="1540" w:type="dxa"/>
            <w:vAlign w:val="bottom"/>
            <w:shd w:val="clear" w:color="auto" w:fill="E0E7ED"/>
          </w:tcPr>
          <w:p>
            <w:pPr>
              <w:spacing w:after="0"/>
              <w:rPr>
                <w:sz w:val="21"/>
                <w:szCs w:val="21"/>
                <w:color w:val="auto"/>
              </w:rPr>
            </w:pPr>
          </w:p>
        </w:tc>
        <w:tc>
          <w:tcPr>
            <w:tcW w:w="2920" w:type="dxa"/>
            <w:vAlign w:val="bottom"/>
            <w:shd w:val="clear" w:color="auto" w:fill="E0E7ED"/>
          </w:tcPr>
          <w:p>
            <w:pPr>
              <w:spacing w:after="0"/>
              <w:rPr>
                <w:sz w:val="21"/>
                <w:szCs w:val="21"/>
                <w:color w:val="auto"/>
              </w:rPr>
            </w:pPr>
          </w:p>
        </w:tc>
      </w:tr>
      <w:tr>
        <w:trPr>
          <w:trHeight w:val="248"/>
        </w:trPr>
        <w:tc>
          <w:tcPr>
            <w:tcW w:w="47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liabilities</w:t>
            </w:r>
          </w:p>
        </w:tc>
        <w:tc>
          <w:tcPr>
            <w:tcW w:w="2040" w:type="dxa"/>
            <w:vAlign w:val="bottom"/>
            <w:shd w:val="clear" w:color="auto" w:fill="E0E7ED"/>
          </w:tcPr>
          <w:p>
            <w:pPr>
              <w:jc w:val="right"/>
              <w:ind w:right="470"/>
              <w:spacing w:after="0"/>
              <w:rPr>
                <w:sz w:val="20"/>
                <w:szCs w:val="20"/>
                <w:color w:val="auto"/>
              </w:rPr>
            </w:pPr>
            <w:r>
              <w:rPr>
                <w:rFonts w:ascii="Verdana" w:cs="Verdana" w:eastAsia="Verdana" w:hAnsi="Verdana"/>
                <w:sz w:val="18"/>
                <w:szCs w:val="18"/>
                <w:color w:val="auto"/>
              </w:rPr>
              <w:t>93.4 %</w:t>
            </w:r>
          </w:p>
        </w:tc>
        <w:tc>
          <w:tcPr>
            <w:tcW w:w="1540" w:type="dxa"/>
            <w:vAlign w:val="bottom"/>
            <w:shd w:val="clear" w:color="auto" w:fill="E0E7ED"/>
          </w:tcPr>
          <w:p>
            <w:pPr>
              <w:jc w:val="right"/>
              <w:ind w:right="230"/>
              <w:spacing w:after="0"/>
              <w:rPr>
                <w:sz w:val="20"/>
                <w:szCs w:val="20"/>
                <w:color w:val="auto"/>
              </w:rPr>
            </w:pPr>
            <w:r>
              <w:rPr>
                <w:rFonts w:ascii="Verdana" w:cs="Verdana" w:eastAsia="Verdana" w:hAnsi="Verdana"/>
                <w:sz w:val="18"/>
                <w:szCs w:val="18"/>
                <w:color w:val="auto"/>
              </w:rPr>
              <w:t>89.3 %</w:t>
            </w:r>
          </w:p>
        </w:tc>
        <w:tc>
          <w:tcPr>
            <w:tcW w:w="2920" w:type="dxa"/>
            <w:vAlign w:val="bottom"/>
            <w:shd w:val="clear" w:color="auto" w:fill="E0E7ED"/>
          </w:tcPr>
          <w:p>
            <w:pPr>
              <w:jc w:val="right"/>
              <w:ind w:right="1610"/>
              <w:spacing w:after="0"/>
              <w:rPr>
                <w:sz w:val="20"/>
                <w:szCs w:val="20"/>
                <w:color w:val="auto"/>
              </w:rPr>
            </w:pPr>
            <w:r>
              <w:rPr>
                <w:rFonts w:ascii="Verdana" w:cs="Verdana" w:eastAsia="Verdana" w:hAnsi="Verdana"/>
                <w:sz w:val="18"/>
                <w:szCs w:val="18"/>
                <w:color w:val="auto"/>
              </w:rPr>
              <w:t>410 bps</w:t>
            </w: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Changes in net interest income and net interest margin are summarized as follows for the periods presented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gridSpan w:val="5"/>
          </w:tcPr>
          <w:p>
            <w:pPr>
              <w:ind w:left="220"/>
              <w:spacing w:after="0"/>
              <w:rPr>
                <w:sz w:val="20"/>
                <w:szCs w:val="20"/>
                <w:color w:val="auto"/>
              </w:rPr>
            </w:pPr>
            <w:r>
              <w:rPr>
                <w:rFonts w:ascii="Verdana" w:cs="Verdana" w:eastAsia="Verdana" w:hAnsi="Verdana"/>
                <w:sz w:val="13"/>
                <w:szCs w:val="13"/>
                <w:b w:val="1"/>
                <w:bCs w:val="1"/>
                <w:color w:val="auto"/>
              </w:rPr>
              <w:t>Three Months Ended March 31,</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0"/>
        </w:trPr>
        <w:tc>
          <w:tcPr>
            <w:tcW w:w="4620" w:type="dxa"/>
            <w:vAlign w:val="bottom"/>
            <w:tcBorders>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7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80"/>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Borders>
              <w:bottom w:val="single" w:sz="8" w:color="E0E7ED"/>
            </w:tcBorders>
          </w:tcPr>
          <w:p>
            <w:pPr>
              <w:spacing w:after="0"/>
              <w:rPr>
                <w:sz w:val="14"/>
                <w:szCs w:val="14"/>
                <w:color w:val="auto"/>
              </w:rPr>
            </w:pPr>
          </w:p>
        </w:tc>
        <w:tc>
          <w:tcPr>
            <w:tcW w:w="1580" w:type="dxa"/>
            <w:vAlign w:val="bottom"/>
            <w:tcBorders>
              <w:bottom w:val="single" w:sz="8" w:color="auto"/>
            </w:tcBorders>
          </w:tcPr>
          <w:p>
            <w:pPr>
              <w:jc w:val="right"/>
              <w:ind w:right="35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38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580" w:type="dxa"/>
            <w:vAlign w:val="bottom"/>
            <w:shd w:val="clear" w:color="auto" w:fill="E0E7ED"/>
          </w:tcPr>
          <w:p>
            <w:pPr>
              <w:spacing w:after="0"/>
              <w:rPr>
                <w:sz w:val="22"/>
                <w:szCs w:val="22"/>
                <w:color w:val="auto"/>
              </w:rPr>
            </w:pPr>
          </w:p>
        </w:tc>
      </w:tr>
      <w:tr>
        <w:trPr>
          <w:trHeight w:val="270"/>
        </w:trPr>
        <w:tc>
          <w:tcPr>
            <w:tcW w:w="4620" w:type="dxa"/>
            <w:vAlign w:val="bottom"/>
          </w:tcPr>
          <w:p>
            <w:pPr>
              <w:ind w:left="180"/>
              <w:spacing w:after="0" w:line="270" w:lineRule="exact"/>
              <w:rPr>
                <w:sz w:val="20"/>
                <w:szCs w:val="20"/>
                <w:color w:val="auto"/>
              </w:rPr>
            </w:pPr>
            <w:r>
              <w:rPr>
                <w:rFonts w:ascii="Verdana" w:cs="Verdana" w:eastAsia="Verdana" w:hAnsi="Verdana"/>
                <w:sz w:val="18"/>
                <w:szCs w:val="18"/>
                <w:color w:val="auto"/>
              </w:rPr>
              <w:t>Interest income, on a tax-equivalent basis</w:t>
            </w:r>
            <w:r>
              <w:rPr>
                <w:rFonts w:ascii="Verdana" w:cs="Verdana" w:eastAsia="Verdana" w:hAnsi="Verdana"/>
                <w:sz w:val="23"/>
                <w:szCs w:val="23"/>
                <w:color w:val="auto"/>
                <w:vertAlign w:val="superscript"/>
              </w:rPr>
              <w:t>1</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99"/>
              <w:spacing w:after="0"/>
              <w:rPr>
                <w:sz w:val="20"/>
                <w:szCs w:val="20"/>
                <w:color w:val="auto"/>
              </w:rPr>
            </w:pPr>
            <w:r>
              <w:rPr>
                <w:rFonts w:ascii="Verdana" w:cs="Verdana" w:eastAsia="Verdana" w:hAnsi="Verdana"/>
                <w:sz w:val="18"/>
                <w:szCs w:val="18"/>
                <w:color w:val="auto"/>
              </w:rPr>
              <w:t>126,182</w:t>
            </w:r>
          </w:p>
        </w:tc>
        <w:tc>
          <w:tcPr>
            <w:tcW w:w="80" w:type="dxa"/>
            <w:vAlign w:val="bottom"/>
          </w:tcPr>
          <w:p>
            <w:pPr>
              <w:spacing w:after="0"/>
              <w:rPr>
                <w:sz w:val="23"/>
                <w:szCs w:val="23"/>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95"/>
              <w:spacing w:after="0"/>
              <w:rPr>
                <w:sz w:val="20"/>
                <w:szCs w:val="20"/>
                <w:color w:val="auto"/>
              </w:rPr>
            </w:pPr>
            <w:r>
              <w:rPr>
                <w:rFonts w:ascii="Verdana" w:cs="Verdana" w:eastAsia="Verdana" w:hAnsi="Verdana"/>
                <w:sz w:val="18"/>
                <w:szCs w:val="18"/>
                <w:color w:val="auto"/>
              </w:rPr>
              <w:t>111,663</w:t>
            </w:r>
          </w:p>
        </w:tc>
        <w:tc>
          <w:tcPr>
            <w:tcW w:w="8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60" w:type="dxa"/>
            <w:vAlign w:val="bottom"/>
          </w:tcPr>
          <w:p>
            <w:pPr>
              <w:jc w:val="center"/>
              <w:ind w:left="275"/>
              <w:spacing w:after="0"/>
              <w:rPr>
                <w:sz w:val="20"/>
                <w:szCs w:val="20"/>
                <w:color w:val="auto"/>
              </w:rPr>
            </w:pPr>
            <w:r>
              <w:rPr>
                <w:rFonts w:ascii="Verdana" w:cs="Verdana" w:eastAsia="Verdana" w:hAnsi="Verdana"/>
                <w:sz w:val="18"/>
                <w:szCs w:val="18"/>
                <w:color w:val="auto"/>
              </w:rPr>
              <w:t>14,519</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13.0 %</w:t>
            </w:r>
          </w:p>
        </w:tc>
      </w:tr>
      <w:tr>
        <w:trPr>
          <w:trHeight w:val="263"/>
        </w:trPr>
        <w:tc>
          <w:tcPr>
            <w:tcW w:w="4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expense</w:t>
            </w:r>
          </w:p>
        </w:tc>
        <w:tc>
          <w:tcPr>
            <w:tcW w:w="380" w:type="dxa"/>
            <w:vAlign w:val="bottom"/>
            <w:tcBorders>
              <w:bottom w:val="single" w:sz="8" w:color="auto"/>
            </w:tcBorders>
            <w:shd w:val="clear" w:color="auto" w:fill="E0E7ED"/>
          </w:tcPr>
          <w:p>
            <w:pPr>
              <w:spacing w:after="0"/>
              <w:rPr>
                <w:sz w:val="22"/>
                <w:szCs w:val="22"/>
                <w:color w:val="auto"/>
              </w:rPr>
            </w:pPr>
          </w:p>
        </w:tc>
        <w:tc>
          <w:tcPr>
            <w:tcW w:w="1280" w:type="dxa"/>
            <w:vAlign w:val="bottom"/>
            <w:tcBorders>
              <w:bottom w:val="single" w:sz="8" w:color="auto"/>
            </w:tcBorders>
            <w:shd w:val="clear" w:color="auto" w:fill="E0E7ED"/>
          </w:tcPr>
          <w:p>
            <w:pPr>
              <w:jc w:val="right"/>
              <w:ind w:right="139"/>
              <w:spacing w:after="0"/>
              <w:rPr>
                <w:sz w:val="20"/>
                <w:szCs w:val="20"/>
                <w:color w:val="auto"/>
              </w:rPr>
            </w:pPr>
            <w:r>
              <w:rPr>
                <w:rFonts w:ascii="Verdana" w:cs="Verdana" w:eastAsia="Verdana" w:hAnsi="Verdana"/>
                <w:sz w:val="18"/>
                <w:szCs w:val="18"/>
                <w:color w:val="auto"/>
              </w:rPr>
              <w:t>(49,966)</w:t>
            </w:r>
          </w:p>
        </w:tc>
        <w:tc>
          <w:tcPr>
            <w:tcW w:w="80" w:type="dxa"/>
            <w:vAlign w:val="bottom"/>
            <w:shd w:val="clear" w:color="auto" w:fill="E0E7ED"/>
          </w:tcPr>
          <w:p>
            <w:pPr>
              <w:spacing w:after="0"/>
              <w:rPr>
                <w:sz w:val="22"/>
                <w:szCs w:val="22"/>
                <w:color w:val="auto"/>
              </w:rPr>
            </w:pPr>
          </w:p>
        </w:tc>
        <w:tc>
          <w:tcPr>
            <w:tcW w:w="380" w:type="dxa"/>
            <w:vAlign w:val="bottom"/>
            <w:tcBorders>
              <w:bottom w:val="single" w:sz="8" w:color="auto"/>
            </w:tcBorders>
            <w:shd w:val="clear" w:color="auto" w:fill="E0E7ED"/>
          </w:tcPr>
          <w:p>
            <w:pPr>
              <w:spacing w:after="0"/>
              <w:rPr>
                <w:sz w:val="22"/>
                <w:szCs w:val="22"/>
                <w:color w:val="auto"/>
              </w:rPr>
            </w:pPr>
          </w:p>
        </w:tc>
        <w:tc>
          <w:tcPr>
            <w:tcW w:w="1280" w:type="dxa"/>
            <w:vAlign w:val="bottom"/>
            <w:tcBorders>
              <w:bottom w:val="single" w:sz="8" w:color="auto"/>
            </w:tcBorders>
            <w:shd w:val="clear" w:color="auto" w:fill="E0E7ED"/>
          </w:tcPr>
          <w:p>
            <w:pPr>
              <w:jc w:val="right"/>
              <w:ind w:right="135"/>
              <w:spacing w:after="0"/>
              <w:rPr>
                <w:sz w:val="20"/>
                <w:szCs w:val="20"/>
                <w:color w:val="auto"/>
              </w:rPr>
            </w:pPr>
            <w:r>
              <w:rPr>
                <w:rFonts w:ascii="Verdana" w:cs="Verdana" w:eastAsia="Verdana" w:hAnsi="Verdana"/>
                <w:sz w:val="18"/>
                <w:szCs w:val="18"/>
                <w:color w:val="auto"/>
              </w:rPr>
              <w:t>(25,248)</w:t>
            </w:r>
          </w:p>
        </w:tc>
        <w:tc>
          <w:tcPr>
            <w:tcW w:w="8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160" w:type="dxa"/>
            <w:vAlign w:val="bottom"/>
            <w:tcBorders>
              <w:bottom w:val="single" w:sz="8" w:color="auto"/>
            </w:tcBorders>
            <w:shd w:val="clear" w:color="auto" w:fill="E0E7ED"/>
          </w:tcPr>
          <w:p>
            <w:pPr>
              <w:jc w:val="center"/>
              <w:ind w:left="235"/>
              <w:spacing w:after="0"/>
              <w:rPr>
                <w:sz w:val="20"/>
                <w:szCs w:val="20"/>
                <w:color w:val="auto"/>
              </w:rPr>
            </w:pPr>
            <w:r>
              <w:rPr>
                <w:rFonts w:ascii="Verdana" w:cs="Verdana" w:eastAsia="Verdana" w:hAnsi="Verdana"/>
                <w:sz w:val="18"/>
                <w:szCs w:val="18"/>
                <w:color w:val="auto"/>
                <w:w w:val="99"/>
              </w:rPr>
              <w:t>(24,718)</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(97.9)%</w:t>
            </w:r>
          </w:p>
        </w:tc>
      </w:tr>
      <w:tr>
        <w:trPr>
          <w:trHeight w:val="270"/>
        </w:trPr>
        <w:tc>
          <w:tcPr>
            <w:tcW w:w="4620" w:type="dxa"/>
            <w:vAlign w:val="bottom"/>
          </w:tcPr>
          <w:p>
            <w:pPr>
              <w:ind w:left="20"/>
              <w:spacing w:after="0" w:line="270" w:lineRule="exact"/>
              <w:rPr>
                <w:sz w:val="20"/>
                <w:szCs w:val="20"/>
                <w:color w:val="auto"/>
              </w:rPr>
            </w:pPr>
            <w:r>
              <w:rPr>
                <w:rFonts w:ascii="Verdana" w:cs="Verdana" w:eastAsia="Verdana" w:hAnsi="Verdana"/>
                <w:sz w:val="18"/>
                <w:szCs w:val="18"/>
                <w:color w:val="auto"/>
              </w:rPr>
              <w:t>Net interest income, on a tax-equivalent basis</w:t>
            </w:r>
            <w:r>
              <w:rPr>
                <w:rFonts w:ascii="Verdana" w:cs="Verdana" w:eastAsia="Verdana" w:hAnsi="Verdana"/>
                <w:sz w:val="23"/>
                <w:szCs w:val="23"/>
                <w:color w:val="auto"/>
                <w:vertAlign w:val="superscript"/>
              </w:rPr>
              <w:t>1</w:t>
            </w:r>
          </w:p>
        </w:tc>
        <w:tc>
          <w:tcPr>
            <w:tcW w:w="38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ind w:right="199"/>
              <w:spacing w:after="0"/>
              <w:rPr>
                <w:sz w:val="20"/>
                <w:szCs w:val="20"/>
                <w:color w:val="auto"/>
              </w:rPr>
            </w:pPr>
            <w:r>
              <w:rPr>
                <w:rFonts w:ascii="Verdana" w:cs="Verdana" w:eastAsia="Verdana" w:hAnsi="Verdana"/>
                <w:sz w:val="18"/>
                <w:szCs w:val="18"/>
                <w:color w:val="auto"/>
              </w:rPr>
              <w:t>76,216</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86,415</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tcPr>
          <w:p>
            <w:pPr>
              <w:jc w:val="center"/>
              <w:ind w:left="235"/>
              <w:spacing w:after="0"/>
              <w:rPr>
                <w:sz w:val="20"/>
                <w:szCs w:val="20"/>
                <w:color w:val="auto"/>
              </w:rPr>
            </w:pPr>
            <w:r>
              <w:rPr>
                <w:rFonts w:ascii="Verdana" w:cs="Verdana" w:eastAsia="Verdana" w:hAnsi="Verdana"/>
                <w:sz w:val="18"/>
                <w:szCs w:val="18"/>
                <w:color w:val="auto"/>
                <w:w w:val="99"/>
              </w:rPr>
              <w:t>(10,199)</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(11.8)%</w:t>
            </w:r>
          </w:p>
        </w:tc>
      </w:tr>
      <w:tr>
        <w:trPr>
          <w:trHeight w:val="20"/>
        </w:trPr>
        <w:tc>
          <w:tcPr>
            <w:tcW w:w="462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580" w:type="dxa"/>
            <w:vAlign w:val="bottom"/>
            <w:tcBorders>
              <w:bottom w:val="single" w:sz="8" w:color="E0E7ED"/>
            </w:tcBorders>
          </w:tcPr>
          <w:p>
            <w:pPr>
              <w:spacing w:after="0" w:line="20" w:lineRule="exact"/>
              <w:rPr>
                <w:sz w:val="1"/>
                <w:szCs w:val="1"/>
                <w:color w:val="auto"/>
              </w:rPr>
            </w:pPr>
          </w:p>
        </w:tc>
      </w:tr>
      <w:tr>
        <w:trPr>
          <w:trHeight w:val="237"/>
        </w:trPr>
        <w:tc>
          <w:tcPr>
            <w:tcW w:w="462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1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580" w:type="dxa"/>
            <w:vAlign w:val="bottom"/>
            <w:shd w:val="clear" w:color="auto" w:fill="E0E7ED"/>
          </w:tcPr>
          <w:p>
            <w:pPr>
              <w:spacing w:after="0"/>
              <w:rPr>
                <w:sz w:val="20"/>
                <w:szCs w:val="20"/>
                <w:color w:val="auto"/>
              </w:rPr>
            </w:pPr>
          </w:p>
        </w:tc>
      </w:tr>
      <w:tr>
        <w:trPr>
          <w:trHeight w:val="319"/>
        </w:trPr>
        <w:tc>
          <w:tcPr>
            <w:tcW w:w="4620" w:type="dxa"/>
            <w:vAlign w:val="bottom"/>
          </w:tcPr>
          <w:p>
            <w:pPr>
              <w:ind w:left="20"/>
              <w:spacing w:after="0"/>
              <w:rPr>
                <w:sz w:val="20"/>
                <w:szCs w:val="20"/>
                <w:color w:val="auto"/>
              </w:rPr>
            </w:pPr>
            <w:r>
              <w:rPr>
                <w:rFonts w:ascii="Verdana" w:cs="Verdana" w:eastAsia="Verdana" w:hAnsi="Verdana"/>
                <w:sz w:val="18"/>
                <w:szCs w:val="18"/>
                <w:color w:val="auto"/>
              </w:rPr>
              <w:t>Net interest margin</w:t>
            </w:r>
            <w:r>
              <w:rPr>
                <w:rFonts w:ascii="Verdana" w:cs="Verdana" w:eastAsia="Verdana" w:hAnsi="Verdana"/>
                <w:sz w:val="23"/>
                <w:szCs w:val="23"/>
                <w:color w:val="auto"/>
                <w:vertAlign w:val="superscript"/>
              </w:rPr>
              <w:t>1, 2</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2.79 %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3.13 %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center"/>
              <w:ind w:left="275"/>
              <w:spacing w:after="0"/>
              <w:rPr>
                <w:sz w:val="20"/>
                <w:szCs w:val="20"/>
                <w:color w:val="auto"/>
              </w:rPr>
            </w:pPr>
            <w:r>
              <w:rPr>
                <w:rFonts w:ascii="Verdana" w:cs="Verdana" w:eastAsia="Verdana" w:hAnsi="Verdana"/>
                <w:sz w:val="18"/>
                <w:szCs w:val="18"/>
                <w:color w:val="auto"/>
                <w:w w:val="98"/>
              </w:rPr>
              <w:t>(34) bps</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49"/>
        </w:trPr>
        <w:tc>
          <w:tcPr>
            <w:tcW w:w="4620" w:type="dxa"/>
            <w:vAlign w:val="bottom"/>
          </w:tcPr>
          <w:p>
            <w:pPr>
              <w:spacing w:after="0" w:line="149" w:lineRule="exact"/>
              <w:rPr>
                <w:sz w:val="20"/>
                <w:szCs w:val="20"/>
                <w:color w:val="auto"/>
              </w:rPr>
            </w:pPr>
            <w:r>
              <w:rPr>
                <w:rFonts w:ascii="Verdana" w:cs="Verdana" w:eastAsia="Verdana" w:hAnsi="Verdana"/>
                <w:sz w:val="13"/>
                <w:szCs w:val="13"/>
                <w:color w:val="auto"/>
              </w:rPr>
              <w:t>___________________________________________</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r>
    </w:tbl>
    <w:p>
      <w:pPr>
        <w:ind w:left="500" w:hanging="330"/>
        <w:spacing w:after="0" w:line="235" w:lineRule="auto"/>
        <w:tabs>
          <w:tab w:leader="none" w:pos="491" w:val="left"/>
        </w:tabs>
        <w:numPr>
          <w:ilvl w:val="0"/>
          <w:numId w:val="18"/>
        </w:numPr>
        <w:rPr>
          <w:rFonts w:ascii="Verdana" w:cs="Verdana" w:eastAsia="Verdana" w:hAnsi="Verdana"/>
          <w:sz w:val="13"/>
          <w:szCs w:val="13"/>
          <w:color w:val="auto"/>
        </w:rPr>
      </w:pPr>
      <w:r>
        <w:rPr>
          <w:rFonts w:ascii="Verdana" w:cs="Verdana" w:eastAsia="Verdana" w:hAnsi="Verdana"/>
          <w:sz w:val="13"/>
          <w:szCs w:val="13"/>
          <w:color w:val="auto"/>
        </w:rPr>
        <w:t xml:space="preserve">Assuming a federal income tax rate of 21.0%. For a reconciliation of non-GAAP measures to the most directly comparable GAAP financial measures, see </w:t>
      </w:r>
      <w:r>
        <w:rPr>
          <w:rFonts w:ascii="Verdana" w:cs="Verdana" w:eastAsia="Verdana" w:hAnsi="Verdana"/>
          <w:sz w:val="13"/>
          <w:szCs w:val="13"/>
          <w:i w:val="1"/>
          <w:iCs w:val="1"/>
          <w:u w:val="single" w:color="auto"/>
          <w:color w:val="0000FF"/>
        </w:rPr>
        <w:t>“Item 2.</w:t>
      </w:r>
      <w:r>
        <w:rPr>
          <w:rFonts w:ascii="Verdana" w:cs="Verdana" w:eastAsia="Verdana" w:hAnsi="Verdana"/>
          <w:sz w:val="13"/>
          <w:szCs w:val="13"/>
          <w:color w:val="auto"/>
        </w:rPr>
        <w:t xml:space="preserve"> </w:t>
      </w:r>
      <w:r>
        <w:rPr>
          <w:rFonts w:ascii="Verdana" w:cs="Verdana" w:eastAsia="Verdana" w:hAnsi="Verdana"/>
          <w:sz w:val="13"/>
          <w:szCs w:val="13"/>
          <w:i w:val="1"/>
          <w:iCs w:val="1"/>
          <w:u w:val="single" w:color="auto"/>
          <w:color w:val="0000FF"/>
        </w:rPr>
        <w:t>Management’s Discussion and Analysis—Non-GAAP Financial Information”</w:t>
      </w:r>
      <w:r>
        <w:rPr>
          <w:rFonts w:ascii="Verdana" w:cs="Verdana" w:eastAsia="Verdana" w:hAnsi="Verdana"/>
          <w:sz w:val="13"/>
          <w:szCs w:val="13"/>
          <w:i w:val="1"/>
          <w:iCs w:val="1"/>
          <w:color w:val="0000FF"/>
        </w:rPr>
        <w:t xml:space="preserve"> </w:t>
      </w:r>
      <w:r>
        <w:rPr>
          <w:rFonts w:ascii="Verdana" w:cs="Verdana" w:eastAsia="Verdana" w:hAnsi="Verdana"/>
          <w:sz w:val="13"/>
          <w:szCs w:val="13"/>
          <w:color w:val="000000"/>
        </w:rPr>
        <w:t>included in this Quarterly Report.</w:t>
      </w:r>
    </w:p>
    <w:p>
      <w:pPr>
        <w:spacing w:after="0" w:line="1" w:lineRule="exact"/>
        <w:rPr>
          <w:rFonts w:ascii="Verdana" w:cs="Verdana" w:eastAsia="Verdana" w:hAnsi="Verdana"/>
          <w:sz w:val="13"/>
          <w:szCs w:val="13"/>
          <w:color w:val="auto"/>
        </w:rPr>
      </w:pPr>
    </w:p>
    <w:p>
      <w:pPr>
        <w:ind w:left="480" w:hanging="310"/>
        <w:spacing w:after="0"/>
        <w:tabs>
          <w:tab w:leader="none" w:pos="480" w:val="left"/>
        </w:tabs>
        <w:numPr>
          <w:ilvl w:val="0"/>
          <w:numId w:val="18"/>
        </w:numPr>
        <w:rPr>
          <w:rFonts w:ascii="Verdana" w:cs="Verdana" w:eastAsia="Verdana" w:hAnsi="Verdana"/>
          <w:sz w:val="13"/>
          <w:szCs w:val="13"/>
          <w:color w:val="auto"/>
        </w:rPr>
      </w:pPr>
      <w:r>
        <w:rPr>
          <w:rFonts w:ascii="Verdana" w:cs="Verdana" w:eastAsia="Verdana" w:hAnsi="Verdana"/>
          <w:sz w:val="13"/>
          <w:szCs w:val="13"/>
          <w:color w:val="auto"/>
        </w:rPr>
        <w:t>Net interest income expressed as a percentage of average earning assets, stated on a tax-equivalent basis.</w:t>
      </w:r>
    </w:p>
    <w:p>
      <w:pPr>
        <w:spacing w:after="0" w:line="166"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The FOMC raised rates by a total of 525 basis points since the onset of the current FOMC tightening cycle that began in the first quarter of 2022, with no further increases during the first quarter of 2024. Rising rates initially have a positive impact on net interest margin, as assets, in particular commercial loans, reprice more quickly and to a greater extent than liabilities. As deposit and funding costs increase in response to the tightening rate cycle, some of the net interest margin expansion is reversed. As lower yielding securities and loans have continued to mature or renew at higher current market rates, expansion in asset yields has outpaced any remaining lagged pressure on funding costs. Our deposit cost of funds peaked in the beginning of the first quarter of 2024, and we have been able to reduce interest expense by offering lower CD specials as well as applying rate management on higher priced non-maturity deposit products. We have also begun to benefit from recent actions taken to proactively bolster our net interest margin, including completion of targeted balance sheet repositionings in both the fourth quarter of 2023 and the first quarter of 2024, the reversal of the wealth management sweep accounts, and the pay off of the remaining balance on our Term Loan.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9" w:name="page70"/>
    <w:bookmarkEnd w:id="6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Net interest spread represents the difference between the average rate earned on earning assets and the average rate paid on interest-bearing liabilities, and is presented in the table below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40" w:type="dxa"/>
            <w:vAlign w:val="bottom"/>
          </w:tcPr>
          <w:p>
            <w:pPr>
              <w:spacing w:after="0"/>
              <w:rPr>
                <w:sz w:val="15"/>
                <w:szCs w:val="15"/>
                <w:color w:val="auto"/>
              </w:rPr>
            </w:pPr>
          </w:p>
        </w:tc>
        <w:tc>
          <w:tcPr>
            <w:tcW w:w="3380" w:type="dxa"/>
            <w:vAlign w:val="bottom"/>
            <w:tcBorders>
              <w:bottom w:val="single" w:sz="8" w:color="auto"/>
            </w:tcBorders>
            <w:gridSpan w:val="3"/>
          </w:tcPr>
          <w:p>
            <w:pPr>
              <w:jc w:val="right"/>
              <w:ind w:right="524"/>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7840" w:type="dxa"/>
            <w:vAlign w:val="bottom"/>
            <w:tcBorders>
              <w:bottom w:val="single" w:sz="8" w:color="E0E7ED"/>
            </w:tcBorders>
          </w:tcPr>
          <w:p>
            <w:pPr>
              <w:spacing w:after="0"/>
              <w:rPr>
                <w:sz w:val="14"/>
                <w:szCs w:val="14"/>
                <w:color w:val="auto"/>
              </w:rPr>
            </w:pPr>
          </w:p>
        </w:tc>
        <w:tc>
          <w:tcPr>
            <w:tcW w:w="1640" w:type="dxa"/>
            <w:vAlign w:val="bottom"/>
            <w:tcBorders>
              <w:bottom w:val="single" w:sz="8" w:color="auto"/>
            </w:tcBorders>
          </w:tcPr>
          <w:p>
            <w:pPr>
              <w:jc w:val="right"/>
              <w:ind w:right="568"/>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1660" w:type="dxa"/>
            <w:vAlign w:val="bottom"/>
            <w:tcBorders>
              <w:bottom w:val="single" w:sz="8" w:color="auto"/>
            </w:tcBorders>
          </w:tcPr>
          <w:p>
            <w:pPr>
              <w:jc w:val="right"/>
              <w:ind w:right="58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7840" w:type="dxa"/>
            <w:vAlign w:val="bottom"/>
            <w:shd w:val="clear" w:color="auto" w:fill="E0E7ED"/>
          </w:tcPr>
          <w:p>
            <w:pPr>
              <w:ind w:left="20"/>
              <w:spacing w:after="0" w:line="268" w:lineRule="exact"/>
              <w:rPr>
                <w:sz w:val="20"/>
                <w:szCs w:val="20"/>
                <w:color w:val="auto"/>
              </w:rPr>
            </w:pPr>
            <w:r>
              <w:rPr>
                <w:rFonts w:ascii="Verdana" w:cs="Verdana" w:eastAsia="Verdana" w:hAnsi="Verdana"/>
                <w:sz w:val="18"/>
                <w:szCs w:val="18"/>
                <w:color w:val="auto"/>
              </w:rPr>
              <w:t>Net interest spread</w:t>
            </w:r>
            <w:r>
              <w:rPr>
                <w:rFonts w:ascii="Verdana" w:cs="Verdana" w:eastAsia="Verdana" w:hAnsi="Verdana"/>
                <w:sz w:val="23"/>
                <w:szCs w:val="23"/>
                <w:color w:val="auto"/>
                <w:vertAlign w:val="superscript"/>
              </w:rPr>
              <w:t>1</w:t>
            </w: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2.04 %</w:t>
            </w:r>
          </w:p>
        </w:tc>
        <w:tc>
          <w:tcPr>
            <w:tcW w:w="80" w:type="dxa"/>
            <w:vAlign w:val="bottom"/>
            <w:shd w:val="clear" w:color="auto" w:fill="E0E7ED"/>
          </w:tcPr>
          <w:p>
            <w:pPr>
              <w:spacing w:after="0"/>
              <w:rPr>
                <w:sz w:val="23"/>
                <w:szCs w:val="23"/>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2.71 %</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19"/>
        </w:numPr>
        <w:rPr>
          <w:rFonts w:ascii="Verdana" w:cs="Verdana" w:eastAsia="Verdana" w:hAnsi="Verdana"/>
          <w:sz w:val="13"/>
          <w:szCs w:val="13"/>
          <w:color w:val="auto"/>
        </w:rPr>
      </w:pPr>
      <w:r>
        <w:rPr>
          <w:rFonts w:ascii="Verdana" w:cs="Verdana" w:eastAsia="Verdana" w:hAnsi="Verdana"/>
          <w:sz w:val="13"/>
          <w:szCs w:val="13"/>
          <w:color w:val="auto"/>
        </w:rPr>
        <w:t>Calculated on a tax-equivalent basis.</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color w:val="auto"/>
        </w:rPr>
        <w:t>The net interest margin discussion above is based upon the results and average balances for the three months ended</w:t>
      </w:r>
    </w:p>
    <w:p>
      <w:pPr>
        <w:spacing w:after="0"/>
        <w:rPr>
          <w:sz w:val="20"/>
          <w:szCs w:val="20"/>
          <w:color w:val="auto"/>
        </w:rPr>
      </w:pPr>
      <w:r>
        <w:rPr>
          <w:rFonts w:ascii="Verdana" w:cs="Verdana" w:eastAsia="Verdana" w:hAnsi="Verdana"/>
          <w:sz w:val="18"/>
          <w:szCs w:val="18"/>
          <w:color w:val="auto"/>
        </w:rPr>
        <w:t>March 31, 2024, and 2023. Annualized net interest margins for the quarterly periods indicated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tcBorders>
              <w:bottom w:val="single" w:sz="8" w:color="E0E7ED"/>
            </w:tcBorders>
          </w:tcPr>
          <w:p>
            <w:pPr>
              <w:spacing w:after="0"/>
              <w:rPr>
                <w:sz w:val="15"/>
                <w:szCs w:val="15"/>
                <w:color w:val="auto"/>
              </w:rPr>
            </w:pPr>
          </w:p>
        </w:tc>
        <w:tc>
          <w:tcPr>
            <w:tcW w:w="1640" w:type="dxa"/>
            <w:vAlign w:val="bottom"/>
            <w:tcBorders>
              <w:bottom w:val="single" w:sz="8" w:color="auto"/>
            </w:tcBorders>
          </w:tcPr>
          <w:p>
            <w:pPr>
              <w:jc w:val="right"/>
              <w:ind w:right="56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5"/>
                <w:szCs w:val="15"/>
                <w:color w:val="auto"/>
              </w:rPr>
            </w:pPr>
          </w:p>
        </w:tc>
        <w:tc>
          <w:tcPr>
            <w:tcW w:w="1640" w:type="dxa"/>
            <w:vAlign w:val="bottom"/>
            <w:tcBorders>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2023</w:t>
            </w:r>
          </w:p>
        </w:tc>
      </w:tr>
      <w:tr>
        <w:trPr>
          <w:trHeight w:val="270"/>
        </w:trPr>
        <w:tc>
          <w:tcPr>
            <w:tcW w:w="7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Quarter</w:t>
            </w: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2.79 %</w:t>
            </w:r>
          </w:p>
        </w:tc>
        <w:tc>
          <w:tcPr>
            <w:tcW w:w="100" w:type="dxa"/>
            <w:vAlign w:val="bottom"/>
            <w:shd w:val="clear" w:color="auto" w:fill="E0E7ED"/>
          </w:tcPr>
          <w:p>
            <w:pPr>
              <w:spacing w:after="0"/>
              <w:rPr>
                <w:sz w:val="23"/>
                <w:szCs w:val="23"/>
                <w:color w:val="auto"/>
              </w:rPr>
            </w:pP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3.13 %</w:t>
            </w:r>
          </w:p>
        </w:tc>
      </w:tr>
      <w:tr>
        <w:trPr>
          <w:trHeight w:val="263"/>
        </w:trPr>
        <w:tc>
          <w:tcPr>
            <w:tcW w:w="7860" w:type="dxa"/>
            <w:vAlign w:val="bottom"/>
          </w:tcPr>
          <w:p>
            <w:pPr>
              <w:ind w:left="20"/>
              <w:spacing w:after="0"/>
              <w:rPr>
                <w:sz w:val="20"/>
                <w:szCs w:val="20"/>
                <w:color w:val="auto"/>
              </w:rPr>
            </w:pPr>
            <w:r>
              <w:rPr>
                <w:rFonts w:ascii="Verdana" w:cs="Verdana" w:eastAsia="Verdana" w:hAnsi="Verdana"/>
                <w:sz w:val="18"/>
                <w:szCs w:val="18"/>
                <w:color w:val="auto"/>
              </w:rPr>
              <w:t>Second Quarter</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Verdana" w:cs="Verdana" w:eastAsia="Verdana" w:hAnsi="Verdana"/>
                <w:sz w:val="18"/>
                <w:szCs w:val="18"/>
                <w:color w:val="auto"/>
              </w:rPr>
              <w:t>2.86 %</w:t>
            </w:r>
          </w:p>
        </w:tc>
      </w:tr>
      <w:tr>
        <w:trPr>
          <w:trHeight w:val="277"/>
        </w:trPr>
        <w:tc>
          <w:tcPr>
            <w:tcW w:w="7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Third Quarter</w:t>
            </w:r>
          </w:p>
        </w:tc>
        <w:tc>
          <w:tcPr>
            <w:tcW w:w="16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2.80 %</w:t>
            </w:r>
          </w:p>
        </w:tc>
      </w:tr>
      <w:tr>
        <w:trPr>
          <w:trHeight w:val="257"/>
        </w:trPr>
        <w:tc>
          <w:tcPr>
            <w:tcW w:w="7860" w:type="dxa"/>
            <w:vAlign w:val="bottom"/>
          </w:tcPr>
          <w:p>
            <w:pPr>
              <w:ind w:left="20"/>
              <w:spacing w:after="0"/>
              <w:rPr>
                <w:sz w:val="20"/>
                <w:szCs w:val="20"/>
                <w:color w:val="auto"/>
              </w:rPr>
            </w:pPr>
            <w:r>
              <w:rPr>
                <w:rFonts w:ascii="Verdana" w:cs="Verdana" w:eastAsia="Verdana" w:hAnsi="Verdana"/>
                <w:sz w:val="18"/>
                <w:szCs w:val="18"/>
                <w:color w:val="auto"/>
              </w:rPr>
              <w:t>Fourth Quarter</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Verdana" w:cs="Verdana" w:eastAsia="Verdana" w:hAnsi="Verdana"/>
                <w:sz w:val="18"/>
                <w:szCs w:val="18"/>
                <w:color w:val="auto"/>
              </w:rPr>
              <w:t>2.74 %</w:t>
            </w:r>
          </w:p>
        </w:tc>
      </w:tr>
    </w:tbl>
    <w:p>
      <w:pPr>
        <w:spacing w:after="0" w:line="278" w:lineRule="exact"/>
        <w:rPr>
          <w:sz w:val="20"/>
          <w:szCs w:val="20"/>
          <w:color w:val="auto"/>
        </w:rPr>
      </w:pPr>
    </w:p>
    <w:p>
      <w:pPr>
        <w:jc w:val="both"/>
        <w:spacing w:after="0" w:line="242" w:lineRule="auto"/>
        <w:rPr>
          <w:rFonts w:ascii="Verdana" w:cs="Verdana" w:eastAsia="Verdana" w:hAnsi="Verdana"/>
          <w:sz w:val="18"/>
          <w:szCs w:val="18"/>
          <w:color w:val="auto"/>
        </w:rPr>
      </w:pPr>
      <w:r>
        <w:rPr>
          <w:rFonts w:ascii="Verdana" w:cs="Verdana" w:eastAsia="Verdana" w:hAnsi="Verdana"/>
          <w:sz w:val="18"/>
          <w:szCs w:val="18"/>
          <w:color w:val="auto"/>
        </w:rPr>
        <w:t xml:space="preserve">Management attempts to mitigate the effects of an unpredictable interest-rate environment through effective portfolio management, prudent loan underwriting and pricing discipline, and operational efficiencies. For a description of accounting policies underlying the recognition of interest income and expense, refer to the </w:t>
      </w:r>
      <w:hyperlink r:id="rId108">
        <w:r>
          <w:rPr>
            <w:rFonts w:ascii="Verdana" w:cs="Verdana" w:eastAsia="Verdana" w:hAnsi="Verdana"/>
            <w:sz w:val="18"/>
            <w:szCs w:val="18"/>
            <w:u w:val="single" w:color="auto"/>
            <w:color w:val="0000FF"/>
          </w:rPr>
          <w:t>Notes to Consolidated Financial Statements</w:t>
        </w:r>
      </w:hyperlink>
      <w:r>
        <w:rPr>
          <w:rFonts w:ascii="Verdana" w:cs="Verdana" w:eastAsia="Verdana" w:hAnsi="Verdana"/>
          <w:sz w:val="18"/>
          <w:szCs w:val="18"/>
          <w:color w:val="auto"/>
        </w:rPr>
        <w:t xml:space="preserve"> in </w:t>
      </w:r>
      <w:hyperlink r:id="rId24">
        <w:r>
          <w:rPr>
            <w:rFonts w:ascii="Verdana" w:cs="Verdana" w:eastAsia="Verdana" w:hAnsi="Verdana"/>
            <w:sz w:val="18"/>
            <w:szCs w:val="18"/>
            <w:u w:val="single" w:color="auto"/>
            <w:color w:val="0000FF"/>
          </w:rPr>
          <w:t>Busey’s 2023 Annual Report</w:t>
        </w:r>
      </w:hyperlink>
      <w:r>
        <w:rPr>
          <w:rFonts w:ascii="Verdana" w:cs="Verdana" w:eastAsia="Verdana" w:hAnsi="Verdana"/>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0" w:name="page71"/>
    <w:bookmarkEnd w:id="7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Noninterest Income</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Changes in noninterest income are summarized as follows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5"/>
          </w:tcPr>
          <w:p>
            <w:pPr>
              <w:ind w:left="220"/>
              <w:spacing w:after="0"/>
              <w:rPr>
                <w:sz w:val="20"/>
                <w:szCs w:val="20"/>
                <w:color w:val="auto"/>
              </w:rPr>
            </w:pPr>
            <w:r>
              <w:rPr>
                <w:rFonts w:ascii="Verdana" w:cs="Verdana" w:eastAsia="Verdana" w:hAnsi="Verdana"/>
                <w:sz w:val="13"/>
                <w:szCs w:val="13"/>
                <w:b w:val="1"/>
                <w:bCs w:val="1"/>
                <w:color w:val="auto"/>
              </w:rPr>
              <w:t>Three Months Ended March 31,</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0"/>
        </w:trPr>
        <w:tc>
          <w:tcPr>
            <w:tcW w:w="4840" w:type="dxa"/>
            <w:vAlign w:val="bottom"/>
            <w:tcBorders>
              <w:bottom w:val="single" w:sz="8" w:color="E0E7ED"/>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9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92"/>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Borders>
              <w:bottom w:val="single" w:sz="8" w:color="E0E7ED"/>
            </w:tcBorders>
          </w:tcPr>
          <w:p>
            <w:pPr>
              <w:spacing w:after="0"/>
              <w:rPr>
                <w:sz w:val="14"/>
                <w:szCs w:val="14"/>
                <w:color w:val="auto"/>
              </w:rPr>
            </w:pPr>
          </w:p>
        </w:tc>
        <w:tc>
          <w:tcPr>
            <w:tcW w:w="1620" w:type="dxa"/>
            <w:vAlign w:val="bottom"/>
            <w:tcBorders>
              <w:bottom w:val="single" w:sz="8" w:color="auto"/>
            </w:tcBorders>
          </w:tcPr>
          <w:p>
            <w:pPr>
              <w:jc w:val="right"/>
              <w:ind w:right="35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income</w:t>
            </w:r>
          </w:p>
        </w:tc>
        <w:tc>
          <w:tcPr>
            <w:tcW w:w="2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620" w:type="dxa"/>
            <w:vAlign w:val="bottom"/>
            <w:shd w:val="clear" w:color="auto" w:fill="E0E7ED"/>
          </w:tcPr>
          <w:p>
            <w:pPr>
              <w:spacing w:after="0"/>
              <w:rPr>
                <w:sz w:val="22"/>
                <w:szCs w:val="22"/>
                <w:color w:val="auto"/>
              </w:rPr>
            </w:pPr>
          </w:p>
        </w:tc>
      </w:tr>
      <w:tr>
        <w:trPr>
          <w:trHeight w:val="238"/>
        </w:trPr>
        <w:tc>
          <w:tcPr>
            <w:tcW w:w="4840" w:type="dxa"/>
            <w:vAlign w:val="bottom"/>
          </w:tcPr>
          <w:p>
            <w:pPr>
              <w:ind w:left="180"/>
              <w:spacing w:after="0"/>
              <w:rPr>
                <w:sz w:val="20"/>
                <w:szCs w:val="20"/>
                <w:color w:val="auto"/>
              </w:rPr>
            </w:pPr>
            <w:r>
              <w:rPr>
                <w:rFonts w:ascii="Verdana" w:cs="Verdana" w:eastAsia="Verdana" w:hAnsi="Verdana"/>
                <w:sz w:val="18"/>
                <w:szCs w:val="18"/>
                <w:color w:val="auto"/>
              </w:rPr>
              <w:t>Wealth management and payment technology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42"/>
        </w:trPr>
        <w:tc>
          <w:tcPr>
            <w:tcW w:w="4840" w:type="dxa"/>
            <w:vAlign w:val="bottom"/>
          </w:tcPr>
          <w:p>
            <w:pPr>
              <w:ind w:left="180"/>
              <w:spacing w:after="0"/>
              <w:rPr>
                <w:sz w:val="20"/>
                <w:szCs w:val="20"/>
                <w:color w:val="auto"/>
              </w:rPr>
            </w:pPr>
            <w:r>
              <w:rPr>
                <w:rFonts w:ascii="Verdana" w:cs="Verdana" w:eastAsia="Verdana" w:hAnsi="Verdana"/>
                <w:sz w:val="18"/>
                <w:szCs w:val="18"/>
                <w:color w:val="auto"/>
              </w:rPr>
              <w:t>solutions income:</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7"/>
        </w:trPr>
        <w:tc>
          <w:tcPr>
            <w:tcW w:w="48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Wealth management fees</w:t>
            </w: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15,549</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14,797</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752</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5.1 %</w:t>
            </w:r>
          </w:p>
        </w:tc>
      </w:tr>
      <w:tr>
        <w:trPr>
          <w:trHeight w:val="264"/>
        </w:trPr>
        <w:tc>
          <w:tcPr>
            <w:tcW w:w="484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Payment technology solutions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5,709</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5,315</w:t>
            </w:r>
          </w:p>
        </w:tc>
        <w:tc>
          <w:tcPr>
            <w:tcW w:w="8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394</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7.4 %</w:t>
            </w:r>
          </w:p>
        </w:tc>
      </w:tr>
      <w:tr>
        <w:trPr>
          <w:trHeight w:val="224"/>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Combined, wealth management fees and payment</w:t>
            </w:r>
          </w:p>
        </w:tc>
        <w:tc>
          <w:tcPr>
            <w:tcW w:w="24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1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620" w:type="dxa"/>
            <w:vAlign w:val="bottom"/>
            <w:shd w:val="clear" w:color="auto" w:fill="E0E7ED"/>
          </w:tcPr>
          <w:p>
            <w:pPr>
              <w:spacing w:after="0"/>
              <w:rPr>
                <w:sz w:val="19"/>
                <w:szCs w:val="19"/>
                <w:color w:val="auto"/>
              </w:rPr>
            </w:pPr>
          </w:p>
        </w:tc>
      </w:tr>
      <w:tr>
        <w:trPr>
          <w:trHeight w:val="248"/>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technology solutions</w:t>
            </w: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21,258</w:t>
            </w: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20,112</w:t>
            </w:r>
          </w:p>
        </w:tc>
        <w:tc>
          <w:tcPr>
            <w:tcW w:w="8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1,146</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5.7 %</w:t>
            </w:r>
          </w:p>
        </w:tc>
      </w:tr>
      <w:tr>
        <w:trPr>
          <w:trHeight w:val="270"/>
        </w:trPr>
        <w:tc>
          <w:tcPr>
            <w:tcW w:w="4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Fees for customer services</w:t>
            </w: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7,056</w:t>
            </w: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6,819</w:t>
            </w:r>
          </w:p>
        </w:tc>
        <w:tc>
          <w:tcPr>
            <w:tcW w:w="8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237</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3.5 %</w:t>
            </w:r>
          </w:p>
        </w:tc>
      </w:tr>
      <w:tr>
        <w:trPr>
          <w:trHeight w:val="263"/>
        </w:trPr>
        <w:tc>
          <w:tcPr>
            <w:tcW w:w="4840" w:type="dxa"/>
            <w:vAlign w:val="bottom"/>
          </w:tcPr>
          <w:p>
            <w:pPr>
              <w:ind w:left="180"/>
              <w:spacing w:after="0"/>
              <w:rPr>
                <w:sz w:val="20"/>
                <w:szCs w:val="20"/>
                <w:color w:val="auto"/>
              </w:rPr>
            </w:pPr>
            <w:r>
              <w:rPr>
                <w:rFonts w:ascii="Verdana" w:cs="Verdana" w:eastAsia="Verdana" w:hAnsi="Verdana"/>
                <w:sz w:val="18"/>
                <w:szCs w:val="18"/>
                <w:color w:val="auto"/>
              </w:rPr>
              <w:t>Mortgage revenue</w:t>
            </w:r>
          </w:p>
        </w:tc>
        <w:tc>
          <w:tcPr>
            <w:tcW w:w="240" w:type="dxa"/>
            <w:vAlign w:val="bottom"/>
          </w:tcPr>
          <w:p>
            <w:pPr>
              <w:spacing w:after="0"/>
              <w:rPr>
                <w:sz w:val="22"/>
                <w:szCs w:val="22"/>
                <w:color w:val="auto"/>
              </w:rPr>
            </w:pPr>
          </w:p>
        </w:tc>
        <w:tc>
          <w:tcPr>
            <w:tcW w:w="1260" w:type="dxa"/>
            <w:vAlign w:val="bottom"/>
          </w:tcPr>
          <w:p>
            <w:pPr>
              <w:jc w:val="right"/>
              <w:ind w:right="14"/>
              <w:spacing w:after="0"/>
              <w:rPr>
                <w:sz w:val="20"/>
                <w:szCs w:val="20"/>
                <w:color w:val="auto"/>
              </w:rPr>
            </w:pPr>
            <w:r>
              <w:rPr>
                <w:rFonts w:ascii="Verdana" w:cs="Verdana" w:eastAsia="Verdana" w:hAnsi="Verdana"/>
                <w:sz w:val="18"/>
                <w:szCs w:val="18"/>
                <w:color w:val="auto"/>
              </w:rPr>
              <w:t>746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288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458</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159.0 %</w:t>
            </w:r>
          </w:p>
        </w:tc>
      </w:tr>
      <w:tr>
        <w:trPr>
          <w:trHeight w:val="277"/>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Income on bank owned life insurance</w:t>
            </w: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1,419</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1,652</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(233)</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(14.1)%</w:t>
            </w:r>
          </w:p>
        </w:tc>
      </w:tr>
      <w:tr>
        <w:trPr>
          <w:trHeight w:val="238"/>
        </w:trPr>
        <w:tc>
          <w:tcPr>
            <w:tcW w:w="4840" w:type="dxa"/>
            <w:vAlign w:val="bottom"/>
          </w:tcPr>
          <w:p>
            <w:pPr>
              <w:ind w:left="180"/>
              <w:spacing w:after="0"/>
              <w:rPr>
                <w:sz w:val="20"/>
                <w:szCs w:val="20"/>
                <w:color w:val="auto"/>
              </w:rPr>
            </w:pPr>
            <w:r>
              <w:rPr>
                <w:rFonts w:ascii="Verdana" w:cs="Verdana" w:eastAsia="Verdana" w:hAnsi="Verdana"/>
                <w:sz w:val="18"/>
                <w:szCs w:val="18"/>
                <w:color w:val="auto"/>
              </w:rPr>
              <w:t>Realized gain on the sale of mortgage servicing</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42"/>
        </w:trPr>
        <w:tc>
          <w:tcPr>
            <w:tcW w:w="4840" w:type="dxa"/>
            <w:vAlign w:val="bottom"/>
          </w:tcPr>
          <w:p>
            <w:pPr>
              <w:ind w:left="180"/>
              <w:spacing w:after="0"/>
              <w:rPr>
                <w:sz w:val="20"/>
                <w:szCs w:val="20"/>
                <w:color w:val="auto"/>
              </w:rPr>
            </w:pPr>
            <w:r>
              <w:rPr>
                <w:rFonts w:ascii="Verdana" w:cs="Verdana" w:eastAsia="Verdana" w:hAnsi="Verdana"/>
                <w:sz w:val="18"/>
                <w:szCs w:val="18"/>
                <w:color w:val="auto"/>
              </w:rPr>
              <w:t>rights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Verdana" w:cs="Verdana" w:eastAsia="Verdana" w:hAnsi="Verdana"/>
                <w:sz w:val="18"/>
                <w:szCs w:val="18"/>
                <w:color w:val="auto"/>
              </w:rPr>
              <w:t>7,465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7,465</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Verdana" w:cs="Verdana" w:eastAsia="Verdana" w:hAnsi="Verdana"/>
                <w:sz w:val="18"/>
                <w:szCs w:val="18"/>
                <w:color w:val="auto"/>
              </w:rPr>
              <w:t>NM</w:t>
            </w:r>
          </w:p>
        </w:tc>
      </w:tr>
      <w:tr>
        <w:trPr>
          <w:trHeight w:val="277"/>
        </w:trPr>
        <w:tc>
          <w:tcPr>
            <w:tcW w:w="484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1620" w:type="dxa"/>
            <w:vAlign w:val="bottom"/>
            <w:shd w:val="clear" w:color="auto" w:fill="E0E7ED"/>
          </w:tcPr>
          <w:p>
            <w:pPr>
              <w:spacing w:after="0"/>
              <w:rPr>
                <w:sz w:val="24"/>
                <w:szCs w:val="24"/>
                <w:color w:val="auto"/>
              </w:rPr>
            </w:pPr>
          </w:p>
        </w:tc>
      </w:tr>
      <w:tr>
        <w:trPr>
          <w:trHeight w:val="263"/>
        </w:trPr>
        <w:tc>
          <w:tcPr>
            <w:tcW w:w="4840" w:type="dxa"/>
            <w:vAlign w:val="bottom"/>
          </w:tcPr>
          <w:p>
            <w:pPr>
              <w:ind w:left="180"/>
              <w:spacing w:after="0"/>
              <w:rPr>
                <w:sz w:val="20"/>
                <w:szCs w:val="20"/>
                <w:color w:val="auto"/>
              </w:rPr>
            </w:pPr>
            <w:r>
              <w:rPr>
                <w:rFonts w:ascii="Verdana" w:cs="Verdana" w:eastAsia="Verdana" w:hAnsi="Verdana"/>
                <w:sz w:val="18"/>
                <w:szCs w:val="18"/>
                <w:color w:val="auto"/>
              </w:rPr>
              <w:t>Securities income:</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48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Realized net gains (losses) on securities</w:t>
            </w: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(6,802)</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4</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(6,806)</w:t>
            </w:r>
          </w:p>
        </w:tc>
        <w:tc>
          <w:tcPr>
            <w:tcW w:w="100" w:type="dxa"/>
            <w:vAlign w:val="bottom"/>
            <w:shd w:val="clear" w:color="auto" w:fill="E0E7ED"/>
          </w:tcPr>
          <w:p>
            <w:pPr>
              <w:spacing w:after="0"/>
              <w:rPr>
                <w:sz w:val="24"/>
                <w:szCs w:val="24"/>
                <w:color w:val="auto"/>
              </w:rPr>
            </w:pPr>
          </w:p>
        </w:tc>
        <w:tc>
          <w:tcPr>
            <w:tcW w:w="16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NM</w:t>
            </w:r>
          </w:p>
        </w:tc>
      </w:tr>
      <w:tr>
        <w:trPr>
          <w:trHeight w:val="238"/>
        </w:trPr>
        <w:tc>
          <w:tcPr>
            <w:tcW w:w="4840" w:type="dxa"/>
            <w:vAlign w:val="bottom"/>
          </w:tcPr>
          <w:p>
            <w:pPr>
              <w:ind w:left="360"/>
              <w:spacing w:after="0"/>
              <w:rPr>
                <w:sz w:val="20"/>
                <w:szCs w:val="20"/>
                <w:color w:val="auto"/>
              </w:rPr>
            </w:pPr>
            <w:r>
              <w:rPr>
                <w:rFonts w:ascii="Verdana" w:cs="Verdana" w:eastAsia="Verdana" w:hAnsi="Verdana"/>
                <w:sz w:val="18"/>
                <w:szCs w:val="18"/>
                <w:color w:val="auto"/>
              </w:rPr>
              <w:t>Unrealized net gains (losses) recognized on</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42"/>
        </w:trPr>
        <w:tc>
          <w:tcPr>
            <w:tcW w:w="484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equity securities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427</w:t>
            </w:r>
          </w:p>
        </w:tc>
        <w:tc>
          <w:tcPr>
            <w:tcW w:w="10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(620)</w:t>
            </w:r>
          </w:p>
        </w:tc>
        <w:tc>
          <w:tcPr>
            <w:tcW w:w="80" w:type="dxa"/>
            <w:vAlign w:val="bottom"/>
            <w:tcBorders>
              <w:bottom w:val="single" w:sz="8" w:color="E0E7ED"/>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1,047</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168.9 %</w:t>
            </w:r>
          </w:p>
        </w:tc>
      </w:tr>
      <w:tr>
        <w:trPr>
          <w:trHeight w:val="270"/>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Net securities gains (losses)</w:t>
            </w: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(6,375)</w:t>
            </w: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(616)</w:t>
            </w:r>
          </w:p>
        </w:tc>
        <w:tc>
          <w:tcPr>
            <w:tcW w:w="8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(5,759)</w:t>
            </w:r>
          </w:p>
        </w:tc>
        <w:tc>
          <w:tcPr>
            <w:tcW w:w="100" w:type="dxa"/>
            <w:vAlign w:val="bottom"/>
            <w:shd w:val="clear" w:color="auto" w:fill="E0E7ED"/>
          </w:tcPr>
          <w:p>
            <w:pPr>
              <w:spacing w:after="0"/>
              <w:rPr>
                <w:sz w:val="23"/>
                <w:szCs w:val="23"/>
                <w:color w:val="auto"/>
              </w:rPr>
            </w:pPr>
          </w:p>
        </w:tc>
        <w:tc>
          <w:tcPr>
            <w:tcW w:w="16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NM</w:t>
            </w:r>
          </w:p>
        </w:tc>
      </w:tr>
      <w:tr>
        <w:trPr>
          <w:trHeight w:val="270"/>
        </w:trPr>
        <w:tc>
          <w:tcPr>
            <w:tcW w:w="4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63"/>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 income</w:t>
            </w:r>
          </w:p>
        </w:tc>
        <w:tc>
          <w:tcPr>
            <w:tcW w:w="240" w:type="dxa"/>
            <w:vAlign w:val="bottom"/>
            <w:tcBorders>
              <w:bottom w:val="single" w:sz="8" w:color="auto"/>
            </w:tcBorders>
            <w:shd w:val="clear" w:color="auto" w:fill="E0E7ED"/>
          </w:tcPr>
          <w:p>
            <w:pPr>
              <w:spacing w:after="0"/>
              <w:rPr>
                <w:sz w:val="22"/>
                <w:szCs w:val="22"/>
                <w:color w:val="auto"/>
              </w:rPr>
            </w:pPr>
          </w:p>
        </w:tc>
        <w:tc>
          <w:tcPr>
            <w:tcW w:w="126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3,431</w:t>
            </w:r>
          </w:p>
        </w:tc>
        <w:tc>
          <w:tcPr>
            <w:tcW w:w="100" w:type="dxa"/>
            <w:vAlign w:val="bottom"/>
            <w:shd w:val="clear" w:color="auto" w:fill="E0E7ED"/>
          </w:tcPr>
          <w:p>
            <w:pPr>
              <w:spacing w:after="0"/>
              <w:rPr>
                <w:sz w:val="22"/>
                <w:szCs w:val="22"/>
                <w:color w:val="auto"/>
              </w:rPr>
            </w:pPr>
          </w:p>
        </w:tc>
        <w:tc>
          <w:tcPr>
            <w:tcW w:w="240" w:type="dxa"/>
            <w:vAlign w:val="bottom"/>
            <w:tcBorders>
              <w:bottom w:val="single" w:sz="8" w:color="auto"/>
            </w:tcBorders>
            <w:shd w:val="clear" w:color="auto" w:fill="E0E7ED"/>
          </w:tcPr>
          <w:p>
            <w:pPr>
              <w:spacing w:after="0"/>
              <w:rPr>
                <w:sz w:val="22"/>
                <w:szCs w:val="22"/>
                <w:color w:val="auto"/>
              </w:rPr>
            </w:pPr>
          </w:p>
        </w:tc>
        <w:tc>
          <w:tcPr>
            <w:tcW w:w="12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3,593</w:t>
            </w:r>
          </w:p>
        </w:tc>
        <w:tc>
          <w:tcPr>
            <w:tcW w:w="80" w:type="dxa"/>
            <w:vAlign w:val="bottom"/>
            <w:shd w:val="clear" w:color="auto" w:fill="E0E7ED"/>
          </w:tcPr>
          <w:p>
            <w:pPr>
              <w:spacing w:after="0"/>
              <w:rPr>
                <w:sz w:val="22"/>
                <w:szCs w:val="22"/>
                <w:color w:val="auto"/>
              </w:rPr>
            </w:pPr>
          </w:p>
        </w:tc>
        <w:tc>
          <w:tcPr>
            <w:tcW w:w="320" w:type="dxa"/>
            <w:vAlign w:val="bottom"/>
            <w:tcBorders>
              <w:bottom w:val="single" w:sz="8" w:color="auto"/>
            </w:tcBorders>
            <w:shd w:val="clear" w:color="auto" w:fill="E0E7ED"/>
          </w:tcPr>
          <w:p>
            <w:pPr>
              <w:spacing w:after="0"/>
              <w:rPr>
                <w:sz w:val="22"/>
                <w:szCs w:val="22"/>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(162)</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(4.5)%</w:t>
            </w:r>
          </w:p>
        </w:tc>
      </w:tr>
      <w:tr>
        <w:trPr>
          <w:trHeight w:val="270"/>
        </w:trPr>
        <w:tc>
          <w:tcPr>
            <w:tcW w:w="4840" w:type="dxa"/>
            <w:vAlign w:val="bottom"/>
          </w:tcPr>
          <w:p>
            <w:pPr>
              <w:ind w:left="20"/>
              <w:spacing w:after="0"/>
              <w:rPr>
                <w:sz w:val="20"/>
                <w:szCs w:val="20"/>
                <w:color w:val="auto"/>
              </w:rPr>
            </w:pPr>
            <w:r>
              <w:rPr>
                <w:rFonts w:ascii="Verdana" w:cs="Verdana" w:eastAsia="Verdana" w:hAnsi="Verdana"/>
                <w:sz w:val="18"/>
                <w:szCs w:val="18"/>
                <w:color w:val="auto"/>
              </w:rPr>
              <w:t>Total noninterest income</w:t>
            </w:r>
          </w:p>
        </w:tc>
        <w:tc>
          <w:tcPr>
            <w:tcW w:w="2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35,000</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31,848</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3,152</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9.9 %</w:t>
            </w:r>
          </w:p>
        </w:tc>
      </w:tr>
      <w:tr>
        <w:trPr>
          <w:trHeight w:val="20"/>
        </w:trPr>
        <w:tc>
          <w:tcPr>
            <w:tcW w:w="484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620" w:type="dxa"/>
            <w:vAlign w:val="bottom"/>
            <w:tcBorders>
              <w:bottom w:val="single" w:sz="8" w:color="E0E7ED"/>
            </w:tcBorders>
          </w:tcPr>
          <w:p>
            <w:pPr>
              <w:spacing w:after="0" w:line="20" w:lineRule="exact"/>
              <w:rPr>
                <w:sz w:val="1"/>
                <w:szCs w:val="1"/>
                <w:color w:val="auto"/>
              </w:rPr>
            </w:pPr>
          </w:p>
        </w:tc>
      </w:tr>
      <w:tr>
        <w:trPr>
          <w:trHeight w:val="237"/>
        </w:trPr>
        <w:tc>
          <w:tcPr>
            <w:tcW w:w="484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1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620" w:type="dxa"/>
            <w:vAlign w:val="bottom"/>
            <w:shd w:val="clear" w:color="auto" w:fill="E0E7ED"/>
          </w:tcPr>
          <w:p>
            <w:pPr>
              <w:spacing w:after="0"/>
              <w:rPr>
                <w:sz w:val="20"/>
                <w:szCs w:val="20"/>
                <w:color w:val="auto"/>
              </w:rPr>
            </w:pPr>
          </w:p>
        </w:tc>
      </w:tr>
      <w:tr>
        <w:trPr>
          <w:trHeight w:val="257"/>
        </w:trPr>
        <w:tc>
          <w:tcPr>
            <w:tcW w:w="4840" w:type="dxa"/>
            <w:vAlign w:val="bottom"/>
          </w:tcPr>
          <w:p>
            <w:pPr>
              <w:ind w:left="20"/>
              <w:spacing w:after="0"/>
              <w:rPr>
                <w:sz w:val="20"/>
                <w:szCs w:val="20"/>
                <w:color w:val="auto"/>
              </w:rPr>
            </w:pPr>
            <w:r>
              <w:rPr>
                <w:rFonts w:ascii="Verdana" w:cs="Verdana" w:eastAsia="Verdana" w:hAnsi="Verdana"/>
                <w:sz w:val="18"/>
                <w:szCs w:val="18"/>
                <w:color w:val="auto"/>
              </w:rPr>
              <w:t>Assets under care as of period end</w:t>
            </w: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4"/>
              <w:spacing w:after="0"/>
              <w:rPr>
                <w:sz w:val="20"/>
                <w:szCs w:val="20"/>
                <w:color w:val="auto"/>
              </w:rPr>
            </w:pPr>
            <w:r>
              <w:rPr>
                <w:rFonts w:ascii="Verdana" w:cs="Verdana" w:eastAsia="Verdana" w:hAnsi="Verdana"/>
                <w:sz w:val="18"/>
                <w:szCs w:val="18"/>
                <w:color w:val="auto"/>
              </w:rPr>
              <w:t>12,762,786</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11,208,308</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1,554,478</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13.9 %</w:t>
            </w:r>
          </w:p>
        </w:tc>
      </w:tr>
    </w:tbl>
    <w:p>
      <w:pPr>
        <w:spacing w:after="0" w:line="278" w:lineRule="exact"/>
        <w:rPr>
          <w:sz w:val="20"/>
          <w:szCs w:val="20"/>
          <w:color w:val="auto"/>
        </w:rPr>
      </w:pPr>
    </w:p>
    <w:p>
      <w:pPr>
        <w:jc w:val="both"/>
        <w:spacing w:after="0" w:line="223" w:lineRule="auto"/>
        <w:rPr>
          <w:sz w:val="20"/>
          <w:szCs w:val="20"/>
          <w:color w:val="auto"/>
        </w:rPr>
      </w:pPr>
      <w:r>
        <w:rPr>
          <w:rFonts w:ascii="Verdana" w:cs="Verdana" w:eastAsia="Verdana" w:hAnsi="Verdana"/>
          <w:sz w:val="18"/>
          <w:szCs w:val="18"/>
          <w:color w:val="auto"/>
        </w:rPr>
        <w:t>Total noninterest income was $35.0 million for the three months ended March 31, 2024, an increase of 9.9% from the comparable period in 2023. Total noninterest income represented 31.6% of total revenue</w:t>
      </w:r>
      <w:r>
        <w:rPr>
          <w:rFonts w:ascii="Verdana" w:cs="Verdana" w:eastAsia="Verdana" w:hAnsi="Verdana"/>
          <w:sz w:val="23"/>
          <w:szCs w:val="23"/>
          <w:color w:val="auto"/>
          <w:vertAlign w:val="superscript"/>
        </w:rPr>
        <w:t>2</w:t>
      </w:r>
      <w:r>
        <w:rPr>
          <w:rFonts w:ascii="Verdana" w:cs="Verdana" w:eastAsia="Verdana" w:hAnsi="Verdana"/>
          <w:sz w:val="18"/>
          <w:szCs w:val="18"/>
          <w:color w:val="auto"/>
        </w:rPr>
        <w:t xml:space="preserve"> for the three months ended March 31, 2024, compared to 27.1% for the comparable period in 2023.</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Combined, revenues from wealth management fees and payment technology solutions represented 60.7% of Busey’s noninterest income for the three months ended March 31, 2024, providing a complement to spread-based revenue from traditional banking activities. On a combined basis, revenue from these two critical operating areas was $21.3 million for the three months ended March 31, 2024, a 5.7% increase from the comparable period in 2023.</w:t>
      </w:r>
    </w:p>
    <w:p>
      <w:pPr>
        <w:spacing w:after="0" w:line="17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Wealth management fees were $15.5 million for the three months ended March 31, 2024, a 5.1% increase from the comparable period in 2023. Busey’s Wealth Management division ended the first quarter of 2024 with $12.8 billion in assets under care, an increase of 13.9% from the comparable period in 2023. Our portfolio management team continues to focus on long-term returns and managing risk in the face of volatile markets.</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Payment technology solutions revenue relates to our payment processing company, FirsTech. Payment technology solutions revenue was $5.7 million for the three months ended March 31, 2024, a 7.4% increase from the comparable period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714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5" w:lineRule="exact"/>
        <w:rPr>
          <w:sz w:val="20"/>
          <w:szCs w:val="20"/>
          <w:color w:val="auto"/>
        </w:rPr>
      </w:pPr>
    </w:p>
    <w:p>
      <w:pPr>
        <w:ind w:left="140" w:hanging="132"/>
        <w:spacing w:after="0"/>
        <w:tabs>
          <w:tab w:leader="none" w:pos="140" w:val="left"/>
        </w:tabs>
        <w:numPr>
          <w:ilvl w:val="0"/>
          <w:numId w:val="20"/>
        </w:numPr>
        <w:rPr>
          <w:rFonts w:ascii="Verdana" w:cs="Verdana" w:eastAsia="Verdana" w:hAnsi="Verdana"/>
          <w:sz w:val="23"/>
          <w:szCs w:val="23"/>
          <w:color w:val="auto"/>
          <w:vertAlign w:val="superscript"/>
        </w:rPr>
      </w:pPr>
      <w:r>
        <w:rPr>
          <w:rFonts w:ascii="Verdana" w:cs="Verdana" w:eastAsia="Verdana" w:hAnsi="Verdana"/>
          <w:sz w:val="13"/>
          <w:szCs w:val="13"/>
          <w:color w:val="auto"/>
        </w:rPr>
        <w:t>Total revenue consists of net interest income plus noninterest income.</w:t>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71" w:name="page72"/>
    <w:bookmarkEnd w:id="7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Fees for customer services were $7.1 million for the three months ended March 31, 2024, a 3.5% increase from the comparable period in 2023.</w:t>
      </w:r>
    </w:p>
    <w:p>
      <w:pPr>
        <w:spacing w:after="0" w:line="14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Mortgage revenue was $0.7 million for the three months ended March 31, 2024, a 159.0% increase from the comparable period in 2023, primarily based on sold- loan mortgage volume. General economic conditions and interest rate volatility may impact future fee income. The sale of the mortgage servicing rights completed during the first quarter of 2024 is expected to reduce mortgage revenue by an average of $0.2 million per quarter for the remainder of the year.</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Income on bank owned life insurance was $1.4 million for the three months ended March 31, 2024, a 14.1% decrease from the comparable period in 2023, as a result of a $0.3 million decrease in earnings on death proceeds and a $0.1 million increase in the cash surrender value of the insurance policies.</w:t>
      </w:r>
    </w:p>
    <w:p>
      <w:pPr>
        <w:spacing w:after="0" w:line="16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A realized gain on the sale of mortgage servicing rights was recognized in connection with our strategic two-part balance sheet repositioning completed during the first quarter of 2024. For more information,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Management’s Discussion and</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Analysis of Financial Condition and Results of Operations—Busey executed a two-part balance sheet repositioning strategy</w:t>
      </w:r>
      <w:r>
        <w:rPr>
          <w:rFonts w:ascii="Verdana" w:cs="Verdana" w:eastAsia="Verdana" w:hAnsi="Verdana"/>
          <w:sz w:val="18"/>
          <w:szCs w:val="18"/>
          <w:i w:val="1"/>
          <w:iCs w:val="1"/>
          <w:color w:val="000000"/>
        </w:rPr>
        <w:t>.”</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Other income was $3.4 million for the three months ended March 31, 2024, a 4.5% decrease from the comparable period in 2023. Fluctuations were primarily attributable to increased income recognized on venture capital investments and higher gains on commercial loan sales, offset by lower income on swap origination fees and reductions in gains on fixed asset disposals.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2" w:name="page73"/>
    <w:bookmarkEnd w:id="7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Noninterest Expense</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Changes in noninterest expense are summarized as follows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00" w:type="dxa"/>
            <w:vAlign w:val="bottom"/>
            <w:gridSpan w:val="5"/>
          </w:tcPr>
          <w:p>
            <w:pPr>
              <w:ind w:left="240"/>
              <w:spacing w:after="0"/>
              <w:rPr>
                <w:sz w:val="20"/>
                <w:szCs w:val="20"/>
                <w:color w:val="auto"/>
              </w:rPr>
            </w:pPr>
            <w:r>
              <w:rPr>
                <w:rFonts w:ascii="Verdana" w:cs="Verdana" w:eastAsia="Verdana" w:hAnsi="Verdana"/>
                <w:sz w:val="13"/>
                <w:szCs w:val="13"/>
                <w:b w:val="1"/>
                <w:bCs w:val="1"/>
                <w:color w:val="auto"/>
              </w:rPr>
              <w:t>Three Months Ended March 31,</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0"/>
        </w:trPr>
        <w:tc>
          <w:tcPr>
            <w:tcW w:w="4660" w:type="dxa"/>
            <w:vAlign w:val="bottom"/>
            <w:tcBorders>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53"/>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2"/>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Borders>
              <w:bottom w:val="single" w:sz="8" w:color="E0E7ED"/>
            </w:tcBorders>
          </w:tcPr>
          <w:p>
            <w:pPr>
              <w:spacing w:after="0"/>
              <w:rPr>
                <w:sz w:val="14"/>
                <w:szCs w:val="14"/>
                <w:color w:val="auto"/>
              </w:rPr>
            </w:pPr>
          </w:p>
        </w:tc>
        <w:tc>
          <w:tcPr>
            <w:tcW w:w="1600" w:type="dxa"/>
            <w:vAlign w:val="bottom"/>
            <w:tcBorders>
              <w:bottom w:val="single" w:sz="8" w:color="auto"/>
            </w:tcBorders>
          </w:tcPr>
          <w:p>
            <w:pPr>
              <w:jc w:val="right"/>
              <w:ind w:right="37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6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expense</w:t>
            </w:r>
          </w:p>
        </w:tc>
        <w:tc>
          <w:tcPr>
            <w:tcW w:w="36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0" w:type="dxa"/>
            <w:vAlign w:val="bottom"/>
            <w:shd w:val="clear" w:color="auto" w:fill="E0E7ED"/>
          </w:tcPr>
          <w:p>
            <w:pPr>
              <w:spacing w:after="0"/>
              <w:rPr>
                <w:sz w:val="22"/>
                <w:szCs w:val="22"/>
                <w:color w:val="auto"/>
              </w:rPr>
            </w:pPr>
          </w:p>
        </w:tc>
      </w:tr>
      <w:tr>
        <w:trPr>
          <w:trHeight w:val="263"/>
        </w:trPr>
        <w:tc>
          <w:tcPr>
            <w:tcW w:w="4660" w:type="dxa"/>
            <w:vAlign w:val="bottom"/>
          </w:tcPr>
          <w:p>
            <w:pPr>
              <w:ind w:left="180"/>
              <w:spacing w:after="0"/>
              <w:rPr>
                <w:sz w:val="20"/>
                <w:szCs w:val="20"/>
                <w:color w:val="auto"/>
              </w:rPr>
            </w:pPr>
            <w:r>
              <w:rPr>
                <w:rFonts w:ascii="Verdana" w:cs="Verdana" w:eastAsia="Verdana" w:hAnsi="Verdana"/>
                <w:sz w:val="18"/>
                <w:szCs w:val="18"/>
                <w:color w:val="auto"/>
              </w:rPr>
              <w:t>Salaries, wages, and employee benefits</w:t>
            </w: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93"/>
              <w:spacing w:after="0"/>
              <w:rPr>
                <w:sz w:val="20"/>
                <w:szCs w:val="20"/>
                <w:color w:val="auto"/>
              </w:rPr>
            </w:pPr>
            <w:r>
              <w:rPr>
                <w:rFonts w:ascii="Verdana" w:cs="Verdana" w:eastAsia="Verdana" w:hAnsi="Verdana"/>
                <w:sz w:val="18"/>
                <w:szCs w:val="18"/>
                <w:color w:val="auto"/>
              </w:rPr>
              <w:t>42,090</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40,331</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ind w:right="12"/>
              <w:spacing w:after="0"/>
              <w:rPr>
                <w:sz w:val="20"/>
                <w:szCs w:val="20"/>
                <w:color w:val="auto"/>
              </w:rPr>
            </w:pPr>
            <w:r>
              <w:rPr>
                <w:rFonts w:ascii="Verdana" w:cs="Verdana" w:eastAsia="Verdana" w:hAnsi="Verdana"/>
                <w:sz w:val="18"/>
                <w:szCs w:val="18"/>
                <w:color w:val="auto"/>
              </w:rPr>
              <w:t>1,759</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4.4 %</w:t>
            </w:r>
          </w:p>
        </w:tc>
      </w:tr>
      <w:tr>
        <w:trPr>
          <w:trHeight w:val="277"/>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Data processing</w:t>
            </w: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6,550</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5,640</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910</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16.1 %</w:t>
            </w:r>
          </w:p>
        </w:tc>
      </w:tr>
      <w:tr>
        <w:trPr>
          <w:trHeight w:val="270"/>
        </w:trPr>
        <w:tc>
          <w:tcPr>
            <w:tcW w:w="4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Premises expenses:</w:t>
            </w:r>
          </w:p>
        </w:tc>
        <w:tc>
          <w:tcPr>
            <w:tcW w:w="36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600" w:type="dxa"/>
            <w:vAlign w:val="bottom"/>
            <w:shd w:val="clear" w:color="auto" w:fill="E0E7ED"/>
          </w:tcPr>
          <w:p>
            <w:pPr>
              <w:spacing w:after="0"/>
              <w:rPr>
                <w:sz w:val="23"/>
                <w:szCs w:val="23"/>
                <w:color w:val="auto"/>
              </w:rPr>
            </w:pPr>
          </w:p>
        </w:tc>
      </w:tr>
      <w:tr>
        <w:trPr>
          <w:trHeight w:val="263"/>
        </w:trPr>
        <w:tc>
          <w:tcPr>
            <w:tcW w:w="4660" w:type="dxa"/>
            <w:vAlign w:val="bottom"/>
          </w:tcPr>
          <w:p>
            <w:pPr>
              <w:ind w:left="360"/>
              <w:spacing w:after="0"/>
              <w:rPr>
                <w:sz w:val="20"/>
                <w:szCs w:val="20"/>
                <w:color w:val="auto"/>
              </w:rPr>
            </w:pPr>
            <w:r>
              <w:rPr>
                <w:rFonts w:ascii="Verdana" w:cs="Verdana" w:eastAsia="Verdana" w:hAnsi="Verdana"/>
                <w:sz w:val="18"/>
                <w:szCs w:val="18"/>
                <w:color w:val="auto"/>
              </w:rPr>
              <w:t>Net occupancy expense of premises</w:t>
            </w:r>
          </w:p>
        </w:tc>
        <w:tc>
          <w:tcPr>
            <w:tcW w:w="360" w:type="dxa"/>
            <w:vAlign w:val="bottom"/>
          </w:tcPr>
          <w:p>
            <w:pPr>
              <w:spacing w:after="0"/>
              <w:rPr>
                <w:sz w:val="22"/>
                <w:szCs w:val="22"/>
                <w:color w:val="auto"/>
              </w:rPr>
            </w:pPr>
          </w:p>
        </w:tc>
        <w:tc>
          <w:tcPr>
            <w:tcW w:w="1280" w:type="dxa"/>
            <w:vAlign w:val="bottom"/>
          </w:tcPr>
          <w:p>
            <w:pPr>
              <w:jc w:val="right"/>
              <w:ind w:right="193"/>
              <w:spacing w:after="0"/>
              <w:rPr>
                <w:sz w:val="20"/>
                <w:szCs w:val="20"/>
                <w:color w:val="auto"/>
              </w:rPr>
            </w:pPr>
            <w:r>
              <w:rPr>
                <w:rFonts w:ascii="Verdana" w:cs="Verdana" w:eastAsia="Verdana" w:hAnsi="Verdana"/>
                <w:sz w:val="18"/>
                <w:szCs w:val="18"/>
                <w:color w:val="auto"/>
              </w:rPr>
              <w:t>4,720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4,762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(42)</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(0.9)%</w:t>
            </w:r>
          </w:p>
        </w:tc>
      </w:tr>
      <w:tr>
        <w:trPr>
          <w:trHeight w:val="277"/>
        </w:trPr>
        <w:tc>
          <w:tcPr>
            <w:tcW w:w="46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Furniture and equipment expenses</w:t>
            </w:r>
          </w:p>
        </w:tc>
        <w:tc>
          <w:tcPr>
            <w:tcW w:w="36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1,813</w:t>
            </w:r>
          </w:p>
        </w:tc>
        <w:tc>
          <w:tcPr>
            <w:tcW w:w="100" w:type="dxa"/>
            <w:vAlign w:val="bottom"/>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1,746</w:t>
            </w:r>
          </w:p>
        </w:tc>
        <w:tc>
          <w:tcPr>
            <w:tcW w:w="100" w:type="dxa"/>
            <w:vAlign w:val="bottom"/>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spacing w:after="0"/>
              <w:rPr>
                <w:sz w:val="24"/>
                <w:szCs w:val="24"/>
                <w:color w:val="auto"/>
              </w:rPr>
            </w:pPr>
          </w:p>
        </w:tc>
        <w:tc>
          <w:tcPr>
            <w:tcW w:w="114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67</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3.8 %</w:t>
            </w:r>
          </w:p>
        </w:tc>
      </w:tr>
      <w:tr>
        <w:trPr>
          <w:trHeight w:val="218"/>
        </w:trPr>
        <w:tc>
          <w:tcPr>
            <w:tcW w:w="4660" w:type="dxa"/>
            <w:vAlign w:val="bottom"/>
          </w:tcPr>
          <w:p>
            <w:pPr>
              <w:ind w:left="180"/>
              <w:spacing w:after="0" w:line="217" w:lineRule="exact"/>
              <w:rPr>
                <w:sz w:val="20"/>
                <w:szCs w:val="20"/>
                <w:color w:val="auto"/>
              </w:rPr>
            </w:pPr>
            <w:r>
              <w:rPr>
                <w:rFonts w:ascii="Verdana" w:cs="Verdana" w:eastAsia="Verdana" w:hAnsi="Verdana"/>
                <w:sz w:val="18"/>
                <w:szCs w:val="18"/>
                <w:color w:val="auto"/>
              </w:rPr>
              <w:t>Combined, net occupancy expense of premises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2"/>
        </w:trPr>
        <w:tc>
          <w:tcPr>
            <w:tcW w:w="4660" w:type="dxa"/>
            <w:vAlign w:val="bottom"/>
          </w:tcPr>
          <w:p>
            <w:pPr>
              <w:ind w:left="180"/>
              <w:spacing w:after="0"/>
              <w:rPr>
                <w:sz w:val="20"/>
                <w:szCs w:val="20"/>
                <w:color w:val="auto"/>
              </w:rPr>
            </w:pPr>
            <w:r>
              <w:rPr>
                <w:rFonts w:ascii="Verdana" w:cs="Verdana" w:eastAsia="Verdana" w:hAnsi="Verdana"/>
                <w:sz w:val="18"/>
                <w:szCs w:val="18"/>
                <w:color w:val="auto"/>
              </w:rPr>
              <w:t>and furniture and equipment expenses</w:t>
            </w:r>
          </w:p>
        </w:tc>
        <w:tc>
          <w:tcPr>
            <w:tcW w:w="360" w:type="dxa"/>
            <w:vAlign w:val="bottom"/>
          </w:tcPr>
          <w:p>
            <w:pPr>
              <w:spacing w:after="0"/>
              <w:rPr>
                <w:sz w:val="21"/>
                <w:szCs w:val="21"/>
                <w:color w:val="auto"/>
              </w:rPr>
            </w:pPr>
          </w:p>
        </w:tc>
        <w:tc>
          <w:tcPr>
            <w:tcW w:w="1280" w:type="dxa"/>
            <w:vAlign w:val="bottom"/>
          </w:tcPr>
          <w:p>
            <w:pPr>
              <w:jc w:val="right"/>
              <w:ind w:right="193"/>
              <w:spacing w:after="0"/>
              <w:rPr>
                <w:sz w:val="20"/>
                <w:szCs w:val="20"/>
                <w:color w:val="auto"/>
              </w:rPr>
            </w:pPr>
            <w:r>
              <w:rPr>
                <w:rFonts w:ascii="Verdana" w:cs="Verdana" w:eastAsia="Verdana" w:hAnsi="Verdana"/>
                <w:sz w:val="18"/>
                <w:szCs w:val="18"/>
                <w:color w:val="auto"/>
              </w:rPr>
              <w:t>6,533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6,508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Verdana" w:cs="Verdana" w:eastAsia="Verdana" w:hAnsi="Verdana"/>
                <w:sz w:val="18"/>
                <w:szCs w:val="18"/>
                <w:color w:val="auto"/>
              </w:rPr>
              <w:t>25</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0.4 %</w:t>
            </w:r>
          </w:p>
        </w:tc>
      </w:tr>
      <w:tr>
        <w:trPr>
          <w:trHeight w:val="277"/>
        </w:trPr>
        <w:tc>
          <w:tcPr>
            <w:tcW w:w="466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00" w:type="dxa"/>
            <w:vAlign w:val="bottom"/>
            <w:shd w:val="clear" w:color="auto" w:fill="E0E7ED"/>
          </w:tcPr>
          <w:p>
            <w:pPr>
              <w:spacing w:after="0"/>
              <w:rPr>
                <w:sz w:val="24"/>
                <w:szCs w:val="24"/>
                <w:color w:val="auto"/>
              </w:rPr>
            </w:pPr>
          </w:p>
        </w:tc>
      </w:tr>
      <w:tr>
        <w:trPr>
          <w:trHeight w:val="263"/>
        </w:trPr>
        <w:tc>
          <w:tcPr>
            <w:tcW w:w="4660" w:type="dxa"/>
            <w:vAlign w:val="bottom"/>
          </w:tcPr>
          <w:p>
            <w:pPr>
              <w:ind w:left="180"/>
              <w:spacing w:after="0"/>
              <w:rPr>
                <w:sz w:val="20"/>
                <w:szCs w:val="20"/>
                <w:color w:val="auto"/>
              </w:rPr>
            </w:pPr>
            <w:r>
              <w:rPr>
                <w:rFonts w:ascii="Verdana" w:cs="Verdana" w:eastAsia="Verdana" w:hAnsi="Verdana"/>
                <w:sz w:val="18"/>
                <w:szCs w:val="18"/>
                <w:color w:val="auto"/>
              </w:rPr>
              <w:t>Professional fees</w:t>
            </w:r>
          </w:p>
        </w:tc>
        <w:tc>
          <w:tcPr>
            <w:tcW w:w="360" w:type="dxa"/>
            <w:vAlign w:val="bottom"/>
          </w:tcPr>
          <w:p>
            <w:pPr>
              <w:spacing w:after="0"/>
              <w:rPr>
                <w:sz w:val="22"/>
                <w:szCs w:val="22"/>
                <w:color w:val="auto"/>
              </w:rPr>
            </w:pPr>
          </w:p>
        </w:tc>
        <w:tc>
          <w:tcPr>
            <w:tcW w:w="1280" w:type="dxa"/>
            <w:vAlign w:val="bottom"/>
          </w:tcPr>
          <w:p>
            <w:pPr>
              <w:jc w:val="right"/>
              <w:ind w:right="193"/>
              <w:spacing w:after="0"/>
              <w:rPr>
                <w:sz w:val="20"/>
                <w:szCs w:val="20"/>
                <w:color w:val="auto"/>
              </w:rPr>
            </w:pPr>
            <w:r>
              <w:rPr>
                <w:rFonts w:ascii="Verdana" w:cs="Verdana" w:eastAsia="Verdana" w:hAnsi="Verdana"/>
                <w:sz w:val="18"/>
                <w:szCs w:val="18"/>
                <w:color w:val="auto"/>
              </w:rPr>
              <w:t>2,253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2,058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Verdana" w:cs="Verdana" w:eastAsia="Verdana" w:hAnsi="Verdana"/>
                <w:sz w:val="18"/>
                <w:szCs w:val="18"/>
                <w:color w:val="auto"/>
              </w:rPr>
              <w:t>195</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9.5 %</w:t>
            </w:r>
          </w:p>
        </w:tc>
      </w:tr>
      <w:tr>
        <w:trPr>
          <w:trHeight w:val="277"/>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intangible assets</w:t>
            </w: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2,409</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2,729</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(320)</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(11.7)%</w:t>
            </w:r>
          </w:p>
        </w:tc>
      </w:tr>
      <w:tr>
        <w:trPr>
          <w:trHeight w:val="263"/>
        </w:trPr>
        <w:tc>
          <w:tcPr>
            <w:tcW w:w="4660" w:type="dxa"/>
            <w:vAlign w:val="bottom"/>
          </w:tcPr>
          <w:p>
            <w:pPr>
              <w:ind w:left="180"/>
              <w:spacing w:after="0"/>
              <w:rPr>
                <w:sz w:val="20"/>
                <w:szCs w:val="20"/>
                <w:color w:val="auto"/>
              </w:rPr>
            </w:pPr>
            <w:r>
              <w:rPr>
                <w:rFonts w:ascii="Verdana" w:cs="Verdana" w:eastAsia="Verdana" w:hAnsi="Verdana"/>
                <w:sz w:val="18"/>
                <w:szCs w:val="18"/>
                <w:color w:val="auto"/>
              </w:rPr>
              <w:t>Interchange expense</w:t>
            </w:r>
          </w:p>
        </w:tc>
        <w:tc>
          <w:tcPr>
            <w:tcW w:w="360" w:type="dxa"/>
            <w:vAlign w:val="bottom"/>
          </w:tcPr>
          <w:p>
            <w:pPr>
              <w:spacing w:after="0"/>
              <w:rPr>
                <w:sz w:val="22"/>
                <w:szCs w:val="22"/>
                <w:color w:val="auto"/>
              </w:rPr>
            </w:pPr>
          </w:p>
        </w:tc>
        <w:tc>
          <w:tcPr>
            <w:tcW w:w="1280" w:type="dxa"/>
            <w:vAlign w:val="bottom"/>
          </w:tcPr>
          <w:p>
            <w:pPr>
              <w:jc w:val="right"/>
              <w:ind w:right="193"/>
              <w:spacing w:after="0"/>
              <w:rPr>
                <w:sz w:val="20"/>
                <w:szCs w:val="20"/>
                <w:color w:val="auto"/>
              </w:rPr>
            </w:pPr>
            <w:r>
              <w:rPr>
                <w:rFonts w:ascii="Verdana" w:cs="Verdana" w:eastAsia="Verdana" w:hAnsi="Verdana"/>
                <w:sz w:val="18"/>
                <w:szCs w:val="18"/>
                <w:color w:val="auto"/>
              </w:rPr>
              <w:t>1,611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1,853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(242)</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(13.1)%</w:t>
            </w:r>
          </w:p>
        </w:tc>
      </w:tr>
      <w:tr>
        <w:trPr>
          <w:trHeight w:val="277"/>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FDIC insurance</w:t>
            </w: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1,400</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1,502</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(6.8)%</w:t>
            </w:r>
          </w:p>
        </w:tc>
      </w:tr>
      <w:tr>
        <w:trPr>
          <w:trHeight w:val="263"/>
        </w:trPr>
        <w:tc>
          <w:tcPr>
            <w:tcW w:w="46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 expense</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7,923</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9,782</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(1,859)</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(19.0)%</w:t>
            </w:r>
          </w:p>
        </w:tc>
      </w:tr>
      <w:tr>
        <w:trPr>
          <w:trHeight w:val="295"/>
        </w:trPr>
        <w:tc>
          <w:tcPr>
            <w:tcW w:w="46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noninterest expense</w:t>
            </w: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70,769</w:t>
            </w: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70,403</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366</w:t>
            </w:r>
          </w:p>
        </w:tc>
        <w:tc>
          <w:tcPr>
            <w:tcW w:w="168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0.5 %</w:t>
            </w:r>
          </w:p>
        </w:tc>
      </w:tr>
      <w:tr>
        <w:trPr>
          <w:trHeight w:val="20"/>
        </w:trPr>
        <w:tc>
          <w:tcPr>
            <w:tcW w:w="466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0" w:type="dxa"/>
            <w:vAlign w:val="bottom"/>
            <w:tcBorders>
              <w:top w:val="single" w:sz="8" w:color="E0E7ED"/>
            </w:tcBorders>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70"/>
        </w:trPr>
        <w:tc>
          <w:tcPr>
            <w:tcW w:w="46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Income taxes</w:t>
            </w: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8,735</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9,563</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(828)</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(8.7)%</w:t>
            </w:r>
          </w:p>
        </w:tc>
      </w:tr>
      <w:tr>
        <w:trPr>
          <w:trHeight w:val="263"/>
        </w:trPr>
        <w:tc>
          <w:tcPr>
            <w:tcW w:w="4660" w:type="dxa"/>
            <w:vAlign w:val="bottom"/>
          </w:tcPr>
          <w:p>
            <w:pPr>
              <w:ind w:left="20"/>
              <w:spacing w:after="0"/>
              <w:rPr>
                <w:sz w:val="20"/>
                <w:szCs w:val="20"/>
                <w:color w:val="auto"/>
              </w:rPr>
            </w:pPr>
            <w:r>
              <w:rPr>
                <w:rFonts w:ascii="Verdana" w:cs="Verdana" w:eastAsia="Verdana" w:hAnsi="Verdana"/>
                <w:sz w:val="18"/>
                <w:szCs w:val="18"/>
                <w:color w:val="auto"/>
              </w:rPr>
              <w:t>Effective income tax rate</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25.0 %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20.6 %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440 bps</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7"/>
        </w:trPr>
        <w:tc>
          <w:tcPr>
            <w:tcW w:w="466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00" w:type="dxa"/>
            <w:vAlign w:val="bottom"/>
            <w:shd w:val="clear" w:color="auto" w:fill="E0E7ED"/>
          </w:tcPr>
          <w:p>
            <w:pPr>
              <w:spacing w:after="0"/>
              <w:rPr>
                <w:sz w:val="24"/>
                <w:szCs w:val="24"/>
                <w:color w:val="auto"/>
              </w:rPr>
            </w:pPr>
          </w:p>
        </w:tc>
      </w:tr>
      <w:tr>
        <w:trPr>
          <w:trHeight w:val="263"/>
        </w:trPr>
        <w:tc>
          <w:tcPr>
            <w:tcW w:w="4660" w:type="dxa"/>
            <w:vAlign w:val="bottom"/>
          </w:tcPr>
          <w:p>
            <w:pPr>
              <w:ind w:left="20"/>
              <w:spacing w:after="0"/>
              <w:rPr>
                <w:sz w:val="20"/>
                <w:szCs w:val="20"/>
                <w:color w:val="auto"/>
              </w:rPr>
            </w:pPr>
            <w:r>
              <w:rPr>
                <w:rFonts w:ascii="Verdana" w:cs="Verdana" w:eastAsia="Verdana" w:hAnsi="Verdana"/>
                <w:sz w:val="18"/>
                <w:szCs w:val="18"/>
                <w:color w:val="auto"/>
              </w:rPr>
              <w:t>Efficiency ratio</w:t>
            </w:r>
            <w:r>
              <w:rPr>
                <w:rFonts w:ascii="Verdana" w:cs="Verdana" w:eastAsia="Verdana" w:hAnsi="Verdana"/>
                <w:sz w:val="11"/>
                <w:szCs w:val="11"/>
                <w:color w:val="auto"/>
              </w:rPr>
              <w:t>1</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58.1 %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56.9 %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120 bps</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7"/>
        </w:trPr>
        <w:tc>
          <w:tcPr>
            <w:tcW w:w="46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efficiency ratio</w:t>
            </w:r>
            <w:r>
              <w:rPr>
                <w:rFonts w:ascii="Verdana" w:cs="Verdana" w:eastAsia="Verdana" w:hAnsi="Verdana"/>
                <w:sz w:val="11"/>
                <w:szCs w:val="11"/>
                <w:color w:val="auto"/>
              </w:rPr>
              <w:t>1</w:t>
            </w: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61.7 %</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56.9 %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480 bps</w:t>
            </w:r>
          </w:p>
        </w:tc>
        <w:tc>
          <w:tcPr>
            <w:tcW w:w="80" w:type="dxa"/>
            <w:vAlign w:val="bottom"/>
            <w:shd w:val="clear" w:color="auto" w:fill="E0E7ED"/>
          </w:tcPr>
          <w:p>
            <w:pPr>
              <w:spacing w:after="0"/>
              <w:rPr>
                <w:sz w:val="24"/>
                <w:szCs w:val="24"/>
                <w:color w:val="auto"/>
              </w:rPr>
            </w:pPr>
          </w:p>
        </w:tc>
        <w:tc>
          <w:tcPr>
            <w:tcW w:w="1600" w:type="dxa"/>
            <w:vAlign w:val="bottom"/>
            <w:shd w:val="clear" w:color="auto" w:fill="E0E7ED"/>
          </w:tcPr>
          <w:p>
            <w:pPr>
              <w:spacing w:after="0"/>
              <w:rPr>
                <w:sz w:val="24"/>
                <w:szCs w:val="24"/>
                <w:color w:val="auto"/>
              </w:rPr>
            </w:pPr>
          </w:p>
        </w:tc>
      </w:tr>
      <w:tr>
        <w:trPr>
          <w:trHeight w:val="270"/>
        </w:trPr>
        <w:tc>
          <w:tcPr>
            <w:tcW w:w="4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46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Full-time equivalent associates as of period-end</w:t>
            </w:r>
          </w:p>
        </w:tc>
        <w:tc>
          <w:tcPr>
            <w:tcW w:w="360" w:type="dxa"/>
            <w:vAlign w:val="bottom"/>
            <w:shd w:val="clear" w:color="auto" w:fill="E0E7ED"/>
          </w:tcPr>
          <w:p>
            <w:pPr>
              <w:spacing w:after="0"/>
              <w:rPr>
                <w:sz w:val="23"/>
                <w:szCs w:val="23"/>
                <w:color w:val="auto"/>
              </w:rPr>
            </w:pPr>
          </w:p>
        </w:tc>
        <w:tc>
          <w:tcPr>
            <w:tcW w:w="128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1,464</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1,473</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(0.6)%</w:t>
            </w:r>
          </w:p>
        </w:tc>
      </w:tr>
      <w:tr>
        <w:trPr>
          <w:trHeight w:val="238"/>
        </w:trPr>
        <w:tc>
          <w:tcPr>
            <w:tcW w:w="4660" w:type="dxa"/>
            <w:vAlign w:val="bottom"/>
          </w:tcPr>
          <w:p>
            <w:pPr>
              <w:spacing w:after="0"/>
              <w:rPr>
                <w:sz w:val="20"/>
                <w:szCs w:val="20"/>
                <w:color w:val="auto"/>
              </w:rPr>
            </w:pPr>
            <w:r>
              <w:rPr>
                <w:rFonts w:ascii="Verdana" w:cs="Verdana" w:eastAsia="Verdana" w:hAnsi="Verdana"/>
                <w:sz w:val="13"/>
                <w:szCs w:val="13"/>
                <w:color w:val="auto"/>
              </w:rPr>
              <w:t>___________________________________________</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ind w:left="500" w:hanging="330"/>
        <w:spacing w:after="0" w:line="237" w:lineRule="auto"/>
        <w:tabs>
          <w:tab w:leader="none" w:pos="491" w:val="left"/>
        </w:tabs>
        <w:numPr>
          <w:ilvl w:val="0"/>
          <w:numId w:val="21"/>
        </w:numPr>
        <w:rPr>
          <w:rFonts w:ascii="Verdana" w:cs="Verdana" w:eastAsia="Verdana" w:hAnsi="Verdana"/>
          <w:sz w:val="13"/>
          <w:szCs w:val="13"/>
          <w:color w:val="auto"/>
        </w:rPr>
      </w:pPr>
      <w:r>
        <w:rPr>
          <w:rFonts w:ascii="Verdana" w:cs="Verdana" w:eastAsia="Verdana" w:hAnsi="Verdana"/>
          <w:sz w:val="13"/>
          <w:szCs w:val="13"/>
          <w:color w:val="auto"/>
        </w:rPr>
        <w:t xml:space="preserve">The efficiency ratio and adjusted efficiency ratio are non-GAAP financial measures. For a reconciliation of non-GAAP measures to the most directly comparable financial GAAP measures, see </w:t>
      </w:r>
      <w:r>
        <w:rPr>
          <w:rFonts w:ascii="Verdana" w:cs="Verdana" w:eastAsia="Verdana" w:hAnsi="Verdana"/>
          <w:sz w:val="13"/>
          <w:szCs w:val="13"/>
          <w:i w:val="1"/>
          <w:iCs w:val="1"/>
          <w:color w:val="auto"/>
        </w:rPr>
        <w:t>“</w:t>
      </w:r>
      <w:r>
        <w:rPr>
          <w:rFonts w:ascii="Verdana" w:cs="Verdana" w:eastAsia="Verdana" w:hAnsi="Verdana"/>
          <w:sz w:val="13"/>
          <w:szCs w:val="13"/>
          <w:i w:val="1"/>
          <w:iCs w:val="1"/>
          <w:u w:val="single" w:color="auto"/>
          <w:color w:val="0000FF"/>
        </w:rPr>
        <w:t>Item 2. Management’s Discussion and Analysis—Non-GAAP Financial Information</w:t>
      </w:r>
      <w:r>
        <w:rPr>
          <w:rFonts w:ascii="Verdana" w:cs="Verdana" w:eastAsia="Verdana" w:hAnsi="Verdana"/>
          <w:sz w:val="13"/>
          <w:szCs w:val="13"/>
          <w:i w:val="1"/>
          <w:iCs w:val="1"/>
          <w:color w:val="auto"/>
        </w:rPr>
        <w:t>”</w:t>
      </w:r>
      <w:r>
        <w:rPr>
          <w:rFonts w:ascii="Verdana" w:cs="Verdana" w:eastAsia="Verdana" w:hAnsi="Verdana"/>
          <w:sz w:val="13"/>
          <w:szCs w:val="13"/>
          <w:color w:val="auto"/>
        </w:rPr>
        <w:t xml:space="preserve"> included in this Quarterly Report.</w:t>
      </w:r>
    </w:p>
    <w:p>
      <w:pPr>
        <w:spacing w:after="0" w:line="17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Total noninterest expense was $70.8 million for the three months ended March 31, 2024, representing a modest 0.5% increase from the comparable period in 2023. We have effectively managed our noninterest expense during a time of decades-high inflation, and have been purposeful in our efforts to rationalize our expense base given our economic outlook and our view on the future of banking.</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Salaries, wages, and employee benefits were $42.1 million for the three months ended March 31, 2024, a 4.4% increase from the comparable period in 2023. Our total associate base consisted of 1,464 full-time equivalents as of March 31, 2024, compared to 1,473 full-time equivalents at March 31, 2023. Current trends continue to reflect a competitive labor market, maintaining pressure on costs related to attracting and maintaining our skilled workforce.</w:t>
      </w:r>
    </w:p>
    <w:p>
      <w:pPr>
        <w:spacing w:after="0" w:line="171"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Data processing expense was $6.6 million for the three months ended March 31, 2024, a 16.1% increase from the comparable period in 2023. Increases were primarily attributable to Company-wide investments in technology enhancements, as well as inflation-driven price increases.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3" w:name="page74"/>
    <w:bookmarkEnd w:id="7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Combined, net occupancy expense of premises and furniture and equipment expense totaled $6.5 million for the three months ended March 31, 2024, an 0.4% increase from the comparable period in 2023. Primary cost drivers in these expense categories include lease costs, repairs and maintenance, depreciation expense, real estate taxes, and utilities.</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Professional fees were $2.3 million for the three months ended March 31, 2024, a 9.5% increase from the comparable period in 2023. The three months ended March 31, 2024, includes $0.1 of non-operating costs related to the M&amp;M acquisition.</w:t>
      </w:r>
    </w:p>
    <w:p>
      <w:pPr>
        <w:spacing w:after="0" w:line="15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Amortization of intangible assets was $2.4 million for the three months ended March 31, 2024, an 11.7% decrease from the comparable period for 2023, due to the use of an accelerated amortization methodology.</w:t>
      </w:r>
    </w:p>
    <w:p>
      <w:pPr>
        <w:spacing w:after="0" w:line="158"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Interchange expense was $1.6 million for the three months ended March 31, 2024, a 13.1% decrease from the comparable period in 2023. Fluctuations in interchange expense relate to payment and volume activity at FirsTech.</w:t>
      </w:r>
    </w:p>
    <w:p>
      <w:pPr>
        <w:spacing w:after="0" w:line="144"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FDIC insurance expense was $1.4 million for the three months ended March 31, 2024, a 6.8% decrease from the comparable period in 2023.</w:t>
      </w:r>
    </w:p>
    <w:p>
      <w:pPr>
        <w:spacing w:after="0" w:line="144"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Other expense was $7.9 million for the three months ended March 31, 2024, a 19.0% decrease from the comparable period in 2023. In connection with Busey’s adoption of ASU 2023-02 on January 1, 2024, Busey began recording amortization of New Markets Tax Credits as income tax expense instead of other expense, which resulted in a $2.2 million decrease in other expense during the first quarter of 2024, compared to the first quarter of 2023. Further changes in other expense are attributable to multiple items, including the provision for unfunded commitments, sales of other real estate owned, marketing, and business development expenses.</w:t>
      </w:r>
    </w:p>
    <w:p>
      <w:pPr>
        <w:spacing w:after="0" w:line="172"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Efficiency Ratio</w:t>
      </w:r>
    </w:p>
    <w:p>
      <w:pPr>
        <w:spacing w:after="0" w:line="169" w:lineRule="exact"/>
        <w:rPr>
          <w:sz w:val="20"/>
          <w:szCs w:val="20"/>
          <w:color w:val="auto"/>
        </w:rPr>
      </w:pPr>
    </w:p>
    <w:p>
      <w:pPr>
        <w:jc w:val="both"/>
        <w:spacing w:after="0" w:line="213" w:lineRule="auto"/>
        <w:rPr>
          <w:sz w:val="20"/>
          <w:szCs w:val="20"/>
          <w:color w:val="auto"/>
        </w:rPr>
      </w:pPr>
      <w:r>
        <w:rPr>
          <w:rFonts w:ascii="Verdana" w:cs="Verdana" w:eastAsia="Verdana" w:hAnsi="Verdana"/>
          <w:sz w:val="18"/>
          <w:szCs w:val="18"/>
          <w:color w:val="auto"/>
        </w:rPr>
        <w:t>The efficiency ratio</w:t>
      </w:r>
      <w:r>
        <w:rPr>
          <w:rFonts w:ascii="Verdana" w:cs="Verdana" w:eastAsia="Verdana" w:hAnsi="Verdana"/>
          <w:sz w:val="23"/>
          <w:szCs w:val="23"/>
          <w:color w:val="auto"/>
          <w:vertAlign w:val="superscript"/>
        </w:rPr>
        <w:t>3</w:t>
      </w:r>
      <w:r>
        <w:rPr>
          <w:rFonts w:ascii="Verdana" w:cs="Verdana" w:eastAsia="Verdana" w:hAnsi="Verdana"/>
          <w:sz w:val="18"/>
          <w:szCs w:val="18"/>
          <w:color w:val="auto"/>
        </w:rPr>
        <w:t>, which is a measure commonly used by management and the banking industry, measures the amount of expense incurred to generate a dollar of revenue. Our efficiency ratio was 58.1% for the three months ended March 31, 2024, compared to 56.9% for the three months ended March 31, 2023. Our adjusted efficiency ratio</w:t>
      </w:r>
      <w:r>
        <w:rPr>
          <w:rFonts w:ascii="Verdana" w:cs="Verdana" w:eastAsia="Verdana" w:hAnsi="Verdana"/>
          <w:sz w:val="23"/>
          <w:szCs w:val="23"/>
          <w:color w:val="auto"/>
          <w:vertAlign w:val="superscript"/>
        </w:rPr>
        <w:t>3</w:t>
      </w:r>
      <w:r>
        <w:rPr>
          <w:rFonts w:ascii="Verdana" w:cs="Verdana" w:eastAsia="Verdana" w:hAnsi="Verdana"/>
          <w:sz w:val="18"/>
          <w:szCs w:val="18"/>
          <w:color w:val="auto"/>
        </w:rPr>
        <w:t xml:space="preserve"> was 61.7% for the three months ended March 31, 2024, compared to 56.9% for three months ended March 31, 2023.</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Taxes</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The effective income tax rate of 25.0% for the three months ended March 31, 2024, was lower than the combined federal and state statutory rate of approximately 28.0% due to tax exempt interest income, such as municipal bond interest and bank owned life insurance income. The effective tax rate was higher in the first quarter of 2024 compared to previous quarters due to the adoption of ASU 2023-02 in January 2024. We continue to monitor evolving federal and state tax legislation and its potential impact on operations on an ongoing basis. As of March 31, 2024, we were not under income tax examination by any income tax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1714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96" w:lineRule="exact"/>
        <w:rPr>
          <w:sz w:val="20"/>
          <w:szCs w:val="20"/>
          <w:color w:val="auto"/>
        </w:rPr>
      </w:pPr>
    </w:p>
    <w:p>
      <w:pPr>
        <w:ind w:right="20" w:firstLine="8"/>
        <w:spacing w:after="0" w:line="189" w:lineRule="auto"/>
        <w:tabs>
          <w:tab w:leader="none" w:pos="137" w:val="left"/>
        </w:tabs>
        <w:numPr>
          <w:ilvl w:val="0"/>
          <w:numId w:val="22"/>
        </w:numPr>
        <w:rPr>
          <w:rFonts w:ascii="Verdana" w:cs="Verdana" w:eastAsia="Verdana" w:hAnsi="Verdana"/>
          <w:sz w:val="22"/>
          <w:szCs w:val="22"/>
          <w:color w:val="auto"/>
          <w:vertAlign w:val="superscript"/>
        </w:rPr>
      </w:pPr>
      <w:r>
        <w:rPr>
          <w:rFonts w:ascii="Verdana" w:cs="Verdana" w:eastAsia="Verdana" w:hAnsi="Verdana"/>
          <w:sz w:val="12"/>
          <w:szCs w:val="12"/>
          <w:color w:val="auto"/>
        </w:rPr>
        <w:t xml:space="preserve">The efficiency ratio and adjusted efficiency ratio are non-GAAP financial measures. For a reconciliation of non-GAAP measures to the most directly comparable GAAP financial measures, see </w:t>
      </w:r>
      <w:r>
        <w:rPr>
          <w:rFonts w:ascii="Verdana" w:cs="Verdana" w:eastAsia="Verdana" w:hAnsi="Verdana"/>
          <w:sz w:val="12"/>
          <w:szCs w:val="12"/>
          <w:i w:val="1"/>
          <w:iCs w:val="1"/>
          <w:color w:val="auto"/>
        </w:rPr>
        <w:t>“</w:t>
      </w:r>
      <w:r>
        <w:rPr>
          <w:rFonts w:ascii="Verdana" w:cs="Verdana" w:eastAsia="Verdana" w:hAnsi="Verdana"/>
          <w:sz w:val="12"/>
          <w:szCs w:val="12"/>
          <w:i w:val="1"/>
          <w:iCs w:val="1"/>
          <w:u w:val="single" w:color="auto"/>
          <w:color w:val="0000FF"/>
        </w:rPr>
        <w:t>Item 2. Management’s Discussion and Analysis—Non-GAAP Financial Information</w:t>
      </w:r>
      <w:r>
        <w:rPr>
          <w:rFonts w:ascii="Verdana" w:cs="Verdana" w:eastAsia="Verdana" w:hAnsi="Verdana"/>
          <w:sz w:val="12"/>
          <w:szCs w:val="12"/>
          <w:i w:val="1"/>
          <w:iCs w:val="1"/>
          <w:color w:val="auto"/>
        </w:rPr>
        <w:t>”</w:t>
      </w:r>
      <w:r>
        <w:rPr>
          <w:rFonts w:ascii="Verdana" w:cs="Verdana" w:eastAsia="Verdana" w:hAnsi="Verdana"/>
          <w:sz w:val="12"/>
          <w:szCs w:val="12"/>
          <w:color w:val="auto"/>
        </w:rPr>
        <w:t xml:space="preserve"> included in this Quarterly Report.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4" w:name="page75"/>
    <w:bookmarkEnd w:id="7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FINANCIAL CONDITION</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Balance Sheet</w:t>
      </w:r>
    </w:p>
    <w:p>
      <w:pPr>
        <w:spacing w:after="0" w:line="17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Changes in significant items included in our Consolidated Balance Sheets (Unaudited) are summarized as follows as of each of the dates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March 31,</w:t>
            </w:r>
          </w:p>
        </w:tc>
        <w:tc>
          <w:tcPr>
            <w:tcW w:w="200" w:type="dxa"/>
            <w:vAlign w:val="bottom"/>
          </w:tcPr>
          <w:p>
            <w:pPr>
              <w:spacing w:after="0"/>
              <w:rPr>
                <w:sz w:val="10"/>
                <w:szCs w:val="10"/>
                <w:color w:val="auto"/>
              </w:rPr>
            </w:pPr>
          </w:p>
        </w:tc>
        <w:tc>
          <w:tcPr>
            <w:tcW w:w="1300" w:type="dxa"/>
            <w:vAlign w:val="bottom"/>
          </w:tcPr>
          <w:p>
            <w:pPr>
              <w:jc w:val="right"/>
              <w:ind w:right="174"/>
              <w:spacing w:after="0" w:line="122" w:lineRule="exact"/>
              <w:rPr>
                <w:sz w:val="20"/>
                <w:szCs w:val="20"/>
                <w:color w:val="auto"/>
              </w:rPr>
            </w:pPr>
            <w:r>
              <w:rPr>
                <w:rFonts w:ascii="Verdana" w:cs="Verdana" w:eastAsia="Verdana" w:hAnsi="Verdana"/>
                <w:sz w:val="13"/>
                <w:szCs w:val="13"/>
                <w:b w:val="1"/>
                <w:bCs w:val="1"/>
                <w:color w:val="auto"/>
              </w:rPr>
              <w:t>December 31,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restart"/>
          </w:tcPr>
          <w:p>
            <w:pPr>
              <w:jc w:val="right"/>
              <w:ind w:right="392"/>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Pr>
          <w:p>
            <w:pPr>
              <w:spacing w:after="0"/>
              <w:rPr>
                <w:sz w:val="10"/>
                <w:szCs w:val="10"/>
                <w:color w:val="auto"/>
              </w:rPr>
            </w:pPr>
          </w:p>
        </w:tc>
        <w:tc>
          <w:tcPr>
            <w:tcW w:w="1620" w:type="dxa"/>
            <w:vAlign w:val="bottom"/>
            <w:vMerge w:val="restart"/>
          </w:tcPr>
          <w:p>
            <w:pPr>
              <w:jc w:val="right"/>
              <w:ind w:right="377"/>
              <w:spacing w:after="0"/>
              <w:rPr>
                <w:sz w:val="20"/>
                <w:szCs w:val="20"/>
                <w:color w:val="auto"/>
              </w:rPr>
            </w:pPr>
            <w:r>
              <w:rPr>
                <w:rFonts w:ascii="Verdana" w:cs="Verdana" w:eastAsia="Verdana" w:hAnsi="Verdana"/>
                <w:sz w:val="13"/>
                <w:szCs w:val="13"/>
                <w:b w:val="1"/>
                <w:bCs w:val="1"/>
                <w:color w:val="auto"/>
              </w:rPr>
              <w:t>% Change</w:t>
            </w:r>
          </w:p>
        </w:tc>
        <w:tc>
          <w:tcPr>
            <w:tcW w:w="0" w:type="dxa"/>
            <w:vAlign w:val="bottom"/>
          </w:tcPr>
          <w:p>
            <w:pPr>
              <w:spacing w:after="0"/>
              <w:rPr>
                <w:sz w:val="1"/>
                <w:szCs w:val="1"/>
                <w:color w:val="auto"/>
              </w:rPr>
            </w:pPr>
          </w:p>
        </w:tc>
      </w:tr>
      <w:tr>
        <w:trPr>
          <w:trHeight w:val="170"/>
        </w:trPr>
        <w:tc>
          <w:tcPr>
            <w:tcW w:w="486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74"/>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2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62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60" w:type="dxa"/>
            <w:vAlign w:val="bottom"/>
          </w:tcPr>
          <w:p>
            <w:pPr>
              <w:ind w:left="180"/>
              <w:spacing w:after="0"/>
              <w:rPr>
                <w:sz w:val="20"/>
                <w:szCs w:val="20"/>
                <w:color w:val="auto"/>
              </w:rPr>
            </w:pPr>
            <w:r>
              <w:rPr>
                <w:rFonts w:ascii="Verdana" w:cs="Verdana" w:eastAsia="Verdana" w:hAnsi="Verdana"/>
                <w:sz w:val="18"/>
                <w:szCs w:val="18"/>
                <w:color w:val="auto"/>
              </w:rPr>
              <w:t>Debt securities available for sale</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1,898,072</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spacing w:after="0"/>
              <w:rPr>
                <w:sz w:val="20"/>
                <w:szCs w:val="20"/>
                <w:color w:val="auto"/>
              </w:rPr>
            </w:pPr>
            <w:r>
              <w:rPr>
                <w:rFonts w:ascii="Verdana" w:cs="Verdana" w:eastAsia="Verdana" w:hAnsi="Verdana"/>
                <w:sz w:val="18"/>
                <w:szCs w:val="18"/>
                <w:color w:val="auto"/>
              </w:rPr>
              <w:t>2,087,571</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(189,499)</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(9.1)%</w:t>
            </w:r>
          </w:p>
        </w:tc>
        <w:tc>
          <w:tcPr>
            <w:tcW w:w="0" w:type="dxa"/>
            <w:vAlign w:val="bottom"/>
          </w:tcPr>
          <w:p>
            <w:pPr>
              <w:spacing w:after="0"/>
              <w:rPr>
                <w:sz w:val="1"/>
                <w:szCs w:val="1"/>
                <w:color w:val="auto"/>
              </w:rPr>
            </w:pPr>
          </w:p>
        </w:tc>
      </w:tr>
      <w:tr>
        <w:trPr>
          <w:trHeight w:val="277"/>
        </w:trPr>
        <w:tc>
          <w:tcPr>
            <w:tcW w:w="4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Debt securities held to maturity</w:t>
            </w: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862,218</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872,628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(10,410)</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(1.2)%</w:t>
            </w:r>
          </w:p>
        </w:tc>
        <w:tc>
          <w:tcPr>
            <w:tcW w:w="0" w:type="dxa"/>
            <w:vAlign w:val="bottom"/>
          </w:tcPr>
          <w:p>
            <w:pPr>
              <w:spacing w:after="0"/>
              <w:rPr>
                <w:sz w:val="1"/>
                <w:szCs w:val="1"/>
                <w:color w:val="auto"/>
              </w:rPr>
            </w:pPr>
          </w:p>
        </w:tc>
      </w:tr>
      <w:tr>
        <w:trPr>
          <w:trHeight w:val="263"/>
        </w:trPr>
        <w:tc>
          <w:tcPr>
            <w:tcW w:w="4860" w:type="dxa"/>
            <w:vAlign w:val="bottom"/>
          </w:tcPr>
          <w:p>
            <w:pPr>
              <w:ind w:left="180"/>
              <w:spacing w:after="0"/>
              <w:rPr>
                <w:sz w:val="20"/>
                <w:szCs w:val="20"/>
                <w:color w:val="auto"/>
              </w:rPr>
            </w:pPr>
            <w:r>
              <w:rPr>
                <w:rFonts w:ascii="Verdana" w:cs="Verdana" w:eastAsia="Verdana" w:hAnsi="Verdana"/>
                <w:sz w:val="18"/>
                <w:szCs w:val="18"/>
                <w:color w:val="auto"/>
              </w:rPr>
              <w:t>Portfolio loans, net of ACL</w:t>
            </w: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7,496,515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7,559,294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(62,779)</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(0.8)%</w:t>
            </w:r>
          </w:p>
        </w:tc>
        <w:tc>
          <w:tcPr>
            <w:tcW w:w="0" w:type="dxa"/>
            <w:vAlign w:val="bottom"/>
          </w:tcPr>
          <w:p>
            <w:pPr>
              <w:spacing w:after="0"/>
              <w:rPr>
                <w:sz w:val="1"/>
                <w:szCs w:val="1"/>
                <w:color w:val="auto"/>
              </w:rPr>
            </w:pPr>
          </w:p>
        </w:tc>
      </w:tr>
      <w:tr>
        <w:trPr>
          <w:trHeight w:val="277"/>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assets</w:t>
            </w: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11,887,458</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12,283,415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(395,957)</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(3.2)%</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Liabilities</w:t>
            </w: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62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60" w:type="dxa"/>
            <w:vAlign w:val="bottom"/>
          </w:tcPr>
          <w:p>
            <w:pPr>
              <w:ind w:left="180"/>
              <w:spacing w:after="0"/>
              <w:rPr>
                <w:sz w:val="20"/>
                <w:szCs w:val="20"/>
                <w:color w:val="auto"/>
              </w:rPr>
            </w:pPr>
            <w:r>
              <w:rPr>
                <w:rFonts w:ascii="Verdana" w:cs="Verdana" w:eastAsia="Verdana" w:hAnsi="Verdana"/>
                <w:sz w:val="18"/>
                <w:szCs w:val="18"/>
                <w:color w:val="auto"/>
              </w:rPr>
              <w:t>Deposits: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8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Noninterest-bearing</w:t>
            </w: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2,784,338</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2,834,655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(50,317)</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(1.8)%</w:t>
            </w:r>
          </w:p>
        </w:tc>
        <w:tc>
          <w:tcPr>
            <w:tcW w:w="0" w:type="dxa"/>
            <w:vAlign w:val="bottom"/>
          </w:tcPr>
          <w:p>
            <w:pPr>
              <w:spacing w:after="0"/>
              <w:rPr>
                <w:sz w:val="1"/>
                <w:szCs w:val="1"/>
                <w:color w:val="auto"/>
              </w:rPr>
            </w:pPr>
          </w:p>
        </w:tc>
      </w:tr>
      <w:tr>
        <w:trPr>
          <w:trHeight w:val="263"/>
        </w:trPr>
        <w:tc>
          <w:tcPr>
            <w:tcW w:w="486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Interest-bearing</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7,175,853</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7,456,501</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(280,648)</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(3.8)%</w:t>
            </w:r>
          </w:p>
        </w:tc>
        <w:tc>
          <w:tcPr>
            <w:tcW w:w="0" w:type="dxa"/>
            <w:vAlign w:val="bottom"/>
          </w:tcPr>
          <w:p>
            <w:pPr>
              <w:spacing w:after="0"/>
              <w:rPr>
                <w:sz w:val="1"/>
                <w:szCs w:val="1"/>
                <w:color w:val="auto"/>
              </w:rPr>
            </w:pPr>
          </w:p>
        </w:tc>
      </w:tr>
      <w:tr>
        <w:trPr>
          <w:trHeight w:val="270"/>
        </w:trPr>
        <w:tc>
          <w:tcPr>
            <w:tcW w:w="4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Total deposits</w:t>
            </w: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9,960,191</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10,291,156</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(330,965)</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(3.2)%</w:t>
            </w:r>
          </w:p>
        </w:tc>
        <w:tc>
          <w:tcPr>
            <w:tcW w:w="0" w:type="dxa"/>
            <w:vAlign w:val="bottom"/>
          </w:tcPr>
          <w:p>
            <w:pPr>
              <w:spacing w:after="0"/>
              <w:rPr>
                <w:sz w:val="1"/>
                <w:szCs w:val="1"/>
                <w:color w:val="auto"/>
              </w:rPr>
            </w:pPr>
          </w:p>
        </w:tc>
      </w:tr>
      <w:tr>
        <w:trPr>
          <w:trHeight w:val="263"/>
        </w:trPr>
        <w:tc>
          <w:tcPr>
            <w:tcW w:w="4860" w:type="dxa"/>
            <w:vAlign w:val="bottom"/>
          </w:tcPr>
          <w:p>
            <w:pPr>
              <w:ind w:left="180"/>
              <w:spacing w:after="0"/>
              <w:rPr>
                <w:sz w:val="20"/>
                <w:szCs w:val="20"/>
                <w:color w:val="auto"/>
              </w:rPr>
            </w:pPr>
            <w:r>
              <w:rPr>
                <w:rFonts w:ascii="Verdana" w:cs="Verdana" w:eastAsia="Verdana" w:hAnsi="Verdana"/>
                <w:sz w:val="18"/>
                <w:szCs w:val="18"/>
                <w:color w:val="auto"/>
              </w:rPr>
              <w:t>Securities sold under agreements to repurchase</w:t>
            </w: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147,175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187,396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(40,221)</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(21.5)%</w:t>
            </w:r>
          </w:p>
        </w:tc>
        <w:tc>
          <w:tcPr>
            <w:tcW w:w="0" w:type="dxa"/>
            <w:vAlign w:val="bottom"/>
          </w:tcPr>
          <w:p>
            <w:pPr>
              <w:spacing w:after="0"/>
              <w:rPr>
                <w:sz w:val="1"/>
                <w:szCs w:val="1"/>
                <w:color w:val="auto"/>
              </w:rPr>
            </w:pPr>
          </w:p>
        </w:tc>
      </w:tr>
      <w:tr>
        <w:trPr>
          <w:trHeight w:val="244"/>
        </w:trPr>
        <w:tc>
          <w:tcPr>
            <w:tcW w:w="4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Subordinated notes, net of unamortized issuance</w:t>
            </w: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costs</w:t>
            </w: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223,100</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222,882</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218</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0.1 %</w:t>
            </w:r>
          </w:p>
        </w:tc>
        <w:tc>
          <w:tcPr>
            <w:tcW w:w="0" w:type="dxa"/>
            <w:vAlign w:val="bottom"/>
          </w:tcPr>
          <w:p>
            <w:pPr>
              <w:spacing w:after="0"/>
              <w:rPr>
                <w:sz w:val="1"/>
                <w:szCs w:val="1"/>
                <w:color w:val="auto"/>
              </w:rPr>
            </w:pPr>
          </w:p>
        </w:tc>
      </w:tr>
      <w:tr>
        <w:trPr>
          <w:trHeight w:val="238"/>
        </w:trPr>
        <w:tc>
          <w:tcPr>
            <w:tcW w:w="4860" w:type="dxa"/>
            <w:vAlign w:val="bottom"/>
          </w:tcPr>
          <w:p>
            <w:pPr>
              <w:ind w:left="180"/>
              <w:spacing w:after="0"/>
              <w:rPr>
                <w:sz w:val="20"/>
                <w:szCs w:val="20"/>
                <w:color w:val="auto"/>
              </w:rPr>
            </w:pPr>
            <w:r>
              <w:rPr>
                <w:rFonts w:ascii="Verdana" w:cs="Verdana" w:eastAsia="Verdana" w:hAnsi="Verdana"/>
                <w:sz w:val="18"/>
                <w:szCs w:val="18"/>
                <w:color w:val="auto"/>
              </w:rPr>
              <w:t>Junior subordinated debt owed to unconsolidated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860" w:type="dxa"/>
            <w:vAlign w:val="bottom"/>
          </w:tcPr>
          <w:p>
            <w:pPr>
              <w:ind w:left="180"/>
              <w:spacing w:after="0"/>
              <w:rPr>
                <w:sz w:val="20"/>
                <w:szCs w:val="20"/>
                <w:color w:val="auto"/>
              </w:rPr>
            </w:pPr>
            <w:r>
              <w:rPr>
                <w:rFonts w:ascii="Verdana" w:cs="Verdana" w:eastAsia="Verdana" w:hAnsi="Verdana"/>
                <w:sz w:val="18"/>
                <w:szCs w:val="18"/>
                <w:color w:val="auto"/>
              </w:rPr>
              <w:t>trusts</w:t>
            </w:r>
          </w:p>
        </w:tc>
        <w:tc>
          <w:tcPr>
            <w:tcW w:w="2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72,040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71,993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47</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0.1 %</w:t>
            </w:r>
          </w:p>
        </w:tc>
        <w:tc>
          <w:tcPr>
            <w:tcW w:w="0" w:type="dxa"/>
            <w:vAlign w:val="bottom"/>
          </w:tcPr>
          <w:p>
            <w:pPr>
              <w:spacing w:after="0"/>
              <w:rPr>
                <w:sz w:val="1"/>
                <w:szCs w:val="1"/>
                <w:color w:val="auto"/>
              </w:rPr>
            </w:pPr>
          </w:p>
        </w:tc>
      </w:tr>
      <w:tr>
        <w:trPr>
          <w:trHeight w:val="277"/>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liabilities</w:t>
            </w: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10,604,807</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11,011,434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(406,627)</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(3.7)%</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Stockholders’ equity</w:t>
            </w: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1,282,651</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1,271,981</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10,670</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0.8 %</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Portfolio Loans</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We believe that making sound and profitable loans is a necessary and desirable means of employing funds available for investment. Busey maintains lending policies and procedures designed to focus lending efforts on the types, locations, and duration of loans most appropriate for its business model and markets. While not specifically limited, we attempt to focus our lending on short to intermediate-term (0-10 years) loans in geographic areas within 125 miles of our lending offices. Loans originated outside of these areas are generally to existing customers of Busey Bank. We attempt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159"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Management reviews and approves Busey Bank’s lending policies and procedures on a regular basis. Management routinely (at least quarterly) reviews the ACL in conjunction with reports related to loan production, loan quality, concentrations of credit, loan delinquencies, non-performing loans, and potential problem loans. Our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75" w:name="page76"/>
    <w:bookmarkEnd w:id="7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At no time is a borrower’s total borrowing relationship permitted to exceed Busey Bank’s regulatory lending limit. We generally limit such relationships to amounts substantially less than the regulatory limit. Loans to related parties, including executive officers and directors of First Busey Corporation and its subsidiaries, are reviewed for compliance with regulatory guidelines.</w:t>
      </w:r>
    </w:p>
    <w:p>
      <w:pPr>
        <w:spacing w:after="0" w:line="157"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Busey maintains an independent loan review department that reviews loans for compliance with our loan policy on a periodic basis. In addition, the loan review department reviews risk assessments made by our credit department, lenders, and loan committees. Results of these reviews are presented to management and the audit committee at least quarterly.</w:t>
      </w:r>
    </w:p>
    <w:p>
      <w:pPr>
        <w:spacing w:after="0" w:line="154" w:lineRule="exact"/>
        <w:rPr>
          <w:sz w:val="20"/>
          <w:szCs w:val="20"/>
          <w:color w:val="auto"/>
        </w:rPr>
      </w:pPr>
    </w:p>
    <w:p>
      <w:pPr>
        <w:jc w:val="both"/>
        <w:spacing w:after="0" w:line="242" w:lineRule="auto"/>
        <w:rPr>
          <w:rFonts w:ascii="Verdana" w:cs="Verdana" w:eastAsia="Verdana" w:hAnsi="Verdana"/>
          <w:sz w:val="18"/>
          <w:szCs w:val="18"/>
          <w:i w:val="1"/>
          <w:iCs w:val="1"/>
          <w:color w:val="0000FF"/>
        </w:rPr>
      </w:pPr>
      <w:r>
        <w:rPr>
          <w:rFonts w:ascii="Verdana" w:cs="Verdana" w:eastAsia="Verdana" w:hAnsi="Verdana"/>
          <w:sz w:val="18"/>
          <w:szCs w:val="18"/>
          <w:color w:val="auto"/>
        </w:rPr>
        <w:t xml:space="preserve">Busey Bank’s lending activities can be summarized into two primary categories: commercial and retail. Lending is further classified into five primary areas: commercial loans, commercial real estate loans, real estate construction loans, retail real </w:t>
      </w:r>
      <w:hyperlink r:id="rId117">
        <w:r>
          <w:rPr>
            <w:rFonts w:ascii="Verdana" w:cs="Verdana" w:eastAsia="Verdana" w:hAnsi="Verdana"/>
            <w:sz w:val="18"/>
            <w:szCs w:val="18"/>
            <w:color w:val="auto"/>
          </w:rPr>
          <w:t>estate loans, and retail other loans. A description of each of the five primary areas can be found in</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7. Management's</w:t>
        </w:r>
      </w:hyperlink>
      <w:r>
        <w:rPr>
          <w:rFonts w:ascii="Verdana" w:cs="Verdana" w:eastAsia="Verdana" w:hAnsi="Verdana"/>
          <w:sz w:val="18"/>
          <w:szCs w:val="18"/>
          <w:color w:val="auto"/>
        </w:rPr>
        <w:t xml:space="preserve"> </w:t>
      </w:r>
      <w:hyperlink r:id="rId117">
        <w:r>
          <w:rPr>
            <w:rFonts w:ascii="Verdana" w:cs="Verdana" w:eastAsia="Verdana" w:hAnsi="Verdana"/>
            <w:sz w:val="18"/>
            <w:szCs w:val="18"/>
            <w:i w:val="1"/>
            <w:iCs w:val="1"/>
            <w:u w:val="single" w:color="auto"/>
            <w:color w:val="0000FF"/>
          </w:rPr>
          <w:t>Discussion and Analysis of Financial Condition and Results of Operations—Portfolio Loans</w:t>
        </w:r>
        <w:r>
          <w:rPr>
            <w:rFonts w:ascii="Verdana" w:cs="Verdana" w:eastAsia="Verdana" w:hAnsi="Verdana"/>
            <w:sz w:val="18"/>
            <w:szCs w:val="18"/>
            <w:i w:val="1"/>
            <w:iCs w:val="1"/>
            <w:color w:val="000000"/>
          </w:rPr>
          <w:t>”</w:t>
        </w:r>
        <w:r>
          <w:rPr>
            <w:rFonts w:ascii="Verdana" w:cs="Verdana" w:eastAsia="Verdana" w:hAnsi="Verdana"/>
            <w:sz w:val="18"/>
            <w:szCs w:val="18"/>
            <w:i w:val="1"/>
            <w:iCs w:val="1"/>
            <w:color w:val="0000FF"/>
          </w:rPr>
          <w:t xml:space="preserve"> </w:t>
        </w:r>
        <w:r>
          <w:rPr>
            <w:rFonts w:ascii="Verdana" w:cs="Verdana" w:eastAsia="Verdana" w:hAnsi="Verdana"/>
            <w:sz w:val="18"/>
            <w:szCs w:val="18"/>
            <w:color w:val="000000"/>
          </w:rPr>
          <w:t>of</w:t>
        </w:r>
        <w:r>
          <w:rPr>
            <w:rFonts w:ascii="Verdana" w:cs="Verdana" w:eastAsia="Verdana" w:hAnsi="Verdana"/>
            <w:sz w:val="18"/>
            <w:szCs w:val="18"/>
            <w:i w:val="1"/>
            <w:iCs w:val="1"/>
            <w:color w:val="0000FF"/>
          </w:rPr>
          <w:t xml:space="preserve"> </w:t>
        </w:r>
      </w:hyperlink>
      <w:hyperlink r:id="rId24">
        <w:r>
          <w:rPr>
            <w:rFonts w:ascii="Verdana" w:cs="Verdana" w:eastAsia="Verdana" w:hAnsi="Verdana"/>
            <w:sz w:val="18"/>
            <w:szCs w:val="18"/>
            <w:u w:val="single" w:color="auto"/>
            <w:color w:val="0000FF"/>
          </w:rPr>
          <w:t>Busey’s 2023 Annual Report</w:t>
        </w:r>
      </w:hyperlink>
      <w:hyperlink r:id="rId117">
        <w:r>
          <w:rPr>
            <w:rFonts w:ascii="Verdana" w:cs="Verdana" w:eastAsia="Verdana" w:hAnsi="Verdana"/>
            <w:sz w:val="18"/>
            <w:szCs w:val="18"/>
            <w:color w:val="000000"/>
          </w:rPr>
          <w:t>.</w:t>
        </w:r>
      </w:hyperlink>
    </w:p>
    <w:p>
      <w:pPr>
        <w:spacing w:after="0" w:line="171" w:lineRule="exact"/>
        <w:rPr>
          <w:rFonts w:ascii="Verdana" w:cs="Verdana" w:eastAsia="Verdana" w:hAnsi="Verdana"/>
          <w:sz w:val="18"/>
          <w:szCs w:val="18"/>
          <w:i w:val="1"/>
          <w:iCs w:val="1"/>
          <w:color w:val="0000FF"/>
        </w:rPr>
      </w:pPr>
    </w:p>
    <w:p>
      <w:pPr>
        <w:jc w:val="both"/>
        <w:spacing w:after="0" w:line="254" w:lineRule="auto"/>
        <w:rPr>
          <w:sz w:val="20"/>
          <w:szCs w:val="20"/>
          <w:color w:val="auto"/>
        </w:rPr>
      </w:pPr>
      <w:r>
        <w:rPr>
          <w:rFonts w:ascii="Verdana" w:cs="Verdana" w:eastAsia="Verdana" w:hAnsi="Verdana"/>
          <w:sz w:val="18"/>
          <w:szCs w:val="18"/>
          <w:color w:val="auto"/>
        </w:rPr>
        <w:t xml:space="preserve">The composition of our loan portfolio as of the dates indicated, as well as changes in portfolio loan balances, were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rFonts w:ascii="Verdana" w:cs="Verdana" w:eastAsia="Verdana" w:hAnsi="Verdana"/>
          <w:sz w:val="18"/>
          <w:szCs w:val="18"/>
          <w:i w:val="1"/>
          <w:iCs w:val="1"/>
          <w:color w:val="0000FF"/>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ind w:left="140"/>
              <w:spacing w:after="0" w:line="122" w:lineRule="exact"/>
              <w:rPr>
                <w:sz w:val="20"/>
                <w:szCs w:val="20"/>
                <w:color w:val="auto"/>
              </w:rPr>
            </w:pPr>
            <w:r>
              <w:rPr>
                <w:rFonts w:ascii="Verdana" w:cs="Verdana" w:eastAsia="Verdana" w:hAnsi="Verdana"/>
                <w:sz w:val="13"/>
                <w:szCs w:val="13"/>
                <w:b w:val="1"/>
                <w:bCs w:val="1"/>
                <w:color w:val="auto"/>
              </w:rPr>
              <w:t>March 31,</w:t>
            </w:r>
          </w:p>
        </w:tc>
        <w:tc>
          <w:tcPr>
            <w:tcW w:w="200" w:type="dxa"/>
            <w:vAlign w:val="bottom"/>
          </w:tcPr>
          <w:p>
            <w:pPr>
              <w:spacing w:after="0"/>
              <w:rPr>
                <w:sz w:val="10"/>
                <w:szCs w:val="10"/>
                <w:color w:val="auto"/>
              </w:rPr>
            </w:pPr>
          </w:p>
        </w:tc>
        <w:tc>
          <w:tcPr>
            <w:tcW w:w="1300" w:type="dxa"/>
            <w:vAlign w:val="bottom"/>
          </w:tcPr>
          <w:p>
            <w:pPr>
              <w:jc w:val="right"/>
              <w:ind w:right="175"/>
              <w:spacing w:after="0" w:line="122" w:lineRule="exact"/>
              <w:rPr>
                <w:sz w:val="20"/>
                <w:szCs w:val="20"/>
                <w:color w:val="auto"/>
              </w:rPr>
            </w:pPr>
            <w:r>
              <w:rPr>
                <w:rFonts w:ascii="Verdana" w:cs="Verdana" w:eastAsia="Verdana" w:hAnsi="Verdana"/>
                <w:sz w:val="13"/>
                <w:szCs w:val="13"/>
                <w:b w:val="1"/>
                <w:bCs w:val="1"/>
                <w:color w:val="auto"/>
              </w:rPr>
              <w:t>December 31,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restart"/>
          </w:tcPr>
          <w:p>
            <w:pPr>
              <w:jc w:val="right"/>
              <w:ind w:right="392"/>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Pr>
          <w:p>
            <w:pPr>
              <w:spacing w:after="0"/>
              <w:rPr>
                <w:sz w:val="10"/>
                <w:szCs w:val="10"/>
                <w:color w:val="auto"/>
              </w:rPr>
            </w:pPr>
          </w:p>
        </w:tc>
        <w:tc>
          <w:tcPr>
            <w:tcW w:w="1620" w:type="dxa"/>
            <w:vAlign w:val="bottom"/>
            <w:vMerge w:val="restart"/>
          </w:tcPr>
          <w:p>
            <w:pPr>
              <w:jc w:val="right"/>
              <w:ind w:right="377"/>
              <w:spacing w:after="0"/>
              <w:rPr>
                <w:sz w:val="20"/>
                <w:szCs w:val="20"/>
                <w:color w:val="auto"/>
              </w:rPr>
            </w:pPr>
            <w:r>
              <w:rPr>
                <w:rFonts w:ascii="Verdana" w:cs="Verdana" w:eastAsia="Verdana" w:hAnsi="Verdana"/>
                <w:sz w:val="13"/>
                <w:szCs w:val="13"/>
                <w:b w:val="1"/>
                <w:bCs w:val="1"/>
                <w:color w:val="auto"/>
              </w:rPr>
              <w:t>% Change</w:t>
            </w:r>
          </w:p>
        </w:tc>
        <w:tc>
          <w:tcPr>
            <w:tcW w:w="0" w:type="dxa"/>
            <w:vAlign w:val="bottom"/>
          </w:tcPr>
          <w:p>
            <w:pPr>
              <w:spacing w:after="0"/>
              <w:rPr>
                <w:sz w:val="1"/>
                <w:szCs w:val="1"/>
                <w:color w:val="auto"/>
              </w:rPr>
            </w:pPr>
          </w:p>
        </w:tc>
      </w:tr>
      <w:tr>
        <w:trPr>
          <w:trHeight w:val="170"/>
        </w:trPr>
        <w:tc>
          <w:tcPr>
            <w:tcW w:w="486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6"/>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6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62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6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ind w:right="16"/>
              <w:spacing w:after="0"/>
              <w:rPr>
                <w:sz w:val="20"/>
                <w:szCs w:val="20"/>
                <w:color w:val="auto"/>
              </w:rPr>
            </w:pPr>
            <w:r>
              <w:rPr>
                <w:rFonts w:ascii="Verdana" w:cs="Verdana" w:eastAsia="Verdana" w:hAnsi="Verdana"/>
                <w:sz w:val="18"/>
                <w:szCs w:val="18"/>
                <w:color w:val="auto"/>
              </w:rPr>
              <w:t>1,828,711</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spacing w:after="0"/>
              <w:rPr>
                <w:sz w:val="20"/>
                <w:szCs w:val="20"/>
                <w:color w:val="auto"/>
              </w:rPr>
            </w:pPr>
            <w:r>
              <w:rPr>
                <w:rFonts w:ascii="Verdana" w:cs="Verdana" w:eastAsia="Verdana" w:hAnsi="Verdana"/>
                <w:sz w:val="18"/>
                <w:szCs w:val="18"/>
                <w:color w:val="auto"/>
              </w:rPr>
              <w:t>1,835,994</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(7,283)</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(0.4)%</w:t>
            </w:r>
          </w:p>
        </w:tc>
        <w:tc>
          <w:tcPr>
            <w:tcW w:w="0" w:type="dxa"/>
            <w:vAlign w:val="bottom"/>
          </w:tcPr>
          <w:p>
            <w:pPr>
              <w:spacing w:after="0"/>
              <w:rPr>
                <w:sz w:val="1"/>
                <w:szCs w:val="1"/>
                <w:color w:val="auto"/>
              </w:rPr>
            </w:pPr>
          </w:p>
        </w:tc>
      </w:tr>
      <w:tr>
        <w:trPr>
          <w:trHeight w:val="277"/>
        </w:trPr>
        <w:tc>
          <w:tcPr>
            <w:tcW w:w="4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3,331,670</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(5,667)</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(0.2)%</w:t>
            </w:r>
          </w:p>
        </w:tc>
        <w:tc>
          <w:tcPr>
            <w:tcW w:w="0" w:type="dxa"/>
            <w:vAlign w:val="bottom"/>
          </w:tcPr>
          <w:p>
            <w:pPr>
              <w:spacing w:after="0"/>
              <w:rPr>
                <w:sz w:val="1"/>
                <w:szCs w:val="1"/>
                <w:color w:val="auto"/>
              </w:rPr>
            </w:pPr>
          </w:p>
        </w:tc>
      </w:tr>
      <w:tr>
        <w:trPr>
          <w:trHeight w:val="263"/>
        </w:trPr>
        <w:tc>
          <w:tcPr>
            <w:tcW w:w="48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445,860</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461,717</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(15,857)</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(3.4)%</w:t>
            </w:r>
          </w:p>
        </w:tc>
        <w:tc>
          <w:tcPr>
            <w:tcW w:w="0" w:type="dxa"/>
            <w:vAlign w:val="bottom"/>
          </w:tcPr>
          <w:p>
            <w:pPr>
              <w:spacing w:after="0"/>
              <w:rPr>
                <w:sz w:val="1"/>
                <w:szCs w:val="1"/>
                <w:color w:val="auto"/>
              </w:rPr>
            </w:pPr>
          </w:p>
        </w:tc>
      </w:tr>
      <w:tr>
        <w:trPr>
          <w:trHeight w:val="270"/>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2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5,606,241</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(28,807)</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(0.5)%</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1,708,663</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(11,792)</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(0.7)%</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273,173</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295,531</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(22,358)</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(7.6)%</w:t>
            </w:r>
          </w:p>
        </w:tc>
        <w:tc>
          <w:tcPr>
            <w:tcW w:w="0" w:type="dxa"/>
            <w:vAlign w:val="bottom"/>
          </w:tcPr>
          <w:p>
            <w:pPr>
              <w:spacing w:after="0"/>
              <w:rPr>
                <w:sz w:val="1"/>
                <w:szCs w:val="1"/>
                <w:color w:val="auto"/>
              </w:rPr>
            </w:pPr>
          </w:p>
        </w:tc>
      </w:tr>
      <w:tr>
        <w:trPr>
          <w:trHeight w:val="263"/>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26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1,981,836</w:t>
            </w:r>
          </w:p>
        </w:tc>
        <w:tc>
          <w:tcPr>
            <w:tcW w:w="80" w:type="dxa"/>
            <w:vAlign w:val="bottom"/>
            <w:shd w:val="clear" w:color="auto" w:fill="E0E7ED"/>
          </w:tcPr>
          <w:p>
            <w:pPr>
              <w:spacing w:after="0"/>
              <w:rPr>
                <w:sz w:val="22"/>
                <w:szCs w:val="22"/>
                <w:color w:val="auto"/>
              </w:rPr>
            </w:pPr>
          </w:p>
        </w:tc>
        <w:tc>
          <w:tcPr>
            <w:tcW w:w="200" w:type="dxa"/>
            <w:vAlign w:val="bottom"/>
            <w:tcBorders>
              <w:bottom w:val="single" w:sz="8" w:color="auto"/>
            </w:tcBorders>
            <w:shd w:val="clear" w:color="auto" w:fill="E0E7ED"/>
          </w:tcPr>
          <w:p>
            <w:pPr>
              <w:spacing w:after="0"/>
              <w:rPr>
                <w:sz w:val="22"/>
                <w:szCs w:val="22"/>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(34,150)</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(1.7)%</w:t>
            </w:r>
          </w:p>
        </w:tc>
        <w:tc>
          <w:tcPr>
            <w:tcW w:w="0" w:type="dxa"/>
            <w:vAlign w:val="bottom"/>
          </w:tcPr>
          <w:p>
            <w:pPr>
              <w:spacing w:after="0"/>
              <w:rPr>
                <w:sz w:val="1"/>
                <w:szCs w:val="1"/>
                <w:color w:val="auto"/>
              </w:rPr>
            </w:pPr>
          </w:p>
        </w:tc>
      </w:tr>
      <w:tr>
        <w:trPr>
          <w:trHeight w:val="263"/>
        </w:trPr>
        <w:tc>
          <w:tcPr>
            <w:tcW w:w="486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26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Verdana" w:cs="Verdana" w:eastAsia="Verdana" w:hAnsi="Verdana"/>
                <w:sz w:val="18"/>
                <w:szCs w:val="18"/>
                <w:color w:val="auto"/>
              </w:rPr>
              <w:t>7,588,077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7,651,034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(62,957)</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(0.8)%</w:t>
            </w:r>
          </w:p>
        </w:tc>
        <w:tc>
          <w:tcPr>
            <w:tcW w:w="0" w:type="dxa"/>
            <w:vAlign w:val="bottom"/>
          </w:tcPr>
          <w:p>
            <w:pPr>
              <w:spacing w:after="0"/>
              <w:rPr>
                <w:sz w:val="1"/>
                <w:szCs w:val="1"/>
                <w:color w:val="auto"/>
              </w:rPr>
            </w:pPr>
          </w:p>
        </w:tc>
      </w:tr>
      <w:tr>
        <w:trPr>
          <w:trHeight w:val="270"/>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2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(91,562)</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(91,740)</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178</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0.2 %</w:t>
            </w:r>
          </w:p>
        </w:tc>
        <w:tc>
          <w:tcPr>
            <w:tcW w:w="0" w:type="dxa"/>
            <w:vAlign w:val="bottom"/>
          </w:tcPr>
          <w:p>
            <w:pPr>
              <w:spacing w:after="0"/>
              <w:rPr>
                <w:sz w:val="1"/>
                <w:szCs w:val="1"/>
                <w:color w:val="auto"/>
              </w:rPr>
            </w:pPr>
          </w:p>
        </w:tc>
      </w:tr>
      <w:tr>
        <w:trPr>
          <w:trHeight w:val="270"/>
        </w:trPr>
        <w:tc>
          <w:tcPr>
            <w:tcW w:w="4860" w:type="dxa"/>
            <w:vAlign w:val="bottom"/>
          </w:tcPr>
          <w:p>
            <w:pPr>
              <w:ind w:left="20"/>
              <w:spacing w:after="0"/>
              <w:rPr>
                <w:sz w:val="20"/>
                <w:szCs w:val="20"/>
                <w:color w:val="auto"/>
              </w:rPr>
            </w:pPr>
            <w:r>
              <w:rPr>
                <w:rFonts w:ascii="Verdana" w:cs="Verdana" w:eastAsia="Verdana" w:hAnsi="Verdana"/>
                <w:sz w:val="18"/>
                <w:szCs w:val="18"/>
                <w:color w:val="auto"/>
              </w:rPr>
              <w:t>Portfolio loans, net of ACL</w:t>
            </w:r>
          </w:p>
        </w:tc>
        <w:tc>
          <w:tcPr>
            <w:tcW w:w="26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7,496,515</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7,559,294</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(62,779)</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(0.8)%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rFonts w:ascii="Verdana" w:cs="Verdana" w:eastAsia="Verdana" w:hAnsi="Verdana"/>
          <w:sz w:val="18"/>
          <w:szCs w:val="18"/>
          <w:i w:val="1"/>
          <w:iCs w:val="1"/>
          <w:color w:val="0000FF"/>
        </w:rPr>
      </w:pPr>
    </w:p>
    <w:p>
      <w:pPr>
        <w:jc w:val="both"/>
        <w:spacing w:after="0" w:line="245" w:lineRule="auto"/>
        <w:rPr>
          <w:sz w:val="20"/>
          <w:szCs w:val="20"/>
          <w:color w:val="auto"/>
        </w:rPr>
      </w:pPr>
      <w:r>
        <w:rPr>
          <w:rFonts w:ascii="Verdana" w:cs="Verdana" w:eastAsia="Verdana" w:hAnsi="Verdana"/>
          <w:sz w:val="18"/>
          <w:szCs w:val="18"/>
          <w:color w:val="auto"/>
        </w:rPr>
        <w:t>As has been our practice, we remain steadfast in our conservative approach to underwriting and disciplined approach to pricing, particularly given our outlook for the economy in the coming quarters. This posture will continue to impact loan growth, which we expect to remain modest over the next several quarters.</w:t>
      </w:r>
    </w:p>
    <w:p>
      <w:pPr>
        <w:spacing w:after="0" w:line="200" w:lineRule="exact"/>
        <w:rPr>
          <w:rFonts w:ascii="Verdana" w:cs="Verdana" w:eastAsia="Verdana" w:hAnsi="Verdana"/>
          <w:sz w:val="18"/>
          <w:szCs w:val="18"/>
          <w:i w:val="1"/>
          <w:iCs w:val="1"/>
          <w:color w:val="0000FF"/>
        </w:rPr>
      </w:pPr>
    </w:p>
    <w:p>
      <w:pPr>
        <w:spacing w:after="0" w:line="372" w:lineRule="exact"/>
        <w:rPr>
          <w:rFonts w:ascii="Verdana" w:cs="Verdana" w:eastAsia="Verdana" w:hAnsi="Verdana"/>
          <w:sz w:val="18"/>
          <w:szCs w:val="18"/>
          <w:i w:val="1"/>
          <w:iCs w:val="1"/>
          <w:color w:val="0000FF"/>
        </w:rPr>
      </w:pPr>
    </w:p>
    <w:p>
      <w:pPr>
        <w:jc w:val="center"/>
        <w:spacing w:after="0"/>
        <w:rPr>
          <w:sz w:val="20"/>
          <w:szCs w:val="20"/>
          <w:color w:val="auto"/>
        </w:rPr>
      </w:pPr>
      <w:r>
        <w:rPr>
          <w:rFonts w:ascii="Verdana" w:cs="Verdana" w:eastAsia="Verdana" w:hAnsi="Verdana"/>
          <w:sz w:val="18"/>
          <w:szCs w:val="18"/>
          <w:color w:val="auto"/>
        </w:rPr>
        <w:t>76</w:t>
      </w:r>
    </w:p>
    <w:p>
      <w:pPr>
        <w:spacing w:after="0" w:line="20" w:lineRule="exact"/>
        <w:rPr>
          <w:rFonts w:ascii="Verdana" w:cs="Verdana" w:eastAsia="Verdana" w:hAnsi="Verdana"/>
          <w:sz w:val="18"/>
          <w:szCs w:val="18"/>
          <w:i w:val="1"/>
          <w:iCs w:val="1"/>
          <w:color w:val="0000FF"/>
        </w:rPr>
      </w:pPr>
      <w:r>
        <w:rPr>
          <w:rFonts w:ascii="Verdana" w:cs="Verdana" w:eastAsia="Verdana" w:hAnsi="Verdana"/>
          <w:sz w:val="18"/>
          <w:szCs w:val="18"/>
          <w:i w:val="1"/>
          <w:iCs w:val="1"/>
          <w:color w:val="0000FF"/>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6" w:name="page77"/>
    <w:bookmarkEnd w:id="7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Concentration of credit risk</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As a matter of policy and practice, we limit the level of concentration exposure in any particular loan segment with the goal of maintaining a well-diversified loan portfolio. The following table presents the percentage of total portfolio loans in each loan category and class.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tcPr>
          <w:p>
            <w:pPr>
              <w:spacing w:after="0"/>
              <w:rPr>
                <w:sz w:val="15"/>
                <w:szCs w:val="15"/>
                <w:color w:val="auto"/>
              </w:rPr>
            </w:pPr>
          </w:p>
        </w:tc>
        <w:tc>
          <w:tcPr>
            <w:tcW w:w="1980" w:type="dxa"/>
            <w:vAlign w:val="bottom"/>
            <w:tcBorders>
              <w:bottom w:val="single" w:sz="8" w:color="auto"/>
            </w:tcBorders>
            <w:gridSpan w:val="3"/>
          </w:tcPr>
          <w:p>
            <w:pPr>
              <w:ind w:left="1500"/>
              <w:spacing w:after="0"/>
              <w:rPr>
                <w:sz w:val="20"/>
                <w:szCs w:val="20"/>
                <w:color w:val="auto"/>
              </w:rPr>
            </w:pPr>
            <w:r>
              <w:rPr>
                <w:rFonts w:ascii="Verdana" w:cs="Verdana" w:eastAsia="Verdana" w:hAnsi="Verdana"/>
                <w:sz w:val="13"/>
                <w:szCs w:val="13"/>
                <w:b w:val="1"/>
                <w:bCs w:val="1"/>
                <w:color w:val="auto"/>
              </w:rPr>
              <w:t>As of</w:t>
            </w:r>
          </w:p>
        </w:tc>
        <w:tc>
          <w:tcPr>
            <w:tcW w:w="1400" w:type="dxa"/>
            <w:vAlign w:val="bottom"/>
            <w:tcBorders>
              <w:bottom w:val="single" w:sz="8" w:color="auto"/>
            </w:tcBorders>
          </w:tcPr>
          <w:p>
            <w:pPr>
              <w:spacing w:after="0"/>
              <w:rPr>
                <w:sz w:val="15"/>
                <w:szCs w:val="15"/>
                <w:color w:val="auto"/>
              </w:rPr>
            </w:pPr>
          </w:p>
        </w:tc>
      </w:tr>
      <w:tr>
        <w:trPr>
          <w:trHeight w:val="122"/>
        </w:trPr>
        <w:tc>
          <w:tcPr>
            <w:tcW w:w="7860" w:type="dxa"/>
            <w:vAlign w:val="bottom"/>
          </w:tcPr>
          <w:p>
            <w:pPr>
              <w:spacing w:after="0"/>
              <w:rPr>
                <w:sz w:val="10"/>
                <w:szCs w:val="10"/>
                <w:color w:val="auto"/>
              </w:rPr>
            </w:pPr>
          </w:p>
        </w:tc>
        <w:tc>
          <w:tcPr>
            <w:tcW w:w="1980" w:type="dxa"/>
            <w:vAlign w:val="bottom"/>
            <w:gridSpan w:val="3"/>
          </w:tcPr>
          <w:p>
            <w:pPr>
              <w:ind w:left="480"/>
              <w:spacing w:after="0" w:line="122" w:lineRule="exact"/>
              <w:rPr>
                <w:sz w:val="20"/>
                <w:szCs w:val="20"/>
                <w:color w:val="auto"/>
              </w:rPr>
            </w:pPr>
            <w:r>
              <w:rPr>
                <w:rFonts w:ascii="Verdana" w:cs="Verdana" w:eastAsia="Verdana" w:hAnsi="Verdana"/>
                <w:sz w:val="13"/>
                <w:szCs w:val="13"/>
                <w:b w:val="1"/>
                <w:bCs w:val="1"/>
                <w:color w:val="auto"/>
              </w:rPr>
              <w:t>March 31</w:t>
            </w:r>
          </w:p>
        </w:tc>
        <w:tc>
          <w:tcPr>
            <w:tcW w:w="1400" w:type="dxa"/>
            <w:vAlign w:val="bottom"/>
          </w:tcPr>
          <w:p>
            <w:pPr>
              <w:jc w:val="right"/>
              <w:ind w:right="275"/>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7860" w:type="dxa"/>
            <w:vAlign w:val="bottom"/>
            <w:tcBorders>
              <w:bottom w:val="single" w:sz="8" w:color="E0E7ED"/>
            </w:tcBorders>
          </w:tcPr>
          <w:p>
            <w:pPr>
              <w:spacing w:after="0"/>
              <w:rPr>
                <w:sz w:val="14"/>
                <w:szCs w:val="14"/>
                <w:color w:val="auto"/>
              </w:rPr>
            </w:pPr>
          </w:p>
        </w:tc>
        <w:tc>
          <w:tcPr>
            <w:tcW w:w="1640" w:type="dxa"/>
            <w:vAlign w:val="bottom"/>
            <w:tcBorders>
              <w:bottom w:val="single" w:sz="8" w:color="auto"/>
            </w:tcBorders>
          </w:tcPr>
          <w:p>
            <w:pPr>
              <w:jc w:val="right"/>
              <w:ind w:right="55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78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16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400" w:type="dxa"/>
            <w:vAlign w:val="bottom"/>
            <w:shd w:val="clear" w:color="auto" w:fill="E0E7ED"/>
          </w:tcPr>
          <w:p>
            <w:pPr>
              <w:spacing w:after="0"/>
              <w:rPr>
                <w:sz w:val="22"/>
                <w:szCs w:val="22"/>
                <w:color w:val="auto"/>
              </w:rPr>
            </w:pPr>
          </w:p>
        </w:tc>
      </w:tr>
      <w:tr>
        <w:trPr>
          <w:trHeight w:val="263"/>
        </w:trPr>
        <w:tc>
          <w:tcPr>
            <w:tcW w:w="786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1640" w:type="dxa"/>
            <w:vAlign w:val="bottom"/>
          </w:tcPr>
          <w:p>
            <w:pPr>
              <w:jc w:val="right"/>
              <w:spacing w:after="0"/>
              <w:rPr>
                <w:sz w:val="20"/>
                <w:szCs w:val="20"/>
                <w:color w:val="auto"/>
              </w:rPr>
            </w:pPr>
            <w:r>
              <w:rPr>
                <w:rFonts w:ascii="Verdana" w:cs="Verdana" w:eastAsia="Verdana" w:hAnsi="Verdana"/>
                <w:sz w:val="18"/>
                <w:szCs w:val="18"/>
                <w:color w:val="auto"/>
              </w:rPr>
              <w:t>24.1 %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24.0 %</w:t>
            </w:r>
          </w:p>
        </w:tc>
      </w:tr>
      <w:tr>
        <w:trPr>
          <w:trHeight w:val="277"/>
        </w:trPr>
        <w:tc>
          <w:tcPr>
            <w:tcW w:w="7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43.9 %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43.6 %</w:t>
            </w:r>
          </w:p>
        </w:tc>
      </w:tr>
      <w:tr>
        <w:trPr>
          <w:trHeight w:val="263"/>
        </w:trPr>
        <w:tc>
          <w:tcPr>
            <w:tcW w:w="78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16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5.9 %</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6.0 %</w:t>
            </w:r>
          </w:p>
        </w:tc>
      </w:tr>
      <w:tr>
        <w:trPr>
          <w:trHeight w:val="270"/>
        </w:trPr>
        <w:tc>
          <w:tcPr>
            <w:tcW w:w="7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16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73.9 %</w:t>
            </w:r>
          </w:p>
        </w:tc>
        <w:tc>
          <w:tcPr>
            <w:tcW w:w="1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4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73.6 %</w:t>
            </w:r>
          </w:p>
        </w:tc>
      </w:tr>
      <w:tr>
        <w:trPr>
          <w:trHeight w:val="243"/>
        </w:trPr>
        <w:tc>
          <w:tcPr>
            <w:tcW w:w="786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7"/>
        </w:trPr>
        <w:tc>
          <w:tcPr>
            <w:tcW w:w="7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22.5 %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22.5 %</w:t>
            </w:r>
          </w:p>
        </w:tc>
      </w:tr>
      <w:tr>
        <w:trPr>
          <w:trHeight w:val="263"/>
        </w:trPr>
        <w:tc>
          <w:tcPr>
            <w:tcW w:w="78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16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3.6 %</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3.9 %</w:t>
            </w:r>
          </w:p>
        </w:tc>
      </w:tr>
      <w:tr>
        <w:trPr>
          <w:trHeight w:val="264"/>
        </w:trPr>
        <w:tc>
          <w:tcPr>
            <w:tcW w:w="7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16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26.1 %</w:t>
            </w:r>
          </w:p>
        </w:tc>
        <w:tc>
          <w:tcPr>
            <w:tcW w:w="100" w:type="dxa"/>
            <w:vAlign w:val="bottom"/>
            <w:shd w:val="clear" w:color="auto" w:fill="E0E7ED"/>
          </w:tcPr>
          <w:p>
            <w:pPr>
              <w:spacing w:after="0"/>
              <w:rPr>
                <w:sz w:val="22"/>
                <w:szCs w:val="22"/>
                <w:color w:val="auto"/>
              </w:rPr>
            </w:pPr>
          </w:p>
        </w:tc>
        <w:tc>
          <w:tcPr>
            <w:tcW w:w="240" w:type="dxa"/>
            <w:vAlign w:val="bottom"/>
            <w:tcBorders>
              <w:bottom w:val="single" w:sz="8" w:color="auto"/>
            </w:tcBorders>
            <w:shd w:val="clear" w:color="auto" w:fill="E0E7ED"/>
          </w:tcPr>
          <w:p>
            <w:pPr>
              <w:spacing w:after="0"/>
              <w:rPr>
                <w:sz w:val="22"/>
                <w:szCs w:val="22"/>
                <w:color w:val="auto"/>
              </w:rPr>
            </w:pPr>
          </w:p>
        </w:tc>
        <w:tc>
          <w:tcPr>
            <w:tcW w:w="14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26.4 %</w:t>
            </w:r>
          </w:p>
        </w:tc>
      </w:tr>
      <w:tr>
        <w:trPr>
          <w:trHeight w:val="256"/>
        </w:trPr>
        <w:tc>
          <w:tcPr>
            <w:tcW w:w="786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1640" w:type="dxa"/>
            <w:vAlign w:val="bottom"/>
          </w:tcPr>
          <w:p>
            <w:pPr>
              <w:jc w:val="right"/>
              <w:spacing w:after="0"/>
              <w:rPr>
                <w:sz w:val="20"/>
                <w:szCs w:val="20"/>
                <w:color w:val="auto"/>
              </w:rPr>
            </w:pPr>
            <w:r>
              <w:rPr>
                <w:rFonts w:ascii="Verdana" w:cs="Verdana" w:eastAsia="Verdana" w:hAnsi="Verdana"/>
                <w:sz w:val="18"/>
                <w:szCs w:val="18"/>
                <w:color w:val="auto"/>
              </w:rPr>
              <w:t>100.0 %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100.0 %</w:t>
            </w:r>
          </w:p>
        </w:tc>
      </w:tr>
    </w:tbl>
    <w:p>
      <w:pPr>
        <w:spacing w:after="0" w:line="278"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A significant majority of our portfolio lending activity occurs in the Illinois and Missouri markets, with the remainder in the Florida and Indiana markets. Geographic distributions of portfolio loans, based on originations, by loan category and class were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Verdana" w:cs="Verdana" w:eastAsia="Verdana" w:hAnsi="Verdana"/>
                <w:sz w:val="13"/>
                <w:szCs w:val="13"/>
                <w:b w:val="1"/>
                <w:bCs w:val="1"/>
                <w:color w:val="auto"/>
                <w:w w:val="96"/>
              </w:rPr>
              <w:t>March 31, 2024</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Illinois</w:t>
            </w:r>
          </w:p>
        </w:tc>
        <w:tc>
          <w:tcPr>
            <w:tcW w:w="3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Verdana" w:cs="Verdana" w:eastAsia="Verdana" w:hAnsi="Verdana"/>
                <w:sz w:val="13"/>
                <w:szCs w:val="13"/>
                <w:b w:val="1"/>
                <w:bCs w:val="1"/>
                <w:color w:val="auto"/>
              </w:rPr>
              <w:t>Missouri</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4"/>
              </w:rPr>
              <w:t>Florida</w:t>
            </w: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Indiana</w:t>
            </w:r>
          </w:p>
        </w:tc>
        <w:tc>
          <w:tcPr>
            <w:tcW w:w="300" w:type="dxa"/>
            <w:vAlign w:val="bottom"/>
          </w:tcPr>
          <w:p>
            <w:pPr>
              <w:spacing w:after="0"/>
              <w:rPr>
                <w:sz w:val="14"/>
                <w:szCs w:val="14"/>
                <w:color w:val="auto"/>
              </w:rPr>
            </w:pPr>
          </w:p>
        </w:tc>
        <w:tc>
          <w:tcPr>
            <w:tcW w:w="1200" w:type="dxa"/>
            <w:vAlign w:val="bottom"/>
          </w:tcPr>
          <w:p>
            <w:pPr>
              <w:jc w:val="right"/>
              <w:ind w:right="492"/>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255"/>
        </w:trPr>
        <w:tc>
          <w:tcPr>
            <w:tcW w:w="34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40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1,410,135</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346,024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26,169</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46,383</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1,828,711</w:t>
            </w:r>
          </w:p>
        </w:tc>
        <w:tc>
          <w:tcPr>
            <w:tcW w:w="0" w:type="dxa"/>
            <w:vAlign w:val="bottom"/>
          </w:tcPr>
          <w:p>
            <w:pPr>
              <w:spacing w:after="0"/>
              <w:rPr>
                <w:sz w:val="1"/>
                <w:szCs w:val="1"/>
                <w:color w:val="auto"/>
              </w:rPr>
            </w:pP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2,302,867</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647,938</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213,239</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167,626</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3,331,670</w:t>
            </w:r>
          </w:p>
        </w:tc>
        <w:tc>
          <w:tcPr>
            <w:tcW w:w="0" w:type="dxa"/>
            <w:vAlign w:val="bottom"/>
          </w:tcPr>
          <w:p>
            <w:pPr>
              <w:spacing w:after="0"/>
              <w:rPr>
                <w:sz w:val="1"/>
                <w:szCs w:val="1"/>
                <w:color w:val="auto"/>
              </w:rPr>
            </w:pPr>
          </w:p>
        </w:tc>
      </w:tr>
      <w:tr>
        <w:trPr>
          <w:trHeight w:val="263"/>
        </w:trPr>
        <w:tc>
          <w:tcPr>
            <w:tcW w:w="34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236,594</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77,408</w:t>
            </w:r>
          </w:p>
        </w:tc>
        <w:tc>
          <w:tcPr>
            <w:tcW w:w="10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65,615</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66,243</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445,860</w:t>
            </w:r>
          </w:p>
        </w:tc>
        <w:tc>
          <w:tcPr>
            <w:tcW w:w="0" w:type="dxa"/>
            <w:vAlign w:val="bottom"/>
          </w:tcPr>
          <w:p>
            <w:pPr>
              <w:spacing w:after="0"/>
              <w:rPr>
                <w:sz w:val="1"/>
                <w:szCs w:val="1"/>
                <w:color w:val="auto"/>
              </w:rPr>
            </w:pPr>
          </w:p>
        </w:tc>
      </w:tr>
      <w:tr>
        <w:trPr>
          <w:trHeight w:val="270"/>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3,949,596</w:t>
            </w:r>
          </w:p>
        </w:tc>
        <w:tc>
          <w:tcPr>
            <w:tcW w:w="8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1,071,370</w:t>
            </w:r>
          </w:p>
        </w:tc>
        <w:tc>
          <w:tcPr>
            <w:tcW w:w="10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305,023</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280,252</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5,606,241</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1,271,298</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223,903</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133,334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80,128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1,708,663</w:t>
            </w:r>
          </w:p>
        </w:tc>
        <w:tc>
          <w:tcPr>
            <w:tcW w:w="0" w:type="dxa"/>
            <w:vAlign w:val="bottom"/>
          </w:tcPr>
          <w:p>
            <w:pPr>
              <w:spacing w:after="0"/>
              <w:rPr>
                <w:sz w:val="1"/>
                <w:szCs w:val="1"/>
                <w:color w:val="auto"/>
              </w:rPr>
            </w:pPr>
          </w:p>
        </w:tc>
      </w:tr>
      <w:tr>
        <w:trPr>
          <w:trHeight w:val="263"/>
        </w:trPr>
        <w:tc>
          <w:tcPr>
            <w:tcW w:w="34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269,978</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1,050</w:t>
            </w:r>
          </w:p>
        </w:tc>
        <w:tc>
          <w:tcPr>
            <w:tcW w:w="10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1,128</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1,017</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273,173</w:t>
            </w:r>
          </w:p>
        </w:tc>
        <w:tc>
          <w:tcPr>
            <w:tcW w:w="0" w:type="dxa"/>
            <w:vAlign w:val="bottom"/>
          </w:tcPr>
          <w:p>
            <w:pPr>
              <w:spacing w:after="0"/>
              <w:rPr>
                <w:sz w:val="1"/>
                <w:szCs w:val="1"/>
                <w:color w:val="auto"/>
              </w:rPr>
            </w:pPr>
          </w:p>
        </w:tc>
      </w:tr>
      <w:tr>
        <w:trPr>
          <w:trHeight w:val="264"/>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1,541,276</w:t>
            </w:r>
          </w:p>
        </w:tc>
        <w:tc>
          <w:tcPr>
            <w:tcW w:w="8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224,953</w:t>
            </w:r>
          </w:p>
        </w:tc>
        <w:tc>
          <w:tcPr>
            <w:tcW w:w="10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spacing w:after="0"/>
              <w:rPr>
                <w:sz w:val="22"/>
                <w:szCs w:val="22"/>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134,462</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81,145</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1,981,836</w:t>
            </w:r>
          </w:p>
        </w:tc>
        <w:tc>
          <w:tcPr>
            <w:tcW w:w="0" w:type="dxa"/>
            <w:vAlign w:val="bottom"/>
          </w:tcPr>
          <w:p>
            <w:pPr>
              <w:spacing w:after="0"/>
              <w:rPr>
                <w:sz w:val="1"/>
                <w:szCs w:val="1"/>
                <w:color w:val="auto"/>
              </w:rPr>
            </w:pPr>
          </w:p>
        </w:tc>
      </w:tr>
      <w:tr>
        <w:trPr>
          <w:trHeight w:val="270"/>
        </w:trPr>
        <w:tc>
          <w:tcPr>
            <w:tcW w:w="340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30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5,490,872</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1,296,323</w:t>
            </w: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439,485</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361,397</w:t>
            </w: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7,588,077</w:t>
            </w:r>
          </w:p>
        </w:tc>
        <w:tc>
          <w:tcPr>
            <w:tcW w:w="0" w:type="dxa"/>
            <w:vAlign w:val="bottom"/>
          </w:tcPr>
          <w:p>
            <w:pPr>
              <w:spacing w:after="0"/>
              <w:rPr>
                <w:sz w:val="1"/>
                <w:szCs w:val="1"/>
                <w:color w:val="auto"/>
              </w:rPr>
            </w:pPr>
          </w:p>
        </w:tc>
      </w:tr>
      <w:tr>
        <w:trPr>
          <w:trHeight w:val="20"/>
        </w:trPr>
        <w:tc>
          <w:tcPr>
            <w:tcW w:w="34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13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1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tcBorders>
              <w:bottom w:val="single" w:sz="8" w:color="auto"/>
            </w:tcBorders>
            <w:shd w:val="clear" w:color="auto" w:fill="E0E7ED"/>
          </w:tcPr>
          <w:p>
            <w:pPr>
              <w:spacing w:after="0"/>
              <w:rPr>
                <w:sz w:val="20"/>
                <w:szCs w:val="20"/>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(91,562)</w:t>
            </w:r>
          </w:p>
        </w:tc>
        <w:tc>
          <w:tcPr>
            <w:tcW w:w="0" w:type="dxa"/>
            <w:vAlign w:val="bottom"/>
          </w:tcPr>
          <w:p>
            <w:pPr>
              <w:spacing w:after="0"/>
              <w:rPr>
                <w:sz w:val="1"/>
                <w:szCs w:val="1"/>
                <w:color w:val="auto"/>
              </w:rPr>
            </w:pPr>
          </w:p>
        </w:tc>
      </w:tr>
      <w:tr>
        <w:trPr>
          <w:trHeight w:val="270"/>
        </w:trPr>
        <w:tc>
          <w:tcPr>
            <w:tcW w:w="3400" w:type="dxa"/>
            <w:vAlign w:val="bottom"/>
          </w:tcPr>
          <w:p>
            <w:pPr>
              <w:ind w:left="20"/>
              <w:spacing w:after="0"/>
              <w:rPr>
                <w:sz w:val="20"/>
                <w:szCs w:val="20"/>
                <w:color w:val="auto"/>
              </w:rPr>
            </w:pPr>
            <w:r>
              <w:rPr>
                <w:rFonts w:ascii="Verdana" w:cs="Verdana" w:eastAsia="Verdana" w:hAnsi="Verdana"/>
                <w:sz w:val="18"/>
                <w:szCs w:val="18"/>
                <w:color w:val="auto"/>
              </w:rPr>
              <w:t>Portfolio loans, net of ACL</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7,496,515</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vMerge w:val="restart"/>
          </w:tcPr>
          <w:p>
            <w:pPr>
              <w:jc w:val="right"/>
              <w:ind w:right="653"/>
              <w:spacing w:after="0"/>
              <w:rPr>
                <w:sz w:val="20"/>
                <w:szCs w:val="20"/>
                <w:color w:val="auto"/>
              </w:rPr>
            </w:pPr>
            <w:r>
              <w:rPr>
                <w:rFonts w:ascii="Verdana" w:cs="Verdana" w:eastAsia="Verdana" w:hAnsi="Verdana"/>
                <w:sz w:val="18"/>
                <w:szCs w:val="18"/>
                <w:color w:val="auto"/>
              </w:rPr>
              <w:t>77</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7" w:name="page78"/>
    <w:bookmarkEnd w:id="7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3"/>
                <w:szCs w:val="13"/>
                <w:b w:val="1"/>
                <w:bCs w:val="1"/>
                <w:color w:val="auto"/>
              </w:rPr>
              <w:t>December 31, 2023</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0"/>
        </w:trPr>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Illinois</w:t>
            </w:r>
          </w:p>
        </w:tc>
        <w:tc>
          <w:tcPr>
            <w:tcW w:w="3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Verdana" w:cs="Verdana" w:eastAsia="Verdana" w:hAnsi="Verdana"/>
                <w:sz w:val="13"/>
                <w:szCs w:val="13"/>
                <w:b w:val="1"/>
                <w:bCs w:val="1"/>
                <w:color w:val="auto"/>
              </w:rPr>
              <w:t>Missouri</w:t>
            </w:r>
          </w:p>
        </w:tc>
        <w:tc>
          <w:tcPr>
            <w:tcW w:w="32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Florida</w:t>
            </w: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Indiana</w:t>
            </w:r>
          </w:p>
        </w:tc>
        <w:tc>
          <w:tcPr>
            <w:tcW w:w="300" w:type="dxa"/>
            <w:vAlign w:val="bottom"/>
          </w:tcPr>
          <w:p>
            <w:pPr>
              <w:spacing w:after="0"/>
              <w:rPr>
                <w:sz w:val="14"/>
                <w:szCs w:val="14"/>
                <w:color w:val="auto"/>
              </w:rPr>
            </w:pPr>
          </w:p>
        </w:tc>
        <w:tc>
          <w:tcPr>
            <w:tcW w:w="1200" w:type="dxa"/>
            <w:vAlign w:val="bottom"/>
          </w:tcPr>
          <w:p>
            <w:pPr>
              <w:jc w:val="right"/>
              <w:ind w:right="492"/>
              <w:spacing w:after="0"/>
              <w:rPr>
                <w:sz w:val="20"/>
                <w:szCs w:val="20"/>
                <w:color w:val="auto"/>
              </w:rPr>
            </w:pPr>
            <w:r>
              <w:rPr>
                <w:rFonts w:ascii="Verdana" w:cs="Verdana" w:eastAsia="Verdana" w:hAnsi="Verdana"/>
                <w:sz w:val="13"/>
                <w:szCs w:val="13"/>
                <w:b w:val="1"/>
                <w:bCs w:val="1"/>
                <w:color w:val="auto"/>
              </w:rPr>
              <w:t>Total</w:t>
            </w:r>
          </w:p>
        </w:tc>
      </w:tr>
      <w:tr>
        <w:trPr>
          <w:trHeight w:val="255"/>
        </w:trPr>
        <w:tc>
          <w:tcPr>
            <w:tcW w:w="34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r>
      <w:tr>
        <w:trPr>
          <w:trHeight w:val="263"/>
        </w:trPr>
        <w:tc>
          <w:tcPr>
            <w:tcW w:w="340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1,395,020</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369,767</w:t>
            </w:r>
          </w:p>
        </w:tc>
        <w:tc>
          <w:tcPr>
            <w:tcW w:w="10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25,267</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45,940</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1,835,994</w:t>
            </w: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2,278,348</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671,762</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219,511</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167,716</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r>
      <w:tr>
        <w:trPr>
          <w:trHeight w:val="264"/>
        </w:trPr>
        <w:tc>
          <w:tcPr>
            <w:tcW w:w="34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255,879</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74,805</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72,121</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58,912</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461,717</w:t>
            </w:r>
          </w:p>
        </w:tc>
      </w:tr>
      <w:tr>
        <w:trPr>
          <w:trHeight w:val="270"/>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3,929,247</w:t>
            </w:r>
          </w:p>
        </w:tc>
        <w:tc>
          <w:tcPr>
            <w:tcW w:w="8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1,116,334</w:t>
            </w:r>
          </w:p>
        </w:tc>
        <w:tc>
          <w:tcPr>
            <w:tcW w:w="10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316,899</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272,568</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r>
      <w:tr>
        <w:trPr>
          <w:trHeight w:val="243"/>
        </w:trPr>
        <w:tc>
          <w:tcPr>
            <w:tcW w:w="340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1,284,362</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225,610</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129,454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81,029</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r>
      <w:tr>
        <w:trPr>
          <w:trHeight w:val="263"/>
        </w:trPr>
        <w:tc>
          <w:tcPr>
            <w:tcW w:w="34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290,937</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2,344</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1,111</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1,139</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295,531</w:t>
            </w:r>
          </w:p>
        </w:tc>
      </w:tr>
      <w:tr>
        <w:trPr>
          <w:trHeight w:val="263"/>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1,575,299</w:t>
            </w:r>
          </w:p>
        </w:tc>
        <w:tc>
          <w:tcPr>
            <w:tcW w:w="8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227,954</w:t>
            </w:r>
          </w:p>
        </w:tc>
        <w:tc>
          <w:tcPr>
            <w:tcW w:w="100" w:type="dxa"/>
            <w:vAlign w:val="bottom"/>
            <w:shd w:val="clear" w:color="auto" w:fill="E0E7ED"/>
          </w:tcPr>
          <w:p>
            <w:pPr>
              <w:spacing w:after="0"/>
              <w:rPr>
                <w:sz w:val="22"/>
                <w:szCs w:val="22"/>
                <w:color w:val="auto"/>
              </w:rPr>
            </w:pPr>
          </w:p>
        </w:tc>
        <w:tc>
          <w:tcPr>
            <w:tcW w:w="320" w:type="dxa"/>
            <w:vAlign w:val="bottom"/>
            <w:tcBorders>
              <w:bottom w:val="single" w:sz="8" w:color="auto"/>
            </w:tcBorders>
            <w:shd w:val="clear" w:color="auto" w:fill="E0E7ED"/>
          </w:tcPr>
          <w:p>
            <w:pPr>
              <w:spacing w:after="0"/>
              <w:rPr>
                <w:sz w:val="22"/>
                <w:szCs w:val="22"/>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130,565</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82,168</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r>
      <w:tr>
        <w:trPr>
          <w:trHeight w:val="270"/>
        </w:trPr>
        <w:tc>
          <w:tcPr>
            <w:tcW w:w="340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30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5,504,546</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1,344,288</w:t>
            </w:r>
          </w:p>
        </w:tc>
        <w:tc>
          <w:tcPr>
            <w:tcW w:w="100" w:type="dxa"/>
            <w:vAlign w:val="bottom"/>
          </w:tcPr>
          <w:p>
            <w:pPr>
              <w:spacing w:after="0"/>
              <w:rPr>
                <w:sz w:val="23"/>
                <w:szCs w:val="23"/>
                <w:color w:val="auto"/>
              </w:rPr>
            </w:pPr>
          </w:p>
        </w:tc>
        <w:tc>
          <w:tcPr>
            <w:tcW w:w="32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447,464</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354,736</w:t>
            </w: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7,651,034</w:t>
            </w:r>
          </w:p>
        </w:tc>
      </w:tr>
      <w:tr>
        <w:trPr>
          <w:trHeight w:val="20"/>
        </w:trPr>
        <w:tc>
          <w:tcPr>
            <w:tcW w:w="34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r>
      <w:tr>
        <w:trPr>
          <w:trHeight w:val="230"/>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1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1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tcBorders>
              <w:bottom w:val="single" w:sz="8" w:color="auto"/>
            </w:tcBorders>
            <w:shd w:val="clear" w:color="auto" w:fill="E0E7ED"/>
          </w:tcPr>
          <w:p>
            <w:pPr>
              <w:spacing w:after="0"/>
              <w:rPr>
                <w:sz w:val="20"/>
                <w:szCs w:val="20"/>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(91,740)</w:t>
            </w:r>
          </w:p>
        </w:tc>
      </w:tr>
      <w:tr>
        <w:trPr>
          <w:trHeight w:val="270"/>
        </w:trPr>
        <w:tc>
          <w:tcPr>
            <w:tcW w:w="3400" w:type="dxa"/>
            <w:vAlign w:val="bottom"/>
          </w:tcPr>
          <w:p>
            <w:pPr>
              <w:ind w:left="20"/>
              <w:spacing w:after="0"/>
              <w:rPr>
                <w:sz w:val="20"/>
                <w:szCs w:val="20"/>
                <w:color w:val="auto"/>
              </w:rPr>
            </w:pPr>
            <w:r>
              <w:rPr>
                <w:rFonts w:ascii="Verdana" w:cs="Verdana" w:eastAsia="Verdana" w:hAnsi="Verdana"/>
                <w:sz w:val="18"/>
                <w:szCs w:val="18"/>
                <w:color w:val="auto"/>
              </w:rPr>
              <w:t>Portfolio loans, net of ACL</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7,559,294</w:t>
            </w:r>
          </w:p>
        </w:tc>
      </w:tr>
      <w:tr>
        <w:trPr>
          <w:trHeight w:val="21"/>
        </w:trPr>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Commercial real estate loans made up 43.9% of our total loan portfolio as of March 31, 2024, and were 27.6% owner occupied. Commercial real estate loans are made across a variety of industries, as depicted in the table below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 Balances reflected in the table below do not include loan origination fees or costs, purchase accounting</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adjustments, SBA discounts, or negative escrow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jc w:val="right"/>
              <w:ind w:right="752"/>
              <w:spacing w:after="0"/>
              <w:rPr>
                <w:sz w:val="20"/>
                <w:szCs w:val="20"/>
                <w:color w:val="auto"/>
              </w:rPr>
            </w:pPr>
            <w:r>
              <w:rPr>
                <w:rFonts w:ascii="Verdana" w:cs="Verdana" w:eastAsia="Verdana" w:hAnsi="Verdana"/>
                <w:sz w:val="13"/>
                <w:szCs w:val="13"/>
                <w:b w:val="1"/>
                <w:bCs w:val="1"/>
                <w:color w:val="auto"/>
              </w:rPr>
              <w:t>As of March 31, 2024</w:t>
            </w: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r>
      <w:tr>
        <w:trPr>
          <w:trHeight w:val="170"/>
        </w:trPr>
        <w:tc>
          <w:tcPr>
            <w:tcW w:w="4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Verdana" w:cs="Verdana" w:eastAsia="Verdana" w:hAnsi="Verdana"/>
                <w:sz w:val="13"/>
                <w:szCs w:val="13"/>
                <w:b w:val="1"/>
                <w:bCs w:val="1"/>
                <w:color w:val="auto"/>
              </w:rPr>
              <w:t>Investor Owned</w:t>
            </w:r>
          </w:p>
        </w:tc>
        <w:tc>
          <w:tcPr>
            <w:tcW w:w="18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Verdana" w:cs="Verdana" w:eastAsia="Verdana" w:hAnsi="Verdana"/>
                <w:sz w:val="13"/>
                <w:szCs w:val="13"/>
                <w:b w:val="1"/>
                <w:bCs w:val="1"/>
                <w:color w:val="auto"/>
              </w:rPr>
              <w:t>Owner Occupied</w:t>
            </w:r>
          </w:p>
        </w:tc>
        <w:tc>
          <w:tcPr>
            <w:tcW w:w="340" w:type="dxa"/>
            <w:vAlign w:val="bottom"/>
          </w:tcPr>
          <w:p>
            <w:pPr>
              <w:spacing w:after="0"/>
              <w:rPr>
                <w:sz w:val="14"/>
                <w:szCs w:val="14"/>
                <w:color w:val="auto"/>
              </w:rPr>
            </w:pPr>
          </w:p>
        </w:tc>
        <w:tc>
          <w:tcPr>
            <w:tcW w:w="1260" w:type="dxa"/>
            <w:vAlign w:val="bottom"/>
          </w:tcPr>
          <w:p>
            <w:pPr>
              <w:jc w:val="right"/>
              <w:ind w:right="532"/>
              <w:spacing w:after="0"/>
              <w:rPr>
                <w:sz w:val="20"/>
                <w:szCs w:val="20"/>
                <w:color w:val="auto"/>
              </w:rPr>
            </w:pPr>
            <w:r>
              <w:rPr>
                <w:rFonts w:ascii="Verdana" w:cs="Verdana" w:eastAsia="Verdana" w:hAnsi="Verdana"/>
                <w:sz w:val="13"/>
                <w:szCs w:val="13"/>
                <w:b w:val="1"/>
                <w:bCs w:val="1"/>
                <w:color w:val="auto"/>
              </w:rPr>
              <w:t>Total</w:t>
            </w:r>
          </w:p>
        </w:tc>
        <w:tc>
          <w:tcPr>
            <w:tcW w:w="80" w:type="dxa"/>
            <w:vAlign w:val="bottom"/>
          </w:tcPr>
          <w:p>
            <w:pPr>
              <w:spacing w:after="0"/>
              <w:rPr>
                <w:sz w:val="14"/>
                <w:szCs w:val="14"/>
                <w:color w:val="auto"/>
              </w:rPr>
            </w:pPr>
          </w:p>
        </w:tc>
        <w:tc>
          <w:tcPr>
            <w:tcW w:w="1720" w:type="dxa"/>
            <w:vAlign w:val="bottom"/>
          </w:tcPr>
          <w:p>
            <w:pPr>
              <w:jc w:val="right"/>
              <w:ind w:right="97"/>
              <w:spacing w:after="0"/>
              <w:rPr>
                <w:sz w:val="20"/>
                <w:szCs w:val="20"/>
                <w:color w:val="auto"/>
              </w:rPr>
            </w:pPr>
            <w:r>
              <w:rPr>
                <w:rFonts w:ascii="Verdana" w:cs="Verdana" w:eastAsia="Verdana" w:hAnsi="Verdana"/>
                <w:sz w:val="13"/>
                <w:szCs w:val="13"/>
                <w:b w:val="1"/>
                <w:bCs w:val="1"/>
                <w:color w:val="auto"/>
              </w:rPr>
              <w:t>% Owner Occupied</w:t>
            </w:r>
          </w:p>
        </w:tc>
      </w:tr>
      <w:tr>
        <w:trPr>
          <w:trHeight w:val="255"/>
        </w:trPr>
        <w:tc>
          <w:tcPr>
            <w:tcW w:w="44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Real Estate by Industry</w:t>
            </w:r>
          </w:p>
        </w:tc>
        <w:tc>
          <w:tcPr>
            <w:tcW w:w="180" w:type="dxa"/>
            <w:vAlign w:val="bottom"/>
            <w:tcBorders>
              <w:top w:val="single" w:sz="8" w:color="auto"/>
            </w:tcBorders>
            <w:shd w:val="clear" w:color="auto" w:fill="E0E7ED"/>
          </w:tcPr>
          <w:p>
            <w:pPr>
              <w:spacing w:after="0"/>
              <w:rPr>
                <w:sz w:val="22"/>
                <w:szCs w:val="22"/>
                <w:color w:val="auto"/>
              </w:rPr>
            </w:pPr>
          </w:p>
        </w:tc>
        <w:tc>
          <w:tcPr>
            <w:tcW w:w="14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4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720" w:type="dxa"/>
            <w:vAlign w:val="bottom"/>
            <w:tcBorders>
              <w:top w:val="single" w:sz="8" w:color="auto"/>
            </w:tcBorders>
            <w:shd w:val="clear" w:color="auto" w:fill="E0E7ED"/>
          </w:tcPr>
          <w:p>
            <w:pPr>
              <w:spacing w:after="0"/>
              <w:rPr>
                <w:sz w:val="22"/>
                <w:szCs w:val="22"/>
                <w:color w:val="auto"/>
              </w:rPr>
            </w:pPr>
          </w:p>
        </w:tc>
      </w:tr>
      <w:tr>
        <w:trPr>
          <w:trHeight w:val="263"/>
        </w:trPr>
        <w:tc>
          <w:tcPr>
            <w:tcW w:w="4480" w:type="dxa"/>
            <w:vAlign w:val="bottom"/>
          </w:tcPr>
          <w:p>
            <w:pPr>
              <w:ind w:left="180"/>
              <w:spacing w:after="0"/>
              <w:rPr>
                <w:sz w:val="20"/>
                <w:szCs w:val="20"/>
                <w:color w:val="auto"/>
              </w:rPr>
            </w:pPr>
            <w:r>
              <w:rPr>
                <w:rFonts w:ascii="Verdana" w:cs="Verdana" w:eastAsia="Verdana" w:hAnsi="Verdana"/>
                <w:sz w:val="18"/>
                <w:szCs w:val="18"/>
                <w:color w:val="auto"/>
              </w:rPr>
              <w:t>Industrial/Warehouse</w:t>
            </w:r>
          </w:p>
        </w:tc>
        <w:tc>
          <w:tcPr>
            <w:tcW w:w="18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312,640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tcPr>
          <w:p>
            <w:pPr>
              <w:jc w:val="right"/>
              <w:spacing w:after="0"/>
              <w:rPr>
                <w:sz w:val="20"/>
                <w:szCs w:val="20"/>
                <w:color w:val="auto"/>
              </w:rPr>
            </w:pPr>
            <w:r>
              <w:rPr>
                <w:rFonts w:ascii="Verdana" w:cs="Verdana" w:eastAsia="Verdana" w:hAnsi="Verdana"/>
                <w:sz w:val="18"/>
                <w:szCs w:val="18"/>
                <w:color w:val="auto"/>
              </w:rPr>
              <w:t>351,980</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664,620</w:t>
            </w:r>
          </w:p>
        </w:tc>
        <w:tc>
          <w:tcPr>
            <w:tcW w:w="1800" w:type="dxa"/>
            <w:vAlign w:val="bottom"/>
            <w:gridSpan w:val="2"/>
          </w:tcPr>
          <w:p>
            <w:pPr>
              <w:jc w:val="right"/>
              <w:spacing w:after="0"/>
              <w:rPr>
                <w:sz w:val="20"/>
                <w:szCs w:val="20"/>
                <w:color w:val="auto"/>
              </w:rPr>
            </w:pPr>
            <w:r>
              <w:rPr>
                <w:rFonts w:ascii="Verdana" w:cs="Verdana" w:eastAsia="Verdana" w:hAnsi="Verdana"/>
                <w:sz w:val="18"/>
                <w:szCs w:val="18"/>
                <w:color w:val="auto"/>
              </w:rPr>
              <w:t>53.0 %</w:t>
            </w:r>
          </w:p>
        </w:tc>
      </w:tr>
      <w:tr>
        <w:trPr>
          <w:trHeight w:val="277"/>
        </w:trPr>
        <w:tc>
          <w:tcPr>
            <w:tcW w:w="44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w:t>
            </w: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487,213</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77,200</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564,413</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13.7 %</w:t>
            </w:r>
          </w:p>
        </w:tc>
      </w:tr>
      <w:tr>
        <w:trPr>
          <w:trHeight w:val="263"/>
        </w:trPr>
        <w:tc>
          <w:tcPr>
            <w:tcW w:w="4480" w:type="dxa"/>
            <w:vAlign w:val="bottom"/>
          </w:tcPr>
          <w:p>
            <w:pPr>
              <w:ind w:left="180"/>
              <w:spacing w:after="0"/>
              <w:rPr>
                <w:sz w:val="20"/>
                <w:szCs w:val="20"/>
                <w:color w:val="auto"/>
              </w:rPr>
            </w:pPr>
            <w:r>
              <w:rPr>
                <w:rFonts w:ascii="Verdana" w:cs="Verdana" w:eastAsia="Verdana" w:hAnsi="Verdana"/>
                <w:sz w:val="18"/>
                <w:szCs w:val="18"/>
                <w:color w:val="auto"/>
              </w:rPr>
              <w:t>Apartments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530,780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530,780</w:t>
            </w:r>
          </w:p>
        </w:tc>
        <w:tc>
          <w:tcPr>
            <w:tcW w:w="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Verdana" w:cs="Verdana" w:eastAsia="Verdana" w:hAnsi="Verdana"/>
                <w:sz w:val="18"/>
                <w:szCs w:val="18"/>
                <w:color w:val="auto"/>
              </w:rPr>
              <w:t>— %</w:t>
            </w:r>
          </w:p>
        </w:tc>
      </w:tr>
      <w:tr>
        <w:trPr>
          <w:trHeight w:val="277"/>
        </w:trPr>
        <w:tc>
          <w:tcPr>
            <w:tcW w:w="44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Traditional Office</w:t>
            </w: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251,699</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113,708</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365,407</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31.1 %</w:t>
            </w:r>
          </w:p>
        </w:tc>
      </w:tr>
      <w:tr>
        <w:trPr>
          <w:trHeight w:val="263"/>
        </w:trPr>
        <w:tc>
          <w:tcPr>
            <w:tcW w:w="4480" w:type="dxa"/>
            <w:vAlign w:val="bottom"/>
          </w:tcPr>
          <w:p>
            <w:pPr>
              <w:ind w:left="180"/>
              <w:spacing w:after="0"/>
              <w:rPr>
                <w:sz w:val="20"/>
                <w:szCs w:val="20"/>
                <w:color w:val="auto"/>
              </w:rPr>
            </w:pPr>
            <w:r>
              <w:rPr>
                <w:rFonts w:ascii="Verdana" w:cs="Verdana" w:eastAsia="Verdana" w:hAnsi="Verdana"/>
                <w:sz w:val="18"/>
                <w:szCs w:val="18"/>
                <w:color w:val="auto"/>
              </w:rPr>
              <w:t>Specialty</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71,812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238,538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310,350</w:t>
            </w:r>
          </w:p>
        </w:tc>
        <w:tc>
          <w:tcPr>
            <w:tcW w:w="1800" w:type="dxa"/>
            <w:vAlign w:val="bottom"/>
            <w:gridSpan w:val="2"/>
          </w:tcPr>
          <w:p>
            <w:pPr>
              <w:jc w:val="right"/>
              <w:spacing w:after="0"/>
              <w:rPr>
                <w:sz w:val="20"/>
                <w:szCs w:val="20"/>
                <w:color w:val="auto"/>
              </w:rPr>
            </w:pPr>
            <w:r>
              <w:rPr>
                <w:rFonts w:ascii="Verdana" w:cs="Verdana" w:eastAsia="Verdana" w:hAnsi="Verdana"/>
                <w:sz w:val="18"/>
                <w:szCs w:val="18"/>
                <w:color w:val="auto"/>
              </w:rPr>
              <w:t>76.9 %</w:t>
            </w:r>
          </w:p>
        </w:tc>
      </w:tr>
      <w:tr>
        <w:trPr>
          <w:trHeight w:val="277"/>
        </w:trPr>
        <w:tc>
          <w:tcPr>
            <w:tcW w:w="44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Medical Office</w:t>
            </w: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151,362</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88,682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240,044</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36.9 %</w:t>
            </w:r>
          </w:p>
        </w:tc>
      </w:tr>
      <w:tr>
        <w:trPr>
          <w:trHeight w:val="263"/>
        </w:trPr>
        <w:tc>
          <w:tcPr>
            <w:tcW w:w="4480" w:type="dxa"/>
            <w:vAlign w:val="bottom"/>
          </w:tcPr>
          <w:p>
            <w:pPr>
              <w:ind w:left="180"/>
              <w:spacing w:after="0"/>
              <w:rPr>
                <w:sz w:val="20"/>
                <w:szCs w:val="20"/>
                <w:color w:val="auto"/>
              </w:rPr>
            </w:pPr>
            <w:r>
              <w:rPr>
                <w:rFonts w:ascii="Verdana" w:cs="Verdana" w:eastAsia="Verdana" w:hAnsi="Verdana"/>
                <w:sz w:val="18"/>
                <w:szCs w:val="18"/>
                <w:color w:val="auto"/>
              </w:rPr>
              <w:t>Student Housing</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208,767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208,767</w:t>
            </w:r>
          </w:p>
        </w:tc>
        <w:tc>
          <w:tcPr>
            <w:tcW w:w="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Verdana" w:cs="Verdana" w:eastAsia="Verdana" w:hAnsi="Verdana"/>
                <w:sz w:val="18"/>
                <w:szCs w:val="18"/>
                <w:color w:val="auto"/>
              </w:rPr>
              <w:t>— %</w:t>
            </w:r>
          </w:p>
        </w:tc>
      </w:tr>
      <w:tr>
        <w:trPr>
          <w:trHeight w:val="277"/>
        </w:trPr>
        <w:tc>
          <w:tcPr>
            <w:tcW w:w="44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Hotel</w:t>
            </w: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186,106</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598</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186,704</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0.3 %</w:t>
            </w:r>
          </w:p>
        </w:tc>
      </w:tr>
      <w:tr>
        <w:trPr>
          <w:trHeight w:val="263"/>
        </w:trPr>
        <w:tc>
          <w:tcPr>
            <w:tcW w:w="4480" w:type="dxa"/>
            <w:vAlign w:val="bottom"/>
          </w:tcPr>
          <w:p>
            <w:pPr>
              <w:ind w:left="180"/>
              <w:spacing w:after="0"/>
              <w:rPr>
                <w:sz w:val="20"/>
                <w:szCs w:val="20"/>
                <w:color w:val="auto"/>
              </w:rPr>
            </w:pPr>
            <w:r>
              <w:rPr>
                <w:rFonts w:ascii="Verdana" w:cs="Verdana" w:eastAsia="Verdana" w:hAnsi="Verdana"/>
                <w:sz w:val="18"/>
                <w:szCs w:val="18"/>
                <w:color w:val="auto"/>
              </w:rPr>
              <w:t>Senior Housing</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143,290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143,290</w:t>
            </w:r>
          </w:p>
        </w:tc>
        <w:tc>
          <w:tcPr>
            <w:tcW w:w="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Verdana" w:cs="Verdana" w:eastAsia="Verdana" w:hAnsi="Verdana"/>
                <w:sz w:val="18"/>
                <w:szCs w:val="18"/>
                <w:color w:val="auto"/>
              </w:rPr>
              <w:t>— %</w:t>
            </w:r>
          </w:p>
        </w:tc>
      </w:tr>
      <w:tr>
        <w:trPr>
          <w:trHeight w:val="277"/>
        </w:trPr>
        <w:tc>
          <w:tcPr>
            <w:tcW w:w="44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Restaurant</w:t>
            </w: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26,623</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45,681</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72,304</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63.2 %</w:t>
            </w:r>
          </w:p>
        </w:tc>
      </w:tr>
      <w:tr>
        <w:trPr>
          <w:trHeight w:val="263"/>
        </w:trPr>
        <w:tc>
          <w:tcPr>
            <w:tcW w:w="4480" w:type="dxa"/>
            <w:vAlign w:val="bottom"/>
          </w:tcPr>
          <w:p>
            <w:pPr>
              <w:ind w:left="180"/>
              <w:spacing w:after="0"/>
              <w:rPr>
                <w:sz w:val="20"/>
                <w:szCs w:val="20"/>
                <w:color w:val="auto"/>
              </w:rPr>
            </w:pPr>
            <w:r>
              <w:rPr>
                <w:rFonts w:ascii="Verdana" w:cs="Verdana" w:eastAsia="Verdana" w:hAnsi="Verdana"/>
                <w:sz w:val="18"/>
                <w:szCs w:val="18"/>
                <w:color w:val="auto"/>
              </w:rPr>
              <w:t>Nursing Homes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23,711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1,388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25,099</w:t>
            </w:r>
          </w:p>
        </w:tc>
        <w:tc>
          <w:tcPr>
            <w:tcW w:w="1800" w:type="dxa"/>
            <w:vAlign w:val="bottom"/>
            <w:gridSpan w:val="2"/>
          </w:tcPr>
          <w:p>
            <w:pPr>
              <w:jc w:val="right"/>
              <w:spacing w:after="0"/>
              <w:rPr>
                <w:sz w:val="20"/>
                <w:szCs w:val="20"/>
                <w:color w:val="auto"/>
              </w:rPr>
            </w:pPr>
            <w:r>
              <w:rPr>
                <w:rFonts w:ascii="Verdana" w:cs="Verdana" w:eastAsia="Verdana" w:hAnsi="Verdana"/>
                <w:sz w:val="18"/>
                <w:szCs w:val="18"/>
                <w:color w:val="auto"/>
              </w:rPr>
              <w:t>5.5 %</w:t>
            </w:r>
          </w:p>
        </w:tc>
      </w:tr>
      <w:tr>
        <w:trPr>
          <w:trHeight w:val="277"/>
        </w:trPr>
        <w:tc>
          <w:tcPr>
            <w:tcW w:w="44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Health Care</w:t>
            </w: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20,000</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683</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20,683</w:t>
            </w:r>
          </w:p>
        </w:tc>
        <w:tc>
          <w:tcPr>
            <w:tcW w:w="18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3.3 %</w:t>
            </w:r>
          </w:p>
        </w:tc>
      </w:tr>
      <w:tr>
        <w:trPr>
          <w:trHeight w:val="263"/>
        </w:trPr>
        <w:tc>
          <w:tcPr>
            <w:tcW w:w="44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533</w:t>
            </w:r>
          </w:p>
        </w:tc>
        <w:tc>
          <w:tcPr>
            <w:tcW w:w="10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199</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732</w:t>
            </w:r>
          </w:p>
        </w:tc>
        <w:tc>
          <w:tcPr>
            <w:tcW w:w="180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27.2 %</w:t>
            </w:r>
          </w:p>
        </w:tc>
      </w:tr>
      <w:tr>
        <w:trPr>
          <w:trHeight w:val="295"/>
        </w:trPr>
        <w:tc>
          <w:tcPr>
            <w:tcW w:w="44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w:t>
            </w:r>
          </w:p>
        </w:tc>
        <w:tc>
          <w:tcPr>
            <w:tcW w:w="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2,414,536</w:t>
            </w:r>
          </w:p>
        </w:tc>
        <w:tc>
          <w:tcPr>
            <w:tcW w:w="100" w:type="dxa"/>
            <w:vAlign w:val="bottom"/>
            <w:tcBorders>
              <w:bottom w:val="single" w:sz="8" w:color="E0E7ED"/>
            </w:tcBorders>
            <w:shd w:val="clear" w:color="auto" w:fill="E0E7ED"/>
          </w:tcPr>
          <w:p>
            <w:pPr>
              <w:spacing w:after="0"/>
              <w:rPr>
                <w:sz w:val="24"/>
                <w:szCs w:val="24"/>
                <w:color w:val="auto"/>
              </w:rPr>
            </w:pPr>
          </w:p>
        </w:tc>
        <w:tc>
          <w:tcPr>
            <w:tcW w:w="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918,657</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3,333,193</w:t>
            </w:r>
          </w:p>
        </w:tc>
        <w:tc>
          <w:tcPr>
            <w:tcW w:w="180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27.6 %</w:t>
            </w:r>
          </w:p>
        </w:tc>
      </w:tr>
      <w:tr>
        <w:trPr>
          <w:trHeight w:val="20"/>
        </w:trPr>
        <w:tc>
          <w:tcPr>
            <w:tcW w:w="44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4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4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720" w:type="dxa"/>
            <w:vAlign w:val="bottom"/>
            <w:tcBorders>
              <w:top w:val="single" w:sz="8" w:color="E0E7ED"/>
            </w:tcBorders>
          </w:tcPr>
          <w:p>
            <w:pPr>
              <w:spacing w:after="0" w:line="20" w:lineRule="exact"/>
              <w:rPr>
                <w:sz w:val="1"/>
                <w:szCs w:val="1"/>
                <w:color w:val="auto"/>
              </w:rPr>
            </w:pPr>
          </w:p>
        </w:tc>
      </w:tr>
      <w:tr>
        <w:trPr>
          <w:trHeight w:val="892"/>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232"/>
              <w:spacing w:after="0"/>
              <w:rPr>
                <w:sz w:val="20"/>
                <w:szCs w:val="20"/>
                <w:color w:val="auto"/>
              </w:rPr>
            </w:pPr>
            <w:r>
              <w:rPr>
                <w:rFonts w:ascii="Verdana" w:cs="Verdana" w:eastAsia="Verdana" w:hAnsi="Verdana"/>
                <w:sz w:val="18"/>
                <w:szCs w:val="18"/>
                <w:color w:val="auto"/>
              </w:rPr>
              <w:t>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7"/>
        </w:trPr>
        <w:tc>
          <w:tcPr>
            <w:tcW w:w="4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8" w:name="page79"/>
    <w:bookmarkEnd w:id="7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Allowance and Provision for Credit Losses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The ACL is a significant estimate in our unaudited consolidated financial statements, affecting both earnings and capital. The methodology adopted influences, and is influenced by, Busey Bank’s overall credit risk management processes. The ACL is recorded in accordance with GAAP to provide an adequate reserve for expected credit losses that is reflective of management’s best estimate of what is expected to be collected. Estimates of credit losses are based on a careful consideration of all significant factors affecting collectability as of the evaluation date. The ACL is established through the provision for credit loss expense charged to income. Provision expenses were recorded as follows for each of the periods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384"/>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8"/>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Provision for credit losses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28"/>
              <w:spacing w:after="0"/>
              <w:rPr>
                <w:sz w:val="20"/>
                <w:szCs w:val="20"/>
                <w:color w:val="auto"/>
              </w:rPr>
            </w:pPr>
            <w:r>
              <w:rPr>
                <w:rFonts w:ascii="Verdana" w:cs="Verdana" w:eastAsia="Verdana" w:hAnsi="Verdana"/>
                <w:sz w:val="18"/>
                <w:szCs w:val="18"/>
                <w:color w:val="auto"/>
              </w:rPr>
              <w:t>5,038</w:t>
            </w: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953</w:t>
            </w:r>
          </w:p>
        </w:tc>
      </w:tr>
    </w:tbl>
    <w:p>
      <w:pPr>
        <w:spacing w:after="0" w:line="251" w:lineRule="exact"/>
        <w:rPr>
          <w:sz w:val="20"/>
          <w:szCs w:val="20"/>
          <w:color w:val="auto"/>
        </w:rPr>
      </w:pPr>
    </w:p>
    <w:p>
      <w:pPr>
        <w:jc w:val="both"/>
        <w:ind w:right="20"/>
        <w:spacing w:after="0" w:line="239" w:lineRule="auto"/>
        <w:rPr>
          <w:sz w:val="20"/>
          <w:szCs w:val="20"/>
          <w:color w:val="auto"/>
        </w:rPr>
      </w:pPr>
      <w:r>
        <w:rPr>
          <w:rFonts w:ascii="Verdana" w:cs="Verdana" w:eastAsia="Verdana" w:hAnsi="Verdana"/>
          <w:sz w:val="18"/>
          <w:szCs w:val="18"/>
          <w:color w:val="auto"/>
        </w:rPr>
        <w:t xml:space="preserve">The ACL and the ratio of ACL to portfolio loan balances is presented below by loan category and class, as of each of the dates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spacing w:after="0"/>
              <w:rPr>
                <w:sz w:val="20"/>
                <w:szCs w:val="20"/>
                <w:color w:val="auto"/>
              </w:rPr>
            </w:pPr>
            <w:r>
              <w:rPr>
                <w:rFonts w:ascii="Verdana" w:cs="Verdana" w:eastAsia="Verdana" w:hAnsi="Verdana"/>
                <w:sz w:val="13"/>
                <w:szCs w:val="13"/>
                <w:b w:val="1"/>
                <w:bCs w:val="1"/>
                <w:color w:val="auto"/>
                <w:w w:val="94"/>
              </w:rPr>
              <w:t>As of March 31, 2024</w:t>
            </w: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ind w:left="20"/>
              <w:spacing w:after="0"/>
              <w:rPr>
                <w:sz w:val="20"/>
                <w:szCs w:val="20"/>
                <w:color w:val="auto"/>
              </w:rPr>
            </w:pPr>
            <w:r>
              <w:rPr>
                <w:rFonts w:ascii="Verdana" w:cs="Verdana" w:eastAsia="Verdana" w:hAnsi="Verdana"/>
                <w:sz w:val="13"/>
                <w:szCs w:val="13"/>
                <w:b w:val="1"/>
                <w:bCs w:val="1"/>
                <w:color w:val="auto"/>
                <w:w w:val="98"/>
              </w:rPr>
              <w:t>As of December 31, 2023</w:t>
            </w: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vMerge w:val="restart"/>
          </w:tcPr>
          <w:p>
            <w:pPr>
              <w:ind w:left="40"/>
              <w:spacing w:after="0"/>
              <w:rPr>
                <w:sz w:val="20"/>
                <w:szCs w:val="20"/>
                <w:color w:val="auto"/>
              </w:rPr>
            </w:pPr>
            <w:r>
              <w:rPr>
                <w:rFonts w:ascii="Verdana" w:cs="Verdana" w:eastAsia="Verdana" w:hAnsi="Verdana"/>
                <w:sz w:val="13"/>
                <w:szCs w:val="13"/>
                <w:b w:val="1"/>
                <w:bCs w:val="1"/>
                <w:color w:val="auto"/>
              </w:rPr>
              <w:t>Portfolio Loans</w:t>
            </w:r>
          </w:p>
        </w:tc>
        <w:tc>
          <w:tcPr>
            <w:tcW w:w="340" w:type="dxa"/>
            <w:vAlign w:val="bottom"/>
          </w:tcPr>
          <w:p>
            <w:pPr>
              <w:spacing w:after="0"/>
              <w:rPr>
                <w:sz w:val="10"/>
                <w:szCs w:val="10"/>
                <w:color w:val="auto"/>
              </w:rPr>
            </w:pPr>
          </w:p>
        </w:tc>
        <w:tc>
          <w:tcPr>
            <w:tcW w:w="1140" w:type="dxa"/>
            <w:vAlign w:val="bottom"/>
            <w:gridSpan w:val="2"/>
            <w:vMerge w:val="restart"/>
          </w:tcPr>
          <w:p>
            <w:pPr>
              <w:ind w:left="220"/>
              <w:spacing w:after="0"/>
              <w:rPr>
                <w:sz w:val="20"/>
                <w:szCs w:val="20"/>
                <w:color w:val="auto"/>
              </w:rPr>
            </w:pPr>
            <w:r>
              <w:rPr>
                <w:rFonts w:ascii="Verdana" w:cs="Verdana" w:eastAsia="Verdana" w:hAnsi="Verdana"/>
                <w:sz w:val="13"/>
                <w:szCs w:val="13"/>
                <w:b w:val="1"/>
                <w:bCs w:val="1"/>
                <w:color w:val="auto"/>
              </w:rPr>
              <w:t>ACL</w:t>
            </w:r>
          </w:p>
        </w:tc>
        <w:tc>
          <w:tcPr>
            <w:tcW w:w="1560" w:type="dxa"/>
            <w:vAlign w:val="bottom"/>
          </w:tcPr>
          <w:p>
            <w:pPr>
              <w:ind w:left="260"/>
              <w:spacing w:after="0" w:line="122" w:lineRule="exact"/>
              <w:rPr>
                <w:sz w:val="20"/>
                <w:szCs w:val="20"/>
                <w:color w:val="auto"/>
              </w:rPr>
            </w:pPr>
            <w:r>
              <w:rPr>
                <w:rFonts w:ascii="Verdana" w:cs="Verdana" w:eastAsia="Verdana" w:hAnsi="Verdana"/>
                <w:sz w:val="13"/>
                <w:szCs w:val="13"/>
                <w:b w:val="1"/>
                <w:bCs w:val="1"/>
                <w:color w:val="auto"/>
              </w:rPr>
              <w:t>Ratio of ACL to</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vMerge w:val="restart"/>
          </w:tcPr>
          <w:p>
            <w:pPr>
              <w:jc w:val="right"/>
              <w:ind w:right="53"/>
              <w:spacing w:after="0"/>
              <w:rPr>
                <w:sz w:val="20"/>
                <w:szCs w:val="20"/>
                <w:color w:val="auto"/>
              </w:rPr>
            </w:pPr>
            <w:r>
              <w:rPr>
                <w:rFonts w:ascii="Verdana" w:cs="Verdana" w:eastAsia="Verdana" w:hAnsi="Verdana"/>
                <w:sz w:val="13"/>
                <w:szCs w:val="13"/>
                <w:b w:val="1"/>
                <w:bCs w:val="1"/>
                <w:color w:val="auto"/>
                <w:w w:val="97"/>
              </w:rPr>
              <w:t>Portfolio Loans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gridSpan w:val="3"/>
            <w:vMerge w:val="restart"/>
          </w:tcPr>
          <w:p>
            <w:pPr>
              <w:ind w:left="220"/>
              <w:spacing w:after="0"/>
              <w:rPr>
                <w:sz w:val="20"/>
                <w:szCs w:val="20"/>
                <w:color w:val="auto"/>
              </w:rPr>
            </w:pPr>
            <w:r>
              <w:rPr>
                <w:rFonts w:ascii="Verdana" w:cs="Verdana" w:eastAsia="Verdana" w:hAnsi="Verdana"/>
                <w:sz w:val="13"/>
                <w:szCs w:val="13"/>
                <w:b w:val="1"/>
                <w:bCs w:val="1"/>
                <w:color w:val="auto"/>
              </w:rPr>
              <w:t>ACL</w:t>
            </w:r>
          </w:p>
        </w:tc>
        <w:tc>
          <w:tcPr>
            <w:tcW w:w="1380" w:type="dxa"/>
            <w:vAlign w:val="bottom"/>
          </w:tcPr>
          <w:p>
            <w:pPr>
              <w:jc w:val="right"/>
              <w:ind w:right="175"/>
              <w:spacing w:after="0" w:line="122" w:lineRule="exact"/>
              <w:rPr>
                <w:sz w:val="20"/>
                <w:szCs w:val="20"/>
                <w:color w:val="auto"/>
              </w:rPr>
            </w:pPr>
            <w:r>
              <w:rPr>
                <w:rFonts w:ascii="Verdana" w:cs="Verdana" w:eastAsia="Verdana" w:hAnsi="Verdana"/>
                <w:sz w:val="13"/>
                <w:szCs w:val="13"/>
                <w:b w:val="1"/>
                <w:bCs w:val="1"/>
                <w:color w:val="auto"/>
              </w:rPr>
              <w:t>Ratio of ACL to</w:t>
            </w:r>
          </w:p>
        </w:tc>
        <w:tc>
          <w:tcPr>
            <w:tcW w:w="0" w:type="dxa"/>
            <w:vAlign w:val="bottom"/>
          </w:tcPr>
          <w:p>
            <w:pPr>
              <w:spacing w:after="0"/>
              <w:rPr>
                <w:sz w:val="1"/>
                <w:szCs w:val="1"/>
                <w:color w:val="auto"/>
              </w:rPr>
            </w:pPr>
          </w:p>
        </w:tc>
      </w:tr>
      <w:tr>
        <w:trPr>
          <w:trHeight w:val="170"/>
        </w:trPr>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Verdana" w:cs="Verdana" w:eastAsia="Verdana" w:hAnsi="Verdana"/>
                <w:sz w:val="13"/>
                <w:szCs w:val="13"/>
                <w:b w:val="1"/>
                <w:bCs w:val="1"/>
                <w:color w:val="auto"/>
              </w:rPr>
              <w:t>Portfolio Loans</w:t>
            </w: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380" w:type="dxa"/>
            <w:vAlign w:val="bottom"/>
          </w:tcPr>
          <w:p>
            <w:pPr>
              <w:jc w:val="right"/>
              <w:ind w:right="155"/>
              <w:spacing w:after="0"/>
              <w:rPr>
                <w:sz w:val="20"/>
                <w:szCs w:val="20"/>
                <w:color w:val="auto"/>
              </w:rPr>
            </w:pPr>
            <w:r>
              <w:rPr>
                <w:rFonts w:ascii="Verdana" w:cs="Verdana" w:eastAsia="Verdana" w:hAnsi="Verdana"/>
                <w:sz w:val="13"/>
                <w:szCs w:val="13"/>
                <w:b w:val="1"/>
                <w:bCs w:val="1"/>
                <w:color w:val="auto"/>
              </w:rPr>
              <w:t>Portfolio Loans</w:t>
            </w:r>
          </w:p>
        </w:tc>
        <w:tc>
          <w:tcPr>
            <w:tcW w:w="0" w:type="dxa"/>
            <w:vAlign w:val="bottom"/>
          </w:tcPr>
          <w:p>
            <w:pPr>
              <w:spacing w:after="0"/>
              <w:rPr>
                <w:sz w:val="1"/>
                <w:szCs w:val="1"/>
                <w:color w:val="auto"/>
              </w:rPr>
            </w:pPr>
          </w:p>
        </w:tc>
      </w:tr>
      <w:tr>
        <w:trPr>
          <w:trHeight w:val="255"/>
        </w:trPr>
        <w:tc>
          <w:tcPr>
            <w:tcW w:w="19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w:t>
            </w:r>
          </w:p>
        </w:tc>
        <w:tc>
          <w:tcPr>
            <w:tcW w:w="160" w:type="dxa"/>
            <w:vAlign w:val="bottom"/>
            <w:tcBorders>
              <w:top w:val="single" w:sz="8" w:color="auto"/>
            </w:tcBorders>
            <w:shd w:val="clear" w:color="auto" w:fill="E0E7ED"/>
          </w:tcPr>
          <w:p>
            <w:pPr>
              <w:spacing w:after="0"/>
              <w:rPr>
                <w:sz w:val="22"/>
                <w:szCs w:val="22"/>
                <w:color w:val="auto"/>
              </w:rPr>
            </w:pPr>
          </w:p>
        </w:tc>
        <w:tc>
          <w:tcPr>
            <w:tcW w:w="13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0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5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0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3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90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0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ind w:right="13"/>
              <w:spacing w:after="0"/>
              <w:rPr>
                <w:sz w:val="20"/>
                <w:szCs w:val="20"/>
                <w:color w:val="auto"/>
              </w:rPr>
            </w:pPr>
            <w:r>
              <w:rPr>
                <w:rFonts w:ascii="Verdana" w:cs="Verdana" w:eastAsia="Verdana" w:hAnsi="Verdana"/>
                <w:sz w:val="18"/>
                <w:szCs w:val="18"/>
                <w:color w:val="auto"/>
              </w:rPr>
              <w:t>1,828,711</w:t>
            </w:r>
          </w:p>
        </w:tc>
        <w:tc>
          <w:tcPr>
            <w:tcW w:w="10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Verdana" w:cs="Verdana" w:eastAsia="Verdana" w:hAnsi="Verdana"/>
                <w:sz w:val="18"/>
                <w:szCs w:val="18"/>
                <w:color w:val="auto"/>
              </w:rPr>
              <w:t>$</w:t>
            </w:r>
          </w:p>
        </w:tc>
        <w:tc>
          <w:tcPr>
            <w:tcW w:w="1060" w:type="dxa"/>
            <w:vAlign w:val="bottom"/>
          </w:tcPr>
          <w:p>
            <w:pPr>
              <w:jc w:val="right"/>
              <w:ind w:right="13"/>
              <w:spacing w:after="0"/>
              <w:rPr>
                <w:sz w:val="20"/>
                <w:szCs w:val="20"/>
                <w:color w:val="auto"/>
              </w:rPr>
            </w:pPr>
            <w:r>
              <w:rPr>
                <w:rFonts w:ascii="Verdana" w:cs="Verdana" w:eastAsia="Verdana" w:hAnsi="Verdana"/>
                <w:sz w:val="18"/>
                <w:szCs w:val="18"/>
                <w:color w:val="auto"/>
              </w:rPr>
              <w:t>26,207</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Verdana" w:cs="Verdana" w:eastAsia="Verdana" w:hAnsi="Verdana"/>
                <w:sz w:val="18"/>
                <w:szCs w:val="18"/>
                <w:color w:val="auto"/>
              </w:rPr>
              <w:t>1.43 %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1,835,994</w:t>
            </w:r>
          </w:p>
        </w:tc>
        <w:tc>
          <w:tcPr>
            <w:tcW w:w="520" w:type="dxa"/>
            <w:vAlign w:val="bottom"/>
            <w:gridSpan w:val="3"/>
          </w:tcPr>
          <w:p>
            <w:pPr>
              <w:jc w:val="right"/>
              <w:ind w:right="22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3"/>
              <w:spacing w:after="0"/>
              <w:rPr>
                <w:sz w:val="20"/>
                <w:szCs w:val="20"/>
                <w:color w:val="auto"/>
              </w:rPr>
            </w:pPr>
            <w:r>
              <w:rPr>
                <w:rFonts w:ascii="Verdana" w:cs="Verdana" w:eastAsia="Verdana" w:hAnsi="Verdana"/>
                <w:sz w:val="18"/>
                <w:szCs w:val="18"/>
                <w:color w:val="auto"/>
              </w:rPr>
              <w:t>21,256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1.16 %</w:t>
            </w:r>
          </w:p>
        </w:tc>
        <w:tc>
          <w:tcPr>
            <w:tcW w:w="0" w:type="dxa"/>
            <w:vAlign w:val="bottom"/>
          </w:tcPr>
          <w:p>
            <w:pPr>
              <w:spacing w:after="0"/>
              <w:rPr>
                <w:sz w:val="1"/>
                <w:szCs w:val="1"/>
                <w:color w:val="auto"/>
              </w:rPr>
            </w:pPr>
          </w:p>
        </w:tc>
      </w:tr>
      <w:tr>
        <w:trPr>
          <w:trHeight w:val="244"/>
        </w:trPr>
        <w:tc>
          <w:tcPr>
            <w:tcW w:w="1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5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38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3,331,670</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0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33,505</w:t>
            </w:r>
          </w:p>
        </w:tc>
        <w:tc>
          <w:tcPr>
            <w:tcW w:w="80" w:type="dxa"/>
            <w:vAlign w:val="bottom"/>
            <w:shd w:val="clear" w:color="auto" w:fill="E0E7ED"/>
          </w:tcPr>
          <w:p>
            <w:pPr>
              <w:spacing w:after="0"/>
              <w:rPr>
                <w:sz w:val="21"/>
                <w:szCs w:val="21"/>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1.01 %</w:t>
            </w: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c>
          <w:tcPr>
            <w:tcW w:w="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0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35,465</w:t>
            </w: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1.06 %</w:t>
            </w:r>
          </w:p>
        </w:tc>
        <w:tc>
          <w:tcPr>
            <w:tcW w:w="0" w:type="dxa"/>
            <w:vAlign w:val="bottom"/>
          </w:tcPr>
          <w:p>
            <w:pPr>
              <w:spacing w:after="0"/>
              <w:rPr>
                <w:sz w:val="1"/>
                <w:szCs w:val="1"/>
                <w:color w:val="auto"/>
              </w:rPr>
            </w:pPr>
          </w:p>
        </w:tc>
      </w:tr>
      <w:tr>
        <w:trPr>
          <w:trHeight w:val="238"/>
        </w:trPr>
        <w:tc>
          <w:tcPr>
            <w:tcW w:w="190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construction</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445,860</w:t>
            </w:r>
          </w:p>
        </w:tc>
        <w:tc>
          <w:tcPr>
            <w:tcW w:w="100" w:type="dxa"/>
            <w:vAlign w:val="bottom"/>
            <w:tcBorders>
              <w:bottom w:val="single" w:sz="8" w:color="E0E7ED"/>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4,713</w:t>
            </w:r>
          </w:p>
        </w:tc>
        <w:tc>
          <w:tcPr>
            <w:tcW w:w="80" w:type="dxa"/>
            <w:vAlign w:val="bottom"/>
            <w:tcBorders>
              <w:bottom w:val="single" w:sz="8" w:color="E0E7ED"/>
            </w:tcBorders>
          </w:tcPr>
          <w:p>
            <w:pPr>
              <w:spacing w:after="0"/>
              <w:rPr>
                <w:sz w:val="21"/>
                <w:szCs w:val="21"/>
                <w:color w:val="auto"/>
              </w:rPr>
            </w:pPr>
          </w:p>
        </w:tc>
        <w:tc>
          <w:tcPr>
            <w:tcW w:w="1560" w:type="dxa"/>
            <w:vAlign w:val="bottom"/>
            <w:tcBorders>
              <w:bottom w:val="single" w:sz="8" w:color="E0E7ED"/>
            </w:tcBorders>
          </w:tcPr>
          <w:p>
            <w:pPr>
              <w:jc w:val="right"/>
              <w:spacing w:after="0"/>
              <w:rPr>
                <w:sz w:val="20"/>
                <w:szCs w:val="20"/>
                <w:color w:val="auto"/>
              </w:rPr>
            </w:pPr>
            <w:r>
              <w:rPr>
                <w:rFonts w:ascii="Verdana" w:cs="Verdana" w:eastAsia="Verdana" w:hAnsi="Verdana"/>
                <w:sz w:val="18"/>
                <w:szCs w:val="18"/>
                <w:color w:val="auto"/>
              </w:rPr>
              <w:t>1.06 %</w:t>
            </w:r>
          </w:p>
        </w:tc>
        <w:tc>
          <w:tcPr>
            <w:tcW w:w="10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461,717</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E0E7ED"/>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5,163</w:t>
            </w:r>
          </w:p>
        </w:tc>
        <w:tc>
          <w:tcPr>
            <w:tcW w:w="80" w:type="dxa"/>
            <w:vAlign w:val="bottom"/>
            <w:tcBorders>
              <w:bottom w:val="single" w:sz="8" w:color="E0E7ED"/>
            </w:tcBorders>
          </w:tcPr>
          <w:p>
            <w:pPr>
              <w:spacing w:after="0"/>
              <w:rPr>
                <w:sz w:val="21"/>
                <w:szCs w:val="21"/>
                <w:color w:val="auto"/>
              </w:rPr>
            </w:pPr>
          </w:p>
        </w:tc>
        <w:tc>
          <w:tcPr>
            <w:tcW w:w="180" w:type="dxa"/>
            <w:vAlign w:val="bottom"/>
            <w:tcBorders>
              <w:bottom w:val="single" w:sz="8" w:color="E0E7ED"/>
            </w:tcBorders>
          </w:tcPr>
          <w:p>
            <w:pPr>
              <w:spacing w:after="0"/>
              <w:rPr>
                <w:sz w:val="21"/>
                <w:szCs w:val="21"/>
                <w:color w:val="auto"/>
              </w:rPr>
            </w:pPr>
          </w:p>
        </w:tc>
        <w:tc>
          <w:tcPr>
            <w:tcW w:w="1380" w:type="dxa"/>
            <w:vAlign w:val="bottom"/>
            <w:tcBorders>
              <w:bottom w:val="single" w:sz="8" w:color="E0E7ED"/>
            </w:tcBorders>
          </w:tcPr>
          <w:p>
            <w:pPr>
              <w:jc w:val="right"/>
              <w:spacing w:after="0"/>
              <w:rPr>
                <w:sz w:val="20"/>
                <w:szCs w:val="20"/>
                <w:color w:val="auto"/>
              </w:rPr>
            </w:pPr>
            <w:r>
              <w:rPr>
                <w:rFonts w:ascii="Verdana" w:cs="Verdana" w:eastAsia="Verdana" w:hAnsi="Verdana"/>
                <w:sz w:val="18"/>
                <w:szCs w:val="18"/>
                <w:color w:val="auto"/>
              </w:rPr>
              <w:t>1.12 %</w:t>
            </w:r>
          </w:p>
        </w:tc>
        <w:tc>
          <w:tcPr>
            <w:tcW w:w="0" w:type="dxa"/>
            <w:vAlign w:val="bottom"/>
          </w:tcPr>
          <w:p>
            <w:pPr>
              <w:spacing w:after="0"/>
              <w:rPr>
                <w:sz w:val="1"/>
                <w:szCs w:val="1"/>
                <w:color w:val="auto"/>
              </w:rPr>
            </w:pPr>
          </w:p>
        </w:tc>
      </w:tr>
      <w:tr>
        <w:trPr>
          <w:trHeight w:val="270"/>
        </w:trPr>
        <w:tc>
          <w:tcPr>
            <w:tcW w:w="1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w:t>
            </w:r>
          </w:p>
        </w:tc>
        <w:tc>
          <w:tcPr>
            <w:tcW w:w="160" w:type="dxa"/>
            <w:vAlign w:val="bottom"/>
            <w:tcBorders>
              <w:bottom w:val="single" w:sz="8" w:color="auto"/>
            </w:tcBorders>
            <w:shd w:val="clear" w:color="auto" w:fill="E0E7ED"/>
          </w:tcPr>
          <w:p>
            <w:pPr>
              <w:spacing w:after="0"/>
              <w:rPr>
                <w:sz w:val="23"/>
                <w:szCs w:val="23"/>
                <w:color w:val="auto"/>
              </w:rPr>
            </w:pPr>
          </w:p>
        </w:tc>
        <w:tc>
          <w:tcPr>
            <w:tcW w:w="13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5,606,241</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0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64,425</w:t>
            </w:r>
          </w:p>
        </w:tc>
        <w:tc>
          <w:tcPr>
            <w:tcW w:w="80" w:type="dxa"/>
            <w:vAlign w:val="bottom"/>
            <w:shd w:val="clear" w:color="auto" w:fill="E0E7ED"/>
          </w:tcPr>
          <w:p>
            <w:pPr>
              <w:spacing w:after="0"/>
              <w:rPr>
                <w:sz w:val="23"/>
                <w:szCs w:val="23"/>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1.15 %</w:t>
            </w:r>
          </w:p>
        </w:tc>
        <w:tc>
          <w:tcPr>
            <w:tcW w:w="10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c>
          <w:tcPr>
            <w:tcW w:w="60" w:type="dxa"/>
            <w:vAlign w:val="bottom"/>
            <w:tcBorders>
              <w:bottom w:val="single" w:sz="8" w:color="auto"/>
            </w:tcBorders>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08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61,884</w:t>
            </w:r>
          </w:p>
        </w:tc>
        <w:tc>
          <w:tcPr>
            <w:tcW w:w="8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1.10 %</w:t>
            </w:r>
          </w:p>
        </w:tc>
        <w:tc>
          <w:tcPr>
            <w:tcW w:w="0" w:type="dxa"/>
            <w:vAlign w:val="bottom"/>
          </w:tcPr>
          <w:p>
            <w:pPr>
              <w:spacing w:after="0"/>
              <w:rPr>
                <w:sz w:val="1"/>
                <w:szCs w:val="1"/>
                <w:color w:val="auto"/>
              </w:rPr>
            </w:pPr>
          </w:p>
        </w:tc>
      </w:tr>
      <w:tr>
        <w:trPr>
          <w:trHeight w:val="243"/>
        </w:trPr>
        <w:tc>
          <w:tcPr>
            <w:tcW w:w="1900" w:type="dxa"/>
            <w:vAlign w:val="bottom"/>
          </w:tcPr>
          <w:p>
            <w:pPr>
              <w:ind w:left="20"/>
              <w:spacing w:after="0"/>
              <w:rPr>
                <w:sz w:val="20"/>
                <w:szCs w:val="20"/>
                <w:color w:val="auto"/>
              </w:rPr>
            </w:pPr>
            <w:r>
              <w:rPr>
                <w:rFonts w:ascii="Verdana" w:cs="Verdana" w:eastAsia="Verdana" w:hAnsi="Verdana"/>
                <w:sz w:val="18"/>
                <w:szCs w:val="18"/>
                <w:b w:val="1"/>
                <w:bCs w:val="1"/>
                <w:color w:val="auto"/>
              </w:rPr>
              <w:t>Retail</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16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1,708,663</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0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24,281</w:t>
            </w:r>
          </w:p>
        </w:tc>
        <w:tc>
          <w:tcPr>
            <w:tcW w:w="80" w:type="dxa"/>
            <w:vAlign w:val="bottom"/>
            <w:shd w:val="clear" w:color="auto" w:fill="E0E7ED"/>
          </w:tcPr>
          <w:p>
            <w:pPr>
              <w:spacing w:after="0"/>
              <w:rPr>
                <w:sz w:val="24"/>
                <w:szCs w:val="24"/>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1.42 %</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c>
          <w:tcPr>
            <w:tcW w:w="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0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26,298</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1.53 %</w:t>
            </w:r>
          </w:p>
        </w:tc>
        <w:tc>
          <w:tcPr>
            <w:tcW w:w="0" w:type="dxa"/>
            <w:vAlign w:val="bottom"/>
          </w:tcPr>
          <w:p>
            <w:pPr>
              <w:spacing w:after="0"/>
              <w:rPr>
                <w:sz w:val="1"/>
                <w:szCs w:val="1"/>
                <w:color w:val="auto"/>
              </w:rPr>
            </w:pPr>
          </w:p>
        </w:tc>
      </w:tr>
      <w:tr>
        <w:trPr>
          <w:trHeight w:val="263"/>
        </w:trPr>
        <w:tc>
          <w:tcPr>
            <w:tcW w:w="1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273,173</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2,856</w:t>
            </w:r>
          </w:p>
        </w:tc>
        <w:tc>
          <w:tcPr>
            <w:tcW w:w="80" w:type="dxa"/>
            <w:vAlign w:val="bottom"/>
            <w:tcBorders>
              <w:bottom w:val="single" w:sz="8" w:color="E0E7ED"/>
            </w:tcBorders>
          </w:tcPr>
          <w:p>
            <w:pPr>
              <w:spacing w:after="0"/>
              <w:rPr>
                <w:sz w:val="22"/>
                <w:szCs w:val="22"/>
                <w:color w:val="auto"/>
              </w:rPr>
            </w:pPr>
          </w:p>
        </w:tc>
        <w:tc>
          <w:tcPr>
            <w:tcW w:w="1560" w:type="dxa"/>
            <w:vAlign w:val="bottom"/>
            <w:tcBorders>
              <w:bottom w:val="single" w:sz="8" w:color="E0E7ED"/>
            </w:tcBorders>
          </w:tcPr>
          <w:p>
            <w:pPr>
              <w:jc w:val="right"/>
              <w:spacing w:after="0"/>
              <w:rPr>
                <w:sz w:val="20"/>
                <w:szCs w:val="20"/>
                <w:color w:val="auto"/>
              </w:rPr>
            </w:pPr>
            <w:r>
              <w:rPr>
                <w:rFonts w:ascii="Verdana" w:cs="Verdana" w:eastAsia="Verdana" w:hAnsi="Verdana"/>
                <w:sz w:val="18"/>
                <w:szCs w:val="18"/>
                <w:color w:val="auto"/>
              </w:rPr>
              <w:t>1.05 %</w:t>
            </w:r>
          </w:p>
        </w:tc>
        <w:tc>
          <w:tcPr>
            <w:tcW w:w="10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295,531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3,558</w:t>
            </w:r>
          </w:p>
        </w:tc>
        <w:tc>
          <w:tcPr>
            <w:tcW w:w="80" w:type="dxa"/>
            <w:vAlign w:val="bottom"/>
            <w:tcBorders>
              <w:bottom w:val="single" w:sz="8" w:color="E0E7ED"/>
            </w:tcBorders>
          </w:tcPr>
          <w:p>
            <w:pPr>
              <w:spacing w:after="0"/>
              <w:rPr>
                <w:sz w:val="22"/>
                <w:szCs w:val="22"/>
                <w:color w:val="auto"/>
              </w:rPr>
            </w:pPr>
          </w:p>
        </w:tc>
        <w:tc>
          <w:tcPr>
            <w:tcW w:w="180" w:type="dxa"/>
            <w:vAlign w:val="bottom"/>
            <w:tcBorders>
              <w:bottom w:val="single" w:sz="8" w:color="E0E7ED"/>
            </w:tcBorders>
          </w:tcPr>
          <w:p>
            <w:pPr>
              <w:spacing w:after="0"/>
              <w:rPr>
                <w:sz w:val="22"/>
                <w:szCs w:val="22"/>
                <w:color w:val="auto"/>
              </w:rPr>
            </w:pPr>
          </w:p>
        </w:tc>
        <w:tc>
          <w:tcPr>
            <w:tcW w:w="1380" w:type="dxa"/>
            <w:vAlign w:val="bottom"/>
            <w:tcBorders>
              <w:bottom w:val="single" w:sz="8" w:color="E0E7ED"/>
            </w:tcBorders>
          </w:tcPr>
          <w:p>
            <w:pPr>
              <w:jc w:val="right"/>
              <w:spacing w:after="0"/>
              <w:rPr>
                <w:sz w:val="20"/>
                <w:szCs w:val="20"/>
                <w:color w:val="auto"/>
              </w:rPr>
            </w:pPr>
            <w:r>
              <w:rPr>
                <w:rFonts w:ascii="Verdana" w:cs="Verdana" w:eastAsia="Verdana" w:hAnsi="Verdana"/>
                <w:sz w:val="18"/>
                <w:szCs w:val="18"/>
                <w:color w:val="auto"/>
              </w:rPr>
              <w:t>1.20 %</w:t>
            </w:r>
          </w:p>
        </w:tc>
        <w:tc>
          <w:tcPr>
            <w:tcW w:w="0" w:type="dxa"/>
            <w:vAlign w:val="bottom"/>
          </w:tcPr>
          <w:p>
            <w:pPr>
              <w:spacing w:after="0"/>
              <w:rPr>
                <w:sz w:val="1"/>
                <w:szCs w:val="1"/>
                <w:color w:val="auto"/>
              </w:rPr>
            </w:pPr>
          </w:p>
        </w:tc>
      </w:tr>
      <w:tr>
        <w:trPr>
          <w:trHeight w:val="264"/>
        </w:trPr>
        <w:tc>
          <w:tcPr>
            <w:tcW w:w="1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w:t>
            </w:r>
          </w:p>
        </w:tc>
        <w:tc>
          <w:tcPr>
            <w:tcW w:w="160" w:type="dxa"/>
            <w:vAlign w:val="bottom"/>
            <w:tcBorders>
              <w:bottom w:val="single" w:sz="8" w:color="auto"/>
            </w:tcBorders>
            <w:shd w:val="clear" w:color="auto" w:fill="E0E7ED"/>
          </w:tcPr>
          <w:p>
            <w:pPr>
              <w:spacing w:after="0"/>
              <w:rPr>
                <w:sz w:val="22"/>
                <w:szCs w:val="22"/>
                <w:color w:val="auto"/>
              </w:rPr>
            </w:pPr>
          </w:p>
        </w:tc>
        <w:tc>
          <w:tcPr>
            <w:tcW w:w="13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1,981,836</w:t>
            </w:r>
          </w:p>
        </w:tc>
        <w:tc>
          <w:tcPr>
            <w:tcW w:w="100" w:type="dxa"/>
            <w:vAlign w:val="bottom"/>
            <w:shd w:val="clear" w:color="auto" w:fill="E0E7ED"/>
          </w:tcPr>
          <w:p>
            <w:pPr>
              <w:spacing w:after="0"/>
              <w:rPr>
                <w:sz w:val="22"/>
                <w:szCs w:val="22"/>
                <w:color w:val="auto"/>
              </w:rPr>
            </w:pPr>
          </w:p>
        </w:tc>
        <w:tc>
          <w:tcPr>
            <w:tcW w:w="340" w:type="dxa"/>
            <w:vAlign w:val="bottom"/>
            <w:tcBorders>
              <w:bottom w:val="single" w:sz="8" w:color="auto"/>
            </w:tcBorders>
            <w:shd w:val="clear" w:color="auto" w:fill="E0E7ED"/>
          </w:tcPr>
          <w:p>
            <w:pPr>
              <w:spacing w:after="0"/>
              <w:rPr>
                <w:sz w:val="22"/>
                <w:szCs w:val="22"/>
                <w:color w:val="auto"/>
              </w:rPr>
            </w:pPr>
          </w:p>
        </w:tc>
        <w:tc>
          <w:tcPr>
            <w:tcW w:w="10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27,137</w:t>
            </w:r>
          </w:p>
        </w:tc>
        <w:tc>
          <w:tcPr>
            <w:tcW w:w="80" w:type="dxa"/>
            <w:vAlign w:val="bottom"/>
            <w:shd w:val="clear" w:color="auto" w:fill="E0E7ED"/>
          </w:tcPr>
          <w:p>
            <w:pPr>
              <w:spacing w:after="0"/>
              <w:rPr>
                <w:sz w:val="22"/>
                <w:szCs w:val="22"/>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1.37 %</w:t>
            </w:r>
          </w:p>
        </w:tc>
        <w:tc>
          <w:tcPr>
            <w:tcW w:w="10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c>
          <w:tcPr>
            <w:tcW w:w="60" w:type="dxa"/>
            <w:vAlign w:val="bottom"/>
            <w:tcBorders>
              <w:bottom w:val="single" w:sz="8" w:color="auto"/>
            </w:tcBorders>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tcBorders>
              <w:bottom w:val="single" w:sz="8" w:color="auto"/>
            </w:tcBorders>
            <w:shd w:val="clear" w:color="auto" w:fill="E0E7ED"/>
          </w:tcPr>
          <w:p>
            <w:pPr>
              <w:spacing w:after="0"/>
              <w:rPr>
                <w:sz w:val="22"/>
                <w:szCs w:val="22"/>
                <w:color w:val="auto"/>
              </w:rPr>
            </w:pPr>
          </w:p>
        </w:tc>
        <w:tc>
          <w:tcPr>
            <w:tcW w:w="108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29,856</w:t>
            </w:r>
          </w:p>
        </w:tc>
        <w:tc>
          <w:tcPr>
            <w:tcW w:w="8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1.48 %</w:t>
            </w:r>
          </w:p>
        </w:tc>
        <w:tc>
          <w:tcPr>
            <w:tcW w:w="0" w:type="dxa"/>
            <w:vAlign w:val="bottom"/>
          </w:tcPr>
          <w:p>
            <w:pPr>
              <w:spacing w:after="0"/>
              <w:rPr>
                <w:sz w:val="1"/>
                <w:szCs w:val="1"/>
                <w:color w:val="auto"/>
              </w:rPr>
            </w:pPr>
          </w:p>
        </w:tc>
      </w:tr>
      <w:tr>
        <w:trPr>
          <w:trHeight w:val="270"/>
        </w:trPr>
        <w:tc>
          <w:tcPr>
            <w:tcW w:w="1900" w:type="dxa"/>
            <w:vAlign w:val="bottom"/>
          </w:tcPr>
          <w:p>
            <w:pPr>
              <w:ind w:left="20"/>
              <w:spacing w:after="0"/>
              <w:rPr>
                <w:sz w:val="20"/>
                <w:szCs w:val="20"/>
                <w:color w:val="auto"/>
              </w:rPr>
            </w:pPr>
            <w:r>
              <w:rPr>
                <w:rFonts w:ascii="Verdana" w:cs="Verdana" w:eastAsia="Verdana" w:hAnsi="Verdana"/>
                <w:sz w:val="18"/>
                <w:szCs w:val="18"/>
                <w:color w:val="auto"/>
              </w:rPr>
              <w:t>Total</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ind w:right="13"/>
              <w:spacing w:after="0"/>
              <w:rPr>
                <w:sz w:val="20"/>
                <w:szCs w:val="20"/>
                <w:color w:val="auto"/>
              </w:rPr>
            </w:pPr>
            <w:r>
              <w:rPr>
                <w:rFonts w:ascii="Verdana" w:cs="Verdana" w:eastAsia="Verdana" w:hAnsi="Verdana"/>
                <w:sz w:val="18"/>
                <w:szCs w:val="18"/>
                <w:color w:val="auto"/>
              </w:rPr>
              <w:t>7,588,077</w:t>
            </w:r>
          </w:p>
        </w:tc>
        <w:tc>
          <w:tcPr>
            <w:tcW w:w="100" w:type="dxa"/>
            <w:vAlign w:val="bottom"/>
          </w:tcPr>
          <w:p>
            <w:pPr>
              <w:spacing w:after="0"/>
              <w:rPr>
                <w:sz w:val="23"/>
                <w:szCs w:val="23"/>
                <w:color w:val="auto"/>
              </w:rPr>
            </w:pPr>
          </w:p>
        </w:tc>
        <w:tc>
          <w:tcPr>
            <w:tcW w:w="340" w:type="dxa"/>
            <w:vAlign w:val="bottom"/>
          </w:tcPr>
          <w:p>
            <w:pPr>
              <w:spacing w:after="0"/>
              <w:rPr>
                <w:sz w:val="20"/>
                <w:szCs w:val="20"/>
                <w:color w:val="auto"/>
              </w:rPr>
            </w:pPr>
            <w:r>
              <w:rPr>
                <w:rFonts w:ascii="Verdana" w:cs="Verdana" w:eastAsia="Verdana" w:hAnsi="Verdana"/>
                <w:sz w:val="18"/>
                <w:szCs w:val="18"/>
                <w:color w:val="auto"/>
              </w:rPr>
              <w:t>$</w:t>
            </w:r>
          </w:p>
        </w:tc>
        <w:tc>
          <w:tcPr>
            <w:tcW w:w="1060" w:type="dxa"/>
            <w:vAlign w:val="bottom"/>
          </w:tcPr>
          <w:p>
            <w:pPr>
              <w:jc w:val="right"/>
              <w:ind w:right="13"/>
              <w:spacing w:after="0"/>
              <w:rPr>
                <w:sz w:val="20"/>
                <w:szCs w:val="20"/>
                <w:color w:val="auto"/>
              </w:rPr>
            </w:pPr>
            <w:r>
              <w:rPr>
                <w:rFonts w:ascii="Verdana" w:cs="Verdana" w:eastAsia="Verdana" w:hAnsi="Verdana"/>
                <w:sz w:val="18"/>
                <w:szCs w:val="18"/>
                <w:color w:val="auto"/>
              </w:rPr>
              <w:t>91,562</w:t>
            </w:r>
          </w:p>
        </w:tc>
        <w:tc>
          <w:tcPr>
            <w:tcW w:w="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Verdana" w:cs="Verdana" w:eastAsia="Verdana" w:hAnsi="Verdana"/>
                <w:sz w:val="18"/>
                <w:szCs w:val="18"/>
                <w:color w:val="auto"/>
              </w:rPr>
              <w:t>1.21 %</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7,651,034</w:t>
            </w:r>
          </w:p>
        </w:tc>
        <w:tc>
          <w:tcPr>
            <w:tcW w:w="520" w:type="dxa"/>
            <w:vAlign w:val="bottom"/>
            <w:gridSpan w:val="3"/>
          </w:tcPr>
          <w:p>
            <w:pPr>
              <w:jc w:val="right"/>
              <w:ind w:right="22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3"/>
              <w:spacing w:after="0"/>
              <w:rPr>
                <w:sz w:val="20"/>
                <w:szCs w:val="20"/>
                <w:color w:val="auto"/>
              </w:rPr>
            </w:pPr>
            <w:r>
              <w:rPr>
                <w:rFonts w:ascii="Verdana" w:cs="Verdana" w:eastAsia="Verdana" w:hAnsi="Verdana"/>
                <w:sz w:val="18"/>
                <w:szCs w:val="18"/>
                <w:color w:val="auto"/>
              </w:rPr>
              <w:t>91,740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1.20 %</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As of March 31, 2024, management believed the level of the ACL to be appropriate based upon the information available. However, additional losses may be identified in our loan portfolio as new information is obtained. The ongoing impacts of CECL will be dependent upon changes in economic conditions and forecasts, originated and acquired loan portfolio composition, prepayment speeds, credit performance trends, portfolio duration, and other factors.</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Non-Performing Loans and Non-Performing Assets</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Loans are considered past due if the required principal or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spacing w:after="0" w:line="15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Typically, loans are secured by collateral. When a loan is classified as non-accrual and determined to be collateral dependent, it is appropriately reserved or charged down through the ACL to the fair value of our interest in the underlying collateral less estimated costs to sell. Our loan portfolio is collateralized primarily by real estate.</w:t>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79" w:name="page80"/>
    <w:bookmarkEnd w:id="7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following table sets forth information concerning non-performing loans and performing restructured loans, as of each of the dates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2"/>
          </w:tcPr>
          <w:p>
            <w:pPr>
              <w:ind w:left="260"/>
              <w:spacing w:after="0" w:line="122" w:lineRule="exact"/>
              <w:rPr>
                <w:sz w:val="20"/>
                <w:szCs w:val="20"/>
                <w:color w:val="auto"/>
              </w:rPr>
            </w:pPr>
            <w:r>
              <w:rPr>
                <w:rFonts w:ascii="Verdana" w:cs="Verdana" w:eastAsia="Verdana" w:hAnsi="Verdana"/>
                <w:sz w:val="13"/>
                <w:szCs w:val="13"/>
                <w:b w:val="1"/>
                <w:bCs w:val="1"/>
                <w:color w:val="auto"/>
              </w:rPr>
              <w:t>March 31,</w:t>
            </w:r>
          </w:p>
        </w:tc>
        <w:tc>
          <w:tcPr>
            <w:tcW w:w="260" w:type="dxa"/>
            <w:vAlign w:val="bottom"/>
          </w:tcPr>
          <w:p>
            <w:pPr>
              <w:spacing w:after="0"/>
              <w:rPr>
                <w:sz w:val="10"/>
                <w:szCs w:val="10"/>
                <w:color w:val="auto"/>
              </w:rPr>
            </w:pPr>
          </w:p>
        </w:tc>
        <w:tc>
          <w:tcPr>
            <w:tcW w:w="1500" w:type="dxa"/>
            <w:vAlign w:val="bottom"/>
            <w:gridSpan w:val="2"/>
          </w:tcPr>
          <w:p>
            <w:pPr>
              <w:ind w:left="80"/>
              <w:spacing w:after="0" w:line="122" w:lineRule="exact"/>
              <w:rPr>
                <w:sz w:val="20"/>
                <w:szCs w:val="20"/>
                <w:color w:val="auto"/>
              </w:rPr>
            </w:pPr>
            <w:r>
              <w:rPr>
                <w:rFonts w:ascii="Verdana" w:cs="Verdana" w:eastAsia="Verdana" w:hAnsi="Verdana"/>
                <w:sz w:val="13"/>
                <w:szCs w:val="13"/>
                <w:b w:val="1"/>
                <w:bCs w:val="1"/>
                <w:color w:val="auto"/>
              </w:rPr>
              <w:t>December 31,</w:t>
            </w:r>
          </w:p>
        </w:tc>
        <w:tc>
          <w:tcPr>
            <w:tcW w:w="300" w:type="dxa"/>
            <w:vAlign w:val="bottom"/>
          </w:tcPr>
          <w:p>
            <w:pPr>
              <w:spacing w:after="0"/>
              <w:rPr>
                <w:sz w:val="10"/>
                <w:szCs w:val="10"/>
                <w:color w:val="auto"/>
              </w:rPr>
            </w:pPr>
          </w:p>
        </w:tc>
        <w:tc>
          <w:tcPr>
            <w:tcW w:w="1140" w:type="dxa"/>
            <w:vAlign w:val="bottom"/>
            <w:vMerge w:val="restart"/>
          </w:tcPr>
          <w:p>
            <w:pPr>
              <w:jc w:val="right"/>
              <w:ind w:right="371"/>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Pr>
          <w:p>
            <w:pPr>
              <w:spacing w:after="0"/>
              <w:rPr>
                <w:sz w:val="10"/>
                <w:szCs w:val="10"/>
                <w:color w:val="auto"/>
              </w:rPr>
            </w:pPr>
          </w:p>
        </w:tc>
        <w:tc>
          <w:tcPr>
            <w:tcW w:w="1580" w:type="dxa"/>
            <w:vAlign w:val="bottom"/>
            <w:vMerge w:val="restart"/>
          </w:tcPr>
          <w:p>
            <w:pPr>
              <w:jc w:val="right"/>
              <w:ind w:right="357"/>
              <w:spacing w:after="0"/>
              <w:rPr>
                <w:sz w:val="20"/>
                <w:szCs w:val="20"/>
                <w:color w:val="auto"/>
              </w:rPr>
            </w:pPr>
            <w:r>
              <w:rPr>
                <w:rFonts w:ascii="Verdana" w:cs="Verdana" w:eastAsia="Verdana" w:hAnsi="Verdana"/>
                <w:sz w:val="13"/>
                <w:szCs w:val="13"/>
                <w:b w:val="1"/>
                <w:bCs w:val="1"/>
                <w:color w:val="auto"/>
              </w:rPr>
              <w:t>% Change</w:t>
            </w:r>
          </w:p>
        </w:tc>
        <w:tc>
          <w:tcPr>
            <w:tcW w:w="0" w:type="dxa"/>
            <w:vAlign w:val="bottom"/>
          </w:tcPr>
          <w:p>
            <w:pPr>
              <w:spacing w:after="0"/>
              <w:rPr>
                <w:sz w:val="1"/>
                <w:szCs w:val="1"/>
                <w:color w:val="auto"/>
              </w:rPr>
            </w:pPr>
          </w:p>
        </w:tc>
      </w:tr>
      <w:tr>
        <w:trPr>
          <w:trHeight w:val="170"/>
        </w:trPr>
        <w:tc>
          <w:tcPr>
            <w:tcW w:w="462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73"/>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Portfolio loans</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7,588,077</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7,651,034</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(62,957)</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(0.8)%</w:t>
            </w: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color w:val="auto"/>
              </w:rPr>
              <w:t>Loans 30 – 89 days past due</w:t>
            </w:r>
          </w:p>
        </w:tc>
        <w:tc>
          <w:tcPr>
            <w:tcW w:w="22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7,441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5,779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1,662</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28.8 %</w:t>
            </w: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assets</w:t>
            </w: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11,887,458</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12,283,415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(395,957)</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(3.2)%</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Non-performing assets</w:t>
            </w:r>
          </w:p>
        </w:tc>
        <w:tc>
          <w:tcPr>
            <w:tcW w:w="22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58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20" w:type="dxa"/>
            <w:vAlign w:val="bottom"/>
          </w:tcPr>
          <w:p>
            <w:pPr>
              <w:ind w:left="180"/>
              <w:spacing w:after="0"/>
              <w:rPr>
                <w:sz w:val="20"/>
                <w:szCs w:val="20"/>
                <w:color w:val="auto"/>
              </w:rPr>
            </w:pPr>
            <w:r>
              <w:rPr>
                <w:rFonts w:ascii="Verdana" w:cs="Verdana" w:eastAsia="Verdana" w:hAnsi="Verdana"/>
                <w:sz w:val="18"/>
                <w:szCs w:val="18"/>
                <w:color w:val="auto"/>
              </w:rPr>
              <w:t>Non-performing loans:</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Non-accrual loans</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17,465</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7,441</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10,024</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134.7 %</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Loans 90+ days past due and still accruing</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88</w:t>
            </w:r>
          </w:p>
        </w:tc>
        <w:tc>
          <w:tcPr>
            <w:tcW w:w="8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375</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(287)</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(76.5)%</w:t>
            </w:r>
          </w:p>
        </w:tc>
        <w:tc>
          <w:tcPr>
            <w:tcW w:w="0" w:type="dxa"/>
            <w:vAlign w:val="bottom"/>
          </w:tcPr>
          <w:p>
            <w:pPr>
              <w:spacing w:after="0"/>
              <w:rPr>
                <w:sz w:val="1"/>
                <w:szCs w:val="1"/>
                <w:color w:val="auto"/>
              </w:rPr>
            </w:pPr>
          </w:p>
        </w:tc>
      </w:tr>
      <w:tr>
        <w:trPr>
          <w:trHeight w:val="270"/>
        </w:trPr>
        <w:tc>
          <w:tcPr>
            <w:tcW w:w="4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Total non-performing loans</w:t>
            </w:r>
          </w:p>
        </w:tc>
        <w:tc>
          <w:tcPr>
            <w:tcW w:w="220" w:type="dxa"/>
            <w:vAlign w:val="bottom"/>
            <w:shd w:val="clear" w:color="auto" w:fill="E0E7ED"/>
          </w:tcPr>
          <w:p>
            <w:pPr>
              <w:spacing w:after="0"/>
              <w:rPr>
                <w:sz w:val="23"/>
                <w:szCs w:val="23"/>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17,553</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7,816</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9,737</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124.6 %</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OREO and other repossessed assets</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65</w:t>
            </w:r>
          </w:p>
        </w:tc>
        <w:tc>
          <w:tcPr>
            <w:tcW w:w="8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125</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(60)</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(48.0)%</w:t>
            </w:r>
          </w:p>
        </w:tc>
        <w:tc>
          <w:tcPr>
            <w:tcW w:w="0" w:type="dxa"/>
            <w:vAlign w:val="bottom"/>
          </w:tcPr>
          <w:p>
            <w:pPr>
              <w:spacing w:after="0"/>
              <w:rPr>
                <w:sz w:val="1"/>
                <w:szCs w:val="1"/>
                <w:color w:val="auto"/>
              </w:rPr>
            </w:pPr>
          </w:p>
        </w:tc>
      </w:tr>
      <w:tr>
        <w:trPr>
          <w:trHeight w:val="270"/>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non-performing assets</w:t>
            </w:r>
          </w:p>
        </w:tc>
        <w:tc>
          <w:tcPr>
            <w:tcW w:w="220" w:type="dxa"/>
            <w:vAlign w:val="bottom"/>
            <w:shd w:val="clear" w:color="auto" w:fill="E0E7ED"/>
          </w:tcPr>
          <w:p>
            <w:pPr>
              <w:spacing w:after="0"/>
              <w:rPr>
                <w:sz w:val="23"/>
                <w:szCs w:val="23"/>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17,618</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7,941</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9,677</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121.9 %</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Substandard (excludes 90+ days past due)</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87,830</w:t>
            </w:r>
          </w:p>
        </w:tc>
        <w:tc>
          <w:tcPr>
            <w:tcW w:w="8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64,347</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23,483</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36.5 %</w:t>
            </w:r>
          </w:p>
        </w:tc>
        <w:tc>
          <w:tcPr>
            <w:tcW w:w="0" w:type="dxa"/>
            <w:vAlign w:val="bottom"/>
          </w:tcPr>
          <w:p>
            <w:pPr>
              <w:spacing w:after="0"/>
              <w:rPr>
                <w:sz w:val="1"/>
                <w:szCs w:val="1"/>
                <w:color w:val="auto"/>
              </w:rPr>
            </w:pPr>
          </w:p>
        </w:tc>
      </w:tr>
      <w:tr>
        <w:trPr>
          <w:trHeight w:val="295"/>
        </w:trPr>
        <w:tc>
          <w:tcPr>
            <w:tcW w:w="46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Classified assets</w:t>
            </w:r>
          </w:p>
        </w:tc>
        <w:tc>
          <w:tcPr>
            <w:tcW w:w="2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40" w:type="dxa"/>
            <w:vAlign w:val="bottom"/>
            <w:tcBorders>
              <w:bottom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105,448</w:t>
            </w:r>
          </w:p>
        </w:tc>
        <w:tc>
          <w:tcPr>
            <w:tcW w:w="8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40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72,288</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33,160</w:t>
            </w:r>
          </w:p>
        </w:tc>
        <w:tc>
          <w:tcPr>
            <w:tcW w:w="168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45.9 %</w:t>
            </w:r>
          </w:p>
        </w:tc>
        <w:tc>
          <w:tcPr>
            <w:tcW w:w="0" w:type="dxa"/>
            <w:vAlign w:val="bottom"/>
          </w:tcPr>
          <w:p>
            <w:pPr>
              <w:spacing w:after="0"/>
              <w:rPr>
                <w:sz w:val="1"/>
                <w:szCs w:val="1"/>
                <w:color w:val="auto"/>
              </w:rPr>
            </w:pPr>
          </w:p>
        </w:tc>
      </w:tr>
      <w:tr>
        <w:trPr>
          <w:trHeight w:val="20"/>
        </w:trPr>
        <w:tc>
          <w:tcPr>
            <w:tcW w:w="462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4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4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91,562</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91,740</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(178)</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(0.2)%</w:t>
            </w: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color w:val="auto"/>
              </w:rPr>
              <w:t>Bank Tier 1 Capital</w:t>
            </w:r>
          </w:p>
        </w:tc>
        <w:tc>
          <w:tcPr>
            <w:tcW w:w="22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1,365,033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1,362,962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2,071</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0.2 %</w:t>
            </w: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b w:val="1"/>
                <w:bCs w:val="1"/>
                <w:color w:val="auto"/>
              </w:rPr>
              <w:t>Ratios</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 to portfolio loans</w:t>
            </w: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1.21 %</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 bps</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color w:val="auto"/>
              </w:rPr>
              <w:t>ACL to non-accrual loans</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524.26 %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1,232.90 %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NM</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 to non-performing loans</w:t>
            </w: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521.63 %</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1,173.75 %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NM</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color w:val="auto"/>
              </w:rPr>
              <w:t>ACL to non-performing assets</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519.71 %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1,155.27 %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NM</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Non-accrual loans to portfolio loans</w:t>
            </w: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0.23 %</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0.10 %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 bps</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color w:val="auto"/>
              </w:rPr>
              <w:t>Non-performing loans to portfolio loans</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0.23 %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0.10 %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13 bps</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Non-performing assets to total assets</w:t>
            </w: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0.15 %</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0.06 %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 bps</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20"/>
              <w:spacing w:after="0"/>
              <w:rPr>
                <w:sz w:val="20"/>
                <w:szCs w:val="20"/>
                <w:color w:val="auto"/>
              </w:rPr>
            </w:pPr>
            <w:r>
              <w:rPr>
                <w:rFonts w:ascii="Verdana" w:cs="Verdana" w:eastAsia="Verdana" w:hAnsi="Verdana"/>
                <w:sz w:val="18"/>
                <w:szCs w:val="18"/>
                <w:color w:val="auto"/>
              </w:rPr>
              <w:t>Non-performing assets to portfolio loans and</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620" w:type="dxa"/>
            <w:vAlign w:val="bottom"/>
          </w:tcPr>
          <w:p>
            <w:pPr>
              <w:ind w:left="20"/>
              <w:spacing w:after="0"/>
              <w:rPr>
                <w:sz w:val="20"/>
                <w:szCs w:val="20"/>
                <w:color w:val="auto"/>
              </w:rPr>
            </w:pPr>
            <w:r>
              <w:rPr>
                <w:rFonts w:ascii="Verdana" w:cs="Verdana" w:eastAsia="Verdana" w:hAnsi="Verdana"/>
                <w:sz w:val="18"/>
                <w:szCs w:val="18"/>
                <w:color w:val="auto"/>
              </w:rPr>
              <w:t>OREO and other repossessed assets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0.23 %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0.10 %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13 bps</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Classified assets to Bank Tier 1 Capital and ACL</w:t>
            </w: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7.24 %</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4.97 %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227 bps</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Asset quality remains strong by both Busey’s historical and current industry trends, and our operating mandate and focus have been on emphasizing credit quality over asset growth.</w:t>
      </w:r>
    </w:p>
    <w:p>
      <w:pPr>
        <w:spacing w:after="0" w:line="14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Non-performing loan balances increased to $17.6 million as of March 31, 2024, compared to $7.8 million as of December 31, 2023. Non-performing loans represented 0.23% of portfolio loans as of March 31, 2024, compared to 0.10% as of December 31, 2023. Our allowance for credit losses provided 521.63% coverage of non-performing loans at March 31, 2024, compared to 1,173.75% at December 31, 2023. The increase in non-performing loans during the first quarter of 2024 can be substantially attributed to a single commercial credit relationship.</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0" w:name="page81"/>
    <w:bookmarkEnd w:id="8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Non-performing assets, which includes non-performing loans, OREO, and other repossessed assets, increased to $17.6 million as of March 31, 2024, compared to $7.9 million as of December 31, 2023. Non-performing assets represented 0.15% of total assets as of March 31, 2024, compared to 0.06% as of December 31, 2023. Our allowance for credit losses provided 519.71% coverage of our non-performing assets at March 31, 2024, compared to 1,155.27% at December 31, 2023.</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Classified assets, which includes non-performing assets and substandard loans, increased to $105.4 million as of March 31, 2024, compared to $72.3 million as of December 31, 2023. Classified assets represented 7.24% of Busey Bank’s Tier 1 capital and ACL at March 31, 2024, compared to 4.97% at December 31, 2023.</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Net charge-offs totaled $5.2 million for the three months ended March 31, 2024, compared to $0.8 million for the three months ended March 31, 2023. The increase in net charge-offs during the first quarter of 2024 was attributable to the single commercial credit relationship mentioned above.</w:t>
      </w:r>
    </w:p>
    <w:p>
      <w:pPr>
        <w:spacing w:after="0" w:line="16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Asset quality metrics remain dependent upon market-specific economic conditions, and specific measures may fluctuate from period to period. If economic conditions were to deteriorate, we would expect the credit quality of our loan portfolio to decline and loan defaults to increase.</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Potential Problem Loans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Potential problem loans are loans classified as substandard which are not individually evaluated,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increased to $87.8 million as of March 31, 2024, compared to $64.3 million as of December 31, 2023. Management continues to monitor these loans and anticipates that restructurings, guarantees, additional collateral, or other planned actions will result in full repayment of the debts. As of March 31, 2024, management identified no other loans that represent or result from trends or uncertainties which would be expected to materially impact future operating results, liquidity, or capital resources.</w:t>
      </w:r>
    </w:p>
    <w:p>
      <w:pPr>
        <w:spacing w:after="0" w:line="17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Deposits</w:t>
      </w:r>
    </w:p>
    <w:p>
      <w:pPr>
        <w:spacing w:after="0" w:line="173" w:lineRule="exact"/>
        <w:rPr>
          <w:sz w:val="20"/>
          <w:szCs w:val="20"/>
          <w:color w:val="auto"/>
        </w:rPr>
      </w:pPr>
    </w:p>
    <w:p>
      <w:pPr>
        <w:jc w:val="both"/>
        <w:spacing w:after="0" w:line="233" w:lineRule="auto"/>
        <w:rPr>
          <w:sz w:val="20"/>
          <w:szCs w:val="20"/>
          <w:color w:val="auto"/>
        </w:rPr>
      </w:pPr>
      <w:r>
        <w:rPr>
          <w:rFonts w:ascii="Verdana" w:cs="Verdana" w:eastAsia="Verdana" w:hAnsi="Verdana"/>
          <w:sz w:val="18"/>
          <w:szCs w:val="18"/>
          <w:color w:val="auto"/>
        </w:rPr>
        <w:t>Total deposits decreased by 3.2% to $9.96 billion as of March 31, 2024, compared to $10.29 billion as of December 31, 2023. During the first quarter of 2024, we moved $129.7 million of wealth management client funds that had previously been swept into interest-bearing money market accounts at Busey Bank back to money market investments managed by the Wealth Management division. Remaining decreases in total deposits were attributable to normal seasonal flows in our public fund accounts. The quality of our core deposit</w:t>
      </w:r>
      <w:r>
        <w:rPr>
          <w:rFonts w:ascii="Verdana" w:cs="Verdana" w:eastAsia="Verdana" w:hAnsi="Verdana"/>
          <w:sz w:val="23"/>
          <w:szCs w:val="23"/>
          <w:color w:val="auto"/>
          <w:vertAlign w:val="superscript"/>
        </w:rPr>
        <w:t>4</w:t>
      </w:r>
      <w:r>
        <w:rPr>
          <w:rFonts w:ascii="Verdana" w:cs="Verdana" w:eastAsia="Verdana" w:hAnsi="Verdana"/>
          <w:sz w:val="18"/>
          <w:szCs w:val="18"/>
          <w:color w:val="auto"/>
        </w:rPr>
        <w:t xml:space="preserve"> franchise coupled with cash flows from our securities portfolio allows us to fund loan growth while limiting our reliance on higher cost wholesale funding alternatives. We focus on deepening our relationships with customers to maintain and protect our strong core deposit franchise. As of March 31, 2024, our average customer tenure was 16.6 years for retail customers and 12.4 years for commercial customers. Core deposits include non-brokered transaction accounts, money market and savings deposit accounts, and time deposits of $250,000 or less. Core deposits represented 96.7% of total deposits as of March 31, 2024, compared to 96.2% as of December 31, 2023. Our estimated amount of uninsured deposits was $3.63 billion as of March 31, 2024, compared to $3.81 billion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714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Verdana" w:cs="Verdana" w:eastAsia="Verdana" w:hAnsi="Verdana"/>
          <w:sz w:val="23"/>
          <w:szCs w:val="23"/>
          <w:color w:val="auto"/>
          <w:vertAlign w:val="superscript"/>
        </w:rPr>
        <w:t>4</w:t>
      </w:r>
      <w:r>
        <w:rPr>
          <w:rFonts w:ascii="Verdana" w:cs="Verdana" w:eastAsia="Verdana" w:hAnsi="Verdana"/>
          <w:sz w:val="13"/>
          <w:szCs w:val="13"/>
          <w:color w:val="auto"/>
        </w:rPr>
        <w:t xml:space="preserve">  Core deposits is a non-GAAP financial measure. For a reconciliation of non-GAAP measures to the most directly comparable GAAP financial measures, see </w:t>
      </w:r>
      <w:r>
        <w:rPr>
          <w:rFonts w:ascii="Verdana" w:cs="Verdana" w:eastAsia="Verdana" w:hAnsi="Verdana"/>
          <w:sz w:val="13"/>
          <w:szCs w:val="13"/>
          <w:i w:val="1"/>
          <w:iCs w:val="1"/>
          <w:u w:val="single" w:color="auto"/>
          <w:color w:val="0000FF"/>
        </w:rPr>
        <w:t>“Item 2.</w:t>
      </w:r>
    </w:p>
    <w:p>
      <w:pPr>
        <w:spacing w:after="0"/>
        <w:rPr>
          <w:sz w:val="20"/>
          <w:szCs w:val="20"/>
          <w:color w:val="auto"/>
        </w:rPr>
      </w:pPr>
      <w:r>
        <w:rPr>
          <w:rFonts w:ascii="Verdana" w:cs="Verdana" w:eastAsia="Verdana" w:hAnsi="Verdana"/>
          <w:sz w:val="13"/>
          <w:szCs w:val="13"/>
          <w:i w:val="1"/>
          <w:iCs w:val="1"/>
          <w:u w:val="single" w:color="auto"/>
          <w:color w:val="0000FF"/>
        </w:rPr>
        <w:t>Management’s Discussion and Analysis—Non-GAAP Financial Information”</w:t>
      </w:r>
      <w:r>
        <w:rPr>
          <w:rFonts w:ascii="Verdana" w:cs="Verdana" w:eastAsia="Verdana" w:hAnsi="Verdana"/>
          <w:sz w:val="13"/>
          <w:szCs w:val="13"/>
          <w:i w:val="1"/>
          <w:iCs w:val="1"/>
          <w:color w:val="0000FF"/>
        </w:rPr>
        <w:t xml:space="preserve"> </w:t>
      </w:r>
      <w:r>
        <w:rPr>
          <w:rFonts w:ascii="Verdana" w:cs="Verdana" w:eastAsia="Verdana" w:hAnsi="Verdana"/>
          <w:sz w:val="13"/>
          <w:szCs w:val="13"/>
          <w:color w:val="000000"/>
        </w:rPr>
        <w:t>included in this Quarterly Report.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1" w:name="page82"/>
    <w:bookmarkEnd w:id="8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Liquidity</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Balances of these assets are dependent on our operating, investing, lending, and financing activities during any given period.</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Average liquid assets are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jc w:val="right"/>
              <w:ind w:right="535"/>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7800" w:type="dxa"/>
            <w:vAlign w:val="bottom"/>
            <w:tcBorders>
              <w:bottom w:val="single" w:sz="8" w:color="E0E7ED"/>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9"/>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78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Average liquid assets</w:t>
            </w:r>
          </w:p>
        </w:tc>
        <w:tc>
          <w:tcPr>
            <w:tcW w:w="38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40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r>
      <w:tr>
        <w:trPr>
          <w:trHeight w:val="263"/>
        </w:trPr>
        <w:tc>
          <w:tcPr>
            <w:tcW w:w="7800" w:type="dxa"/>
            <w:vAlign w:val="bottom"/>
          </w:tcPr>
          <w:p>
            <w:pPr>
              <w:ind w:left="180"/>
              <w:spacing w:after="0"/>
              <w:rPr>
                <w:sz w:val="20"/>
                <w:szCs w:val="20"/>
                <w:color w:val="auto"/>
              </w:rPr>
            </w:pPr>
            <w:r>
              <w:rPr>
                <w:rFonts w:ascii="Verdana" w:cs="Verdana" w:eastAsia="Verdana" w:hAnsi="Verdana"/>
                <w:sz w:val="18"/>
                <w:szCs w:val="18"/>
                <w:color w:val="auto"/>
              </w:rPr>
              <w:t>Cash and due from banks</w:t>
            </w: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300" w:type="dxa"/>
            <w:vAlign w:val="bottom"/>
          </w:tcPr>
          <w:p>
            <w:pPr>
              <w:jc w:val="right"/>
              <w:ind w:right="199"/>
              <w:spacing w:after="0"/>
              <w:rPr>
                <w:sz w:val="20"/>
                <w:szCs w:val="20"/>
                <w:color w:val="auto"/>
              </w:rPr>
            </w:pPr>
            <w:r>
              <w:rPr>
                <w:rFonts w:ascii="Verdana" w:cs="Verdana" w:eastAsia="Verdana" w:hAnsi="Verdana"/>
                <w:sz w:val="18"/>
                <w:szCs w:val="18"/>
                <w:color w:val="auto"/>
              </w:rPr>
              <w:t>105,583</w:t>
            </w:r>
          </w:p>
        </w:tc>
        <w:tc>
          <w:tcPr>
            <w:tcW w:w="8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95"/>
              <w:spacing w:after="0"/>
              <w:rPr>
                <w:sz w:val="20"/>
                <w:szCs w:val="20"/>
                <w:color w:val="auto"/>
              </w:rPr>
            </w:pPr>
            <w:r>
              <w:rPr>
                <w:rFonts w:ascii="Verdana" w:cs="Verdana" w:eastAsia="Verdana" w:hAnsi="Verdana"/>
                <w:sz w:val="18"/>
                <w:szCs w:val="18"/>
                <w:color w:val="auto"/>
              </w:rPr>
              <w:t>115,145</w:t>
            </w:r>
          </w:p>
        </w:tc>
      </w:tr>
      <w:tr>
        <w:trPr>
          <w:trHeight w:val="270"/>
        </w:trPr>
        <w:tc>
          <w:tcPr>
            <w:tcW w:w="78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Interest-bearing bank deposits</w:t>
            </w:r>
          </w:p>
        </w:tc>
        <w:tc>
          <w:tcPr>
            <w:tcW w:w="380" w:type="dxa"/>
            <w:vAlign w:val="bottom"/>
            <w:tcBorders>
              <w:bottom w:val="single" w:sz="8" w:color="auto"/>
            </w:tcBorders>
            <w:shd w:val="clear" w:color="auto" w:fill="E0E7ED"/>
          </w:tcPr>
          <w:p>
            <w:pPr>
              <w:spacing w:after="0"/>
              <w:rPr>
                <w:sz w:val="23"/>
                <w:szCs w:val="23"/>
                <w:color w:val="auto"/>
              </w:rPr>
            </w:pPr>
          </w:p>
        </w:tc>
        <w:tc>
          <w:tcPr>
            <w:tcW w:w="1300" w:type="dxa"/>
            <w:vAlign w:val="bottom"/>
            <w:tcBorders>
              <w:bottom w:val="single" w:sz="8" w:color="auto"/>
            </w:tcBorders>
            <w:shd w:val="clear" w:color="auto" w:fill="E0E7ED"/>
          </w:tcPr>
          <w:p>
            <w:pPr>
              <w:jc w:val="right"/>
              <w:ind w:right="199"/>
              <w:spacing w:after="0"/>
              <w:rPr>
                <w:sz w:val="20"/>
                <w:szCs w:val="20"/>
                <w:color w:val="auto"/>
              </w:rPr>
            </w:pPr>
            <w:r>
              <w:rPr>
                <w:rFonts w:ascii="Verdana" w:cs="Verdana" w:eastAsia="Verdana" w:hAnsi="Verdana"/>
                <w:sz w:val="18"/>
                <w:szCs w:val="18"/>
                <w:color w:val="auto"/>
              </w:rPr>
              <w:t>488,610</w:t>
            </w:r>
          </w:p>
        </w:tc>
        <w:tc>
          <w:tcPr>
            <w:tcW w:w="80" w:type="dxa"/>
            <w:vAlign w:val="bottom"/>
            <w:shd w:val="clear" w:color="auto" w:fill="E0E7ED"/>
          </w:tcPr>
          <w:p>
            <w:pPr>
              <w:spacing w:after="0"/>
              <w:rPr>
                <w:sz w:val="23"/>
                <w:szCs w:val="23"/>
                <w:color w:val="auto"/>
              </w:rPr>
            </w:pPr>
          </w:p>
        </w:tc>
        <w:tc>
          <w:tcPr>
            <w:tcW w:w="40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108,051</w:t>
            </w:r>
          </w:p>
        </w:tc>
      </w:tr>
      <w:tr>
        <w:trPr>
          <w:trHeight w:val="270"/>
        </w:trPr>
        <w:tc>
          <w:tcPr>
            <w:tcW w:w="7800" w:type="dxa"/>
            <w:vAlign w:val="bottom"/>
          </w:tcPr>
          <w:p>
            <w:pPr>
              <w:ind w:left="20"/>
              <w:spacing w:after="0"/>
              <w:rPr>
                <w:sz w:val="20"/>
                <w:szCs w:val="20"/>
                <w:color w:val="auto"/>
              </w:rPr>
            </w:pPr>
            <w:r>
              <w:rPr>
                <w:rFonts w:ascii="Verdana" w:cs="Verdana" w:eastAsia="Verdana" w:hAnsi="Verdana"/>
                <w:sz w:val="18"/>
                <w:szCs w:val="18"/>
                <w:color w:val="auto"/>
              </w:rPr>
              <w:t>Total average liquid assets</w:t>
            </w:r>
          </w:p>
        </w:tc>
        <w:tc>
          <w:tcPr>
            <w:tcW w:w="38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w w:val="86"/>
              </w:rPr>
              <w:t>$</w:t>
            </w:r>
          </w:p>
        </w:tc>
        <w:tc>
          <w:tcPr>
            <w:tcW w:w="1300" w:type="dxa"/>
            <w:vAlign w:val="bottom"/>
            <w:tcBorders>
              <w:bottom w:val="single" w:sz="8" w:color="auto"/>
            </w:tcBorders>
          </w:tcPr>
          <w:p>
            <w:pPr>
              <w:jc w:val="right"/>
              <w:ind w:right="199"/>
              <w:spacing w:after="0"/>
              <w:rPr>
                <w:sz w:val="20"/>
                <w:szCs w:val="20"/>
                <w:color w:val="auto"/>
              </w:rPr>
            </w:pPr>
            <w:r>
              <w:rPr>
                <w:rFonts w:ascii="Verdana" w:cs="Verdana" w:eastAsia="Verdana" w:hAnsi="Verdana"/>
                <w:sz w:val="18"/>
                <w:szCs w:val="18"/>
                <w:color w:val="auto"/>
              </w:rPr>
              <w:t>594,193</w:t>
            </w:r>
          </w:p>
        </w:tc>
        <w:tc>
          <w:tcPr>
            <w:tcW w:w="80" w:type="dxa"/>
            <w:vAlign w:val="bottom"/>
          </w:tcPr>
          <w:p>
            <w:pPr>
              <w:spacing w:after="0"/>
              <w:rPr>
                <w:sz w:val="23"/>
                <w:szCs w:val="23"/>
                <w:color w:val="auto"/>
              </w:rPr>
            </w:pPr>
          </w:p>
        </w:tc>
        <w:tc>
          <w:tcPr>
            <w:tcW w:w="400" w:type="dxa"/>
            <w:vAlign w:val="bottom"/>
            <w:tcBorders>
              <w:bottom w:val="single" w:sz="8" w:color="auto"/>
            </w:tcBorders>
          </w:tcPr>
          <w:p>
            <w:pPr>
              <w:jc w:val="right"/>
              <w:ind w:right="170"/>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223,196</w:t>
            </w:r>
          </w:p>
        </w:tc>
      </w:tr>
      <w:tr>
        <w:trPr>
          <w:trHeight w:val="20"/>
        </w:trPr>
        <w:tc>
          <w:tcPr>
            <w:tcW w:w="780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780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3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40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r>
      <w:tr>
        <w:trPr>
          <w:trHeight w:val="257"/>
        </w:trPr>
        <w:tc>
          <w:tcPr>
            <w:tcW w:w="7800" w:type="dxa"/>
            <w:vAlign w:val="bottom"/>
          </w:tcPr>
          <w:p>
            <w:pPr>
              <w:ind w:left="20"/>
              <w:spacing w:after="0"/>
              <w:rPr>
                <w:sz w:val="20"/>
                <w:szCs w:val="20"/>
                <w:color w:val="auto"/>
              </w:rPr>
            </w:pPr>
            <w:r>
              <w:rPr>
                <w:rFonts w:ascii="Verdana" w:cs="Verdana" w:eastAsia="Verdana" w:hAnsi="Verdana"/>
                <w:sz w:val="18"/>
                <w:szCs w:val="18"/>
                <w:color w:val="auto"/>
              </w:rPr>
              <w:t>Average liquid assets as a percent of average total assets</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4.9 %</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1.8 %</w:t>
            </w:r>
          </w:p>
        </w:tc>
      </w:tr>
    </w:tbl>
    <w:p>
      <w:pPr>
        <w:spacing w:after="0" w:line="27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Cash and unencumbered securities on our Consolidated Balance Sheets (Unaudited) are summarized as follows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ind w:left="120"/>
              <w:spacing w:after="0" w:line="122" w:lineRule="exact"/>
              <w:rPr>
                <w:sz w:val="20"/>
                <w:szCs w:val="20"/>
                <w:color w:val="auto"/>
              </w:rPr>
            </w:pPr>
            <w:r>
              <w:rPr>
                <w:rFonts w:ascii="Verdana" w:cs="Verdana" w:eastAsia="Verdana" w:hAnsi="Verdana"/>
                <w:sz w:val="13"/>
                <w:szCs w:val="13"/>
                <w:b w:val="1"/>
                <w:bCs w:val="1"/>
                <w:color w:val="auto"/>
              </w:rPr>
              <w:t>March 31,</w:t>
            </w:r>
          </w:p>
        </w:tc>
        <w:tc>
          <w:tcPr>
            <w:tcW w:w="200" w:type="dxa"/>
            <w:vAlign w:val="bottom"/>
          </w:tcPr>
          <w:p>
            <w:pPr>
              <w:spacing w:after="0"/>
              <w:rPr>
                <w:sz w:val="10"/>
                <w:szCs w:val="10"/>
                <w:color w:val="auto"/>
              </w:rPr>
            </w:pPr>
          </w:p>
        </w:tc>
        <w:tc>
          <w:tcPr>
            <w:tcW w:w="1320" w:type="dxa"/>
            <w:vAlign w:val="bottom"/>
          </w:tcPr>
          <w:p>
            <w:pPr>
              <w:jc w:val="right"/>
              <w:ind w:right="179"/>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2"/>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80"/>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Cash and unencumbered securities</w:t>
            </w:r>
          </w:p>
        </w:tc>
        <w:tc>
          <w:tcPr>
            <w:tcW w:w="2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Total cash and cash equivalents</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22"/>
              <w:spacing w:after="0"/>
              <w:rPr>
                <w:sz w:val="20"/>
                <w:szCs w:val="20"/>
                <w:color w:val="auto"/>
              </w:rPr>
            </w:pPr>
            <w:r>
              <w:rPr>
                <w:rFonts w:ascii="Verdana" w:cs="Verdana" w:eastAsia="Verdana" w:hAnsi="Verdana"/>
                <w:sz w:val="18"/>
                <w:szCs w:val="18"/>
                <w:color w:val="auto"/>
              </w:rPr>
              <w:t>591,071</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719,581</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Debt securities available for sale</w:t>
            </w:r>
          </w:p>
        </w:tc>
        <w:tc>
          <w:tcPr>
            <w:tcW w:w="2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1,898,072</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2,087,571</w:t>
            </w: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Debt securities available for sale pledged as collateral</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(596,692)</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380"/>
              <w:spacing w:after="0"/>
              <w:rPr>
                <w:sz w:val="20"/>
                <w:szCs w:val="20"/>
                <w:color w:val="auto"/>
              </w:rPr>
            </w:pPr>
            <w:r>
              <w:rPr>
                <w:rFonts w:ascii="Verdana" w:cs="Verdana" w:eastAsia="Verdana" w:hAnsi="Verdana"/>
                <w:sz w:val="18"/>
                <w:szCs w:val="18"/>
                <w:color w:val="auto"/>
              </w:rPr>
              <w:t>(649,769)</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Cash and unencumbered securities</w:t>
            </w:r>
          </w:p>
        </w:tc>
        <w:tc>
          <w:tcPr>
            <w:tcW w:w="280" w:type="dxa"/>
            <w:vAlign w:val="bottom"/>
            <w:tcBorders>
              <w:bottom w:val="single" w:sz="8" w:color="auto"/>
            </w:tcBorders>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ind w:right="22"/>
              <w:spacing w:after="0"/>
              <w:rPr>
                <w:sz w:val="20"/>
                <w:szCs w:val="20"/>
                <w:color w:val="auto"/>
              </w:rPr>
            </w:pPr>
            <w:r>
              <w:rPr>
                <w:rFonts w:ascii="Verdana" w:cs="Verdana" w:eastAsia="Verdana" w:hAnsi="Verdana"/>
                <w:sz w:val="18"/>
                <w:szCs w:val="18"/>
                <w:color w:val="auto"/>
              </w:rPr>
              <w:t>1,892,451</w:t>
            </w:r>
          </w:p>
        </w:tc>
        <w:tc>
          <w:tcPr>
            <w:tcW w:w="8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2,157,383</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Busey’s primary sources of funds consist of deposits, investment maturities and sales, loan principal repayments, and capital funds. Additional liquidity is provided by the ability to borrow from the FHLB, the Federal Reserve, and our revolving credit facility, as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ind w:left="120"/>
              <w:spacing w:after="0" w:line="122" w:lineRule="exact"/>
              <w:rPr>
                <w:sz w:val="20"/>
                <w:szCs w:val="20"/>
                <w:color w:val="auto"/>
              </w:rPr>
            </w:pPr>
            <w:r>
              <w:rPr>
                <w:rFonts w:ascii="Verdana" w:cs="Verdana" w:eastAsia="Verdana" w:hAnsi="Verdana"/>
                <w:sz w:val="13"/>
                <w:szCs w:val="13"/>
                <w:b w:val="1"/>
                <w:bCs w:val="1"/>
                <w:color w:val="auto"/>
              </w:rPr>
              <w:t>March 31,</w:t>
            </w:r>
          </w:p>
        </w:tc>
        <w:tc>
          <w:tcPr>
            <w:tcW w:w="200" w:type="dxa"/>
            <w:vAlign w:val="bottom"/>
          </w:tcPr>
          <w:p>
            <w:pPr>
              <w:spacing w:after="0"/>
              <w:rPr>
                <w:sz w:val="10"/>
                <w:szCs w:val="10"/>
                <w:color w:val="auto"/>
              </w:rPr>
            </w:pPr>
          </w:p>
        </w:tc>
        <w:tc>
          <w:tcPr>
            <w:tcW w:w="1320" w:type="dxa"/>
            <w:vAlign w:val="bottom"/>
          </w:tcPr>
          <w:p>
            <w:pPr>
              <w:jc w:val="right"/>
              <w:ind w:right="178"/>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0"/>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8"/>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Additional available borrowing capacity</w:t>
            </w:r>
          </w:p>
        </w:tc>
        <w:tc>
          <w:tcPr>
            <w:tcW w:w="2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FHLB</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20"/>
              <w:spacing w:after="0"/>
              <w:rPr>
                <w:sz w:val="20"/>
                <w:szCs w:val="20"/>
                <w:color w:val="auto"/>
              </w:rPr>
            </w:pPr>
            <w:r>
              <w:rPr>
                <w:rFonts w:ascii="Verdana" w:cs="Verdana" w:eastAsia="Verdana" w:hAnsi="Verdana"/>
                <w:sz w:val="18"/>
                <w:szCs w:val="18"/>
                <w:color w:val="auto"/>
              </w:rPr>
              <w:t>2,034,762</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1,898,737</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Federal Reserve Bank</w:t>
            </w:r>
          </w:p>
        </w:tc>
        <w:tc>
          <w:tcPr>
            <w:tcW w:w="2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608,694</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598,878</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Federal funds purchased</w:t>
            </w:r>
          </w:p>
        </w:tc>
        <w:tc>
          <w:tcPr>
            <w:tcW w:w="28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Verdana" w:cs="Verdana" w:eastAsia="Verdana" w:hAnsi="Verdana"/>
                <w:sz w:val="18"/>
                <w:szCs w:val="18"/>
                <w:color w:val="auto"/>
              </w:rPr>
              <w:t>477,500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482,500</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Revolving credit facility</w:t>
            </w:r>
          </w:p>
        </w:tc>
        <w:tc>
          <w:tcPr>
            <w:tcW w:w="28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20"/>
              <w:spacing w:after="0"/>
              <w:rPr>
                <w:sz w:val="20"/>
                <w:szCs w:val="20"/>
                <w:color w:val="auto"/>
              </w:rPr>
            </w:pPr>
            <w:r>
              <w:rPr>
                <w:rFonts w:ascii="Verdana" w:cs="Verdana" w:eastAsia="Verdana" w:hAnsi="Verdana"/>
                <w:sz w:val="18"/>
                <w:szCs w:val="18"/>
                <w:color w:val="auto"/>
              </w:rPr>
              <w:t>40,000</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40,000</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Additional borrowing capacity</w:t>
            </w:r>
          </w:p>
        </w:tc>
        <w:tc>
          <w:tcPr>
            <w:tcW w:w="28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Verdana" w:cs="Verdana" w:eastAsia="Verdana" w:hAnsi="Verdana"/>
                <w:sz w:val="18"/>
                <w:szCs w:val="18"/>
                <w:color w:val="auto"/>
              </w:rPr>
              <w:t>3,160,956</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3,020,115</w:t>
            </w:r>
          </w:p>
        </w:tc>
      </w:tr>
      <w:tr>
        <w:trPr>
          <w:trHeight w:val="21"/>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color w:val="auto"/>
        </w:rPr>
        <w:t>Further, the company could utilize brokered deposits as additional sources of liquidity, as needed.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2" w:name="page83"/>
    <w:bookmarkEnd w:id="8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As of March 31, 2024,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Off-Balance-Sheet Arrangements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 Bank routinely enters into commitments to extend credit and standby letters of credit in the normal course of business to meet the financing needs of its customers. The balance of commitments to extend credit represents future cash requirements and some of these commitments may expire without being drawn upon.</w:t>
      </w:r>
    </w:p>
    <w:p>
      <w:pPr>
        <w:spacing w:after="0" w:line="167"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The following table summarizes our outstanding commitments and reserves for unfunded commitments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gridSpan w:val="2"/>
          </w:tcPr>
          <w:p>
            <w:pPr>
              <w:ind w:left="120"/>
              <w:spacing w:after="0" w:line="122" w:lineRule="exact"/>
              <w:rPr>
                <w:sz w:val="20"/>
                <w:szCs w:val="20"/>
                <w:color w:val="auto"/>
              </w:rPr>
            </w:pPr>
            <w:r>
              <w:rPr>
                <w:rFonts w:ascii="Verdana" w:cs="Verdana" w:eastAsia="Verdana" w:hAnsi="Verdana"/>
                <w:sz w:val="13"/>
                <w:szCs w:val="13"/>
                <w:b w:val="1"/>
                <w:bCs w:val="1"/>
                <w:color w:val="auto"/>
              </w:rPr>
              <w:t>March 31,</w:t>
            </w:r>
          </w:p>
        </w:tc>
        <w:tc>
          <w:tcPr>
            <w:tcW w:w="200" w:type="dxa"/>
            <w:vAlign w:val="bottom"/>
          </w:tcPr>
          <w:p>
            <w:pPr>
              <w:spacing w:after="0"/>
              <w:rPr>
                <w:sz w:val="10"/>
                <w:szCs w:val="10"/>
                <w:color w:val="auto"/>
              </w:rPr>
            </w:pPr>
          </w:p>
        </w:tc>
        <w:tc>
          <w:tcPr>
            <w:tcW w:w="1320" w:type="dxa"/>
            <w:vAlign w:val="bottom"/>
          </w:tcPr>
          <w:p>
            <w:pPr>
              <w:jc w:val="right"/>
              <w:ind w:right="184"/>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6"/>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Outstanding loan commitments and standby letters of credit</w:t>
            </w: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26"/>
              <w:spacing w:after="0"/>
              <w:rPr>
                <w:sz w:val="20"/>
                <w:szCs w:val="20"/>
                <w:color w:val="auto"/>
              </w:rPr>
            </w:pPr>
            <w:r>
              <w:rPr>
                <w:rFonts w:ascii="Verdana" w:cs="Verdana" w:eastAsia="Verdana" w:hAnsi="Verdana"/>
                <w:sz w:val="18"/>
                <w:szCs w:val="18"/>
                <w:color w:val="auto"/>
              </w:rPr>
              <w:t>2,165,588</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2,176,496</w:t>
            </w:r>
          </w:p>
        </w:tc>
      </w:tr>
      <w:tr>
        <w:trPr>
          <w:trHeight w:val="257"/>
        </w:trPr>
        <w:tc>
          <w:tcPr>
            <w:tcW w:w="8120" w:type="dxa"/>
            <w:vAlign w:val="bottom"/>
          </w:tcPr>
          <w:p>
            <w:pPr>
              <w:ind w:left="20"/>
              <w:spacing w:after="0"/>
              <w:rPr>
                <w:sz w:val="20"/>
                <w:szCs w:val="20"/>
                <w:color w:val="auto"/>
              </w:rPr>
            </w:pPr>
            <w:r>
              <w:rPr>
                <w:rFonts w:ascii="Verdana" w:cs="Verdana" w:eastAsia="Verdana" w:hAnsi="Verdana"/>
                <w:sz w:val="18"/>
                <w:szCs w:val="18"/>
                <w:color w:val="auto"/>
              </w:rPr>
              <w:t>Reserve for unfunded commitments</w:t>
            </w:r>
          </w:p>
        </w:tc>
        <w:tc>
          <w:tcPr>
            <w:tcW w:w="280" w:type="dxa"/>
            <w:vAlign w:val="bottom"/>
          </w:tcPr>
          <w:p>
            <w:pPr>
              <w:spacing w:after="0"/>
              <w:rPr>
                <w:sz w:val="22"/>
                <w:szCs w:val="22"/>
                <w:color w:val="auto"/>
              </w:rPr>
            </w:pPr>
          </w:p>
        </w:tc>
        <w:tc>
          <w:tcPr>
            <w:tcW w:w="1240" w:type="dxa"/>
            <w:vAlign w:val="bottom"/>
          </w:tcPr>
          <w:p>
            <w:pPr>
              <w:jc w:val="right"/>
              <w:ind w:right="26"/>
              <w:spacing w:after="0"/>
              <w:rPr>
                <w:sz w:val="20"/>
                <w:szCs w:val="20"/>
                <w:color w:val="auto"/>
              </w:rPr>
            </w:pPr>
            <w:r>
              <w:rPr>
                <w:rFonts w:ascii="Verdana" w:cs="Verdana" w:eastAsia="Verdana" w:hAnsi="Verdana"/>
                <w:sz w:val="18"/>
                <w:szCs w:val="18"/>
                <w:color w:val="auto"/>
              </w:rPr>
              <w:t>6,384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4"/>
              <w:spacing w:after="0"/>
              <w:rPr>
                <w:sz w:val="20"/>
                <w:szCs w:val="20"/>
                <w:color w:val="auto"/>
              </w:rPr>
            </w:pPr>
            <w:r>
              <w:rPr>
                <w:rFonts w:ascii="Verdana" w:cs="Verdana" w:eastAsia="Verdana" w:hAnsi="Verdana"/>
                <w:sz w:val="18"/>
                <w:szCs w:val="18"/>
                <w:color w:val="auto"/>
              </w:rPr>
              <w:t>7,062</w:t>
            </w:r>
          </w:p>
        </w:tc>
      </w:tr>
    </w:tbl>
    <w:p>
      <w:pPr>
        <w:spacing w:after="0" w:line="278"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The following table summarizes our provision for unfunded commitments expenses (releases)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384"/>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8"/>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Provision for unfunded commitments expense (release)</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(678)</w:t>
            </w: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(635)</w:t>
            </w: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We anticipate we will have sufficient funds available to meet current loan commitments, including loan applications received and in process prior to the issuance of firm commitments.</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Capital Resources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Our capital ratios are in excess of those required to be considered “well -capitalized”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that include the capital conservation buffer in comparison to the capital ratios for First Busey and Busey Bank as of March 31, 2024:</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60" w:type="dxa"/>
            <w:vAlign w:val="bottom"/>
          </w:tcPr>
          <w:p>
            <w:pPr>
              <w:spacing w:after="0"/>
              <w:rPr>
                <w:sz w:val="15"/>
                <w:szCs w:val="15"/>
                <w:color w:val="auto"/>
              </w:rPr>
            </w:pPr>
          </w:p>
        </w:tc>
        <w:tc>
          <w:tcPr>
            <w:tcW w:w="1740" w:type="dxa"/>
            <w:vAlign w:val="bottom"/>
            <w:gridSpan w:val="2"/>
          </w:tcPr>
          <w:p>
            <w:pPr>
              <w:jc w:val="center"/>
              <w:ind w:right="80"/>
              <w:spacing w:after="0"/>
              <w:rPr>
                <w:sz w:val="20"/>
                <w:szCs w:val="20"/>
                <w:color w:val="auto"/>
              </w:rPr>
            </w:pPr>
            <w:r>
              <w:rPr>
                <w:rFonts w:ascii="Verdana" w:cs="Verdana" w:eastAsia="Verdana" w:hAnsi="Verdana"/>
                <w:sz w:val="13"/>
                <w:szCs w:val="13"/>
                <w:b w:val="1"/>
                <w:bCs w:val="1"/>
                <w:color w:val="auto"/>
                <w:w w:val="96"/>
              </w:rPr>
              <w:t>Minimum Capital</w:t>
            </w:r>
          </w:p>
        </w:tc>
        <w:tc>
          <w:tcPr>
            <w:tcW w:w="3340" w:type="dxa"/>
            <w:vAlign w:val="bottom"/>
            <w:tcBorders>
              <w:bottom w:val="single" w:sz="8" w:color="auto"/>
            </w:tcBorders>
            <w:gridSpan w:val="3"/>
          </w:tcPr>
          <w:p>
            <w:pPr>
              <w:jc w:val="right"/>
              <w:ind w:right="839"/>
              <w:spacing w:after="0"/>
              <w:rPr>
                <w:sz w:val="20"/>
                <w:szCs w:val="20"/>
                <w:color w:val="auto"/>
              </w:rPr>
            </w:pPr>
            <w:r>
              <w:rPr>
                <w:rFonts w:ascii="Verdana" w:cs="Verdana" w:eastAsia="Verdana" w:hAnsi="Verdana"/>
                <w:sz w:val="13"/>
                <w:szCs w:val="13"/>
                <w:b w:val="1"/>
                <w:bCs w:val="1"/>
                <w:color w:val="auto"/>
              </w:rPr>
              <w:t>As of March 31, 2024</w:t>
            </w:r>
          </w:p>
        </w:tc>
      </w:tr>
      <w:tr>
        <w:trPr>
          <w:trHeight w:val="135"/>
        </w:trPr>
        <w:tc>
          <w:tcPr>
            <w:tcW w:w="6160" w:type="dxa"/>
            <w:vAlign w:val="bottom"/>
          </w:tcPr>
          <w:p>
            <w:pPr>
              <w:spacing w:after="0"/>
              <w:rPr>
                <w:sz w:val="11"/>
                <w:szCs w:val="11"/>
                <w:color w:val="auto"/>
              </w:rPr>
            </w:pPr>
          </w:p>
        </w:tc>
        <w:tc>
          <w:tcPr>
            <w:tcW w:w="1740" w:type="dxa"/>
            <w:vAlign w:val="bottom"/>
            <w:gridSpan w:val="2"/>
          </w:tcPr>
          <w:p>
            <w:pPr>
              <w:jc w:val="center"/>
              <w:ind w:right="80"/>
              <w:spacing w:after="0" w:line="135" w:lineRule="exact"/>
              <w:rPr>
                <w:sz w:val="20"/>
                <w:szCs w:val="20"/>
                <w:color w:val="auto"/>
              </w:rPr>
            </w:pPr>
            <w:r>
              <w:rPr>
                <w:rFonts w:ascii="Verdana" w:cs="Verdana" w:eastAsia="Verdana" w:hAnsi="Verdana"/>
                <w:sz w:val="13"/>
                <w:szCs w:val="13"/>
                <w:b w:val="1"/>
                <w:bCs w:val="1"/>
                <w:color w:val="auto"/>
                <w:w w:val="96"/>
              </w:rPr>
              <w:t>Requirements with</w:t>
            </w:r>
          </w:p>
        </w:tc>
        <w:tc>
          <w:tcPr>
            <w:tcW w:w="1720" w:type="dxa"/>
            <w:vAlign w:val="bottom"/>
            <w:gridSpan w:val="2"/>
          </w:tcPr>
          <w:p>
            <w:pPr>
              <w:jc w:val="center"/>
              <w:ind w:right="80"/>
              <w:spacing w:after="0" w:line="135" w:lineRule="exact"/>
              <w:rPr>
                <w:sz w:val="20"/>
                <w:szCs w:val="20"/>
                <w:color w:val="auto"/>
              </w:rPr>
            </w:pPr>
            <w:r>
              <w:rPr>
                <w:rFonts w:ascii="Verdana" w:cs="Verdana" w:eastAsia="Verdana" w:hAnsi="Verdana"/>
                <w:sz w:val="13"/>
                <w:szCs w:val="13"/>
                <w:b w:val="1"/>
                <w:bCs w:val="1"/>
                <w:color w:val="auto"/>
                <w:w w:val="96"/>
              </w:rPr>
              <w:t>First</w:t>
            </w:r>
          </w:p>
        </w:tc>
        <w:tc>
          <w:tcPr>
            <w:tcW w:w="1620" w:type="dxa"/>
            <w:vAlign w:val="bottom"/>
          </w:tcPr>
          <w:p>
            <w:pPr>
              <w:jc w:val="right"/>
              <w:ind w:right="519"/>
              <w:spacing w:after="0" w:line="135" w:lineRule="exact"/>
              <w:rPr>
                <w:sz w:val="20"/>
                <w:szCs w:val="20"/>
                <w:color w:val="auto"/>
              </w:rPr>
            </w:pPr>
            <w:r>
              <w:rPr>
                <w:rFonts w:ascii="Verdana" w:cs="Verdana" w:eastAsia="Verdana" w:hAnsi="Verdana"/>
                <w:sz w:val="13"/>
                <w:szCs w:val="13"/>
                <w:b w:val="1"/>
                <w:bCs w:val="1"/>
                <w:color w:val="auto"/>
              </w:rPr>
              <w:t>Busey</w:t>
            </w:r>
          </w:p>
        </w:tc>
      </w:tr>
      <w:tr>
        <w:trPr>
          <w:trHeight w:val="170"/>
        </w:trPr>
        <w:tc>
          <w:tcPr>
            <w:tcW w:w="6160" w:type="dxa"/>
            <w:vAlign w:val="bottom"/>
          </w:tcPr>
          <w:p>
            <w:pPr>
              <w:spacing w:after="0"/>
              <w:rPr>
                <w:sz w:val="14"/>
                <w:szCs w:val="14"/>
                <w:color w:val="auto"/>
              </w:rPr>
            </w:pPr>
          </w:p>
        </w:tc>
        <w:tc>
          <w:tcPr>
            <w:tcW w:w="1740" w:type="dxa"/>
            <w:vAlign w:val="bottom"/>
            <w:gridSpan w:val="2"/>
          </w:tcPr>
          <w:p>
            <w:pPr>
              <w:jc w:val="center"/>
              <w:ind w:right="80"/>
              <w:spacing w:after="0"/>
              <w:rPr>
                <w:sz w:val="20"/>
                <w:szCs w:val="20"/>
                <w:color w:val="auto"/>
              </w:rPr>
            </w:pPr>
            <w:r>
              <w:rPr>
                <w:rFonts w:ascii="Verdana" w:cs="Verdana" w:eastAsia="Verdana" w:hAnsi="Verdana"/>
                <w:sz w:val="13"/>
                <w:szCs w:val="13"/>
                <w:b w:val="1"/>
                <w:bCs w:val="1"/>
                <w:color w:val="auto"/>
                <w:w w:val="97"/>
              </w:rPr>
              <w:t>Capital Buffer</w:t>
            </w:r>
          </w:p>
        </w:tc>
        <w:tc>
          <w:tcPr>
            <w:tcW w:w="1720" w:type="dxa"/>
            <w:vAlign w:val="bottom"/>
            <w:gridSpan w:val="2"/>
          </w:tcPr>
          <w:p>
            <w:pPr>
              <w:jc w:val="center"/>
              <w:ind w:right="100"/>
              <w:spacing w:after="0"/>
              <w:rPr>
                <w:sz w:val="20"/>
                <w:szCs w:val="20"/>
                <w:color w:val="auto"/>
              </w:rPr>
            </w:pPr>
            <w:r>
              <w:rPr>
                <w:rFonts w:ascii="Verdana" w:cs="Verdana" w:eastAsia="Verdana" w:hAnsi="Verdana"/>
                <w:sz w:val="13"/>
                <w:szCs w:val="13"/>
                <w:b w:val="1"/>
                <w:bCs w:val="1"/>
                <w:color w:val="auto"/>
                <w:w w:val="95"/>
              </w:rPr>
              <w:t>Busey</w:t>
            </w:r>
          </w:p>
        </w:tc>
        <w:tc>
          <w:tcPr>
            <w:tcW w:w="1620" w:type="dxa"/>
            <w:vAlign w:val="bottom"/>
          </w:tcPr>
          <w:p>
            <w:pPr>
              <w:jc w:val="right"/>
              <w:ind w:right="559"/>
              <w:spacing w:after="0"/>
              <w:rPr>
                <w:sz w:val="20"/>
                <w:szCs w:val="20"/>
                <w:color w:val="auto"/>
              </w:rPr>
            </w:pPr>
            <w:r>
              <w:rPr>
                <w:rFonts w:ascii="Verdana" w:cs="Verdana" w:eastAsia="Verdana" w:hAnsi="Verdana"/>
                <w:sz w:val="13"/>
                <w:szCs w:val="13"/>
                <w:b w:val="1"/>
                <w:bCs w:val="1"/>
                <w:color w:val="auto"/>
              </w:rPr>
              <w:t>Bank</w:t>
            </w:r>
          </w:p>
        </w:tc>
      </w:tr>
      <w:tr>
        <w:trPr>
          <w:trHeight w:val="269"/>
        </w:trPr>
        <w:tc>
          <w:tcPr>
            <w:tcW w:w="61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Common Equity Tier 1 Capital to Risk Weighted Assets</w:t>
            </w:r>
          </w:p>
        </w:tc>
        <w:tc>
          <w:tcPr>
            <w:tcW w:w="16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7.00 %</w:t>
            </w:r>
          </w:p>
        </w:tc>
        <w:tc>
          <w:tcPr>
            <w:tcW w:w="80" w:type="dxa"/>
            <w:vAlign w:val="bottom"/>
            <w:tcBorders>
              <w:top w:val="single" w:sz="8" w:color="E0E7ED"/>
            </w:tcBorders>
            <w:shd w:val="clear" w:color="auto" w:fill="E0E7ED"/>
          </w:tcPr>
          <w:p>
            <w:pPr>
              <w:spacing w:after="0"/>
              <w:rPr>
                <w:sz w:val="23"/>
                <w:szCs w:val="23"/>
                <w:color w:val="auto"/>
              </w:rPr>
            </w:pPr>
          </w:p>
        </w:tc>
        <w:tc>
          <w:tcPr>
            <w:tcW w:w="16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13.45 %</w:t>
            </w:r>
          </w:p>
        </w:tc>
        <w:tc>
          <w:tcPr>
            <w:tcW w:w="100" w:type="dxa"/>
            <w:vAlign w:val="bottom"/>
            <w:tcBorders>
              <w:top w:val="single" w:sz="8" w:color="E0E7ED"/>
            </w:tcBorders>
            <w:shd w:val="clear" w:color="auto" w:fill="E0E7ED"/>
          </w:tcPr>
          <w:p>
            <w:pPr>
              <w:spacing w:after="0"/>
              <w:rPr>
                <w:sz w:val="23"/>
                <w:szCs w:val="23"/>
                <w:color w:val="auto"/>
              </w:rPr>
            </w:pPr>
          </w:p>
        </w:tc>
        <w:tc>
          <w:tcPr>
            <w:tcW w:w="16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15.79 %</w:t>
            </w:r>
          </w:p>
        </w:tc>
      </w:tr>
      <w:tr>
        <w:trPr>
          <w:trHeight w:val="263"/>
        </w:trPr>
        <w:tc>
          <w:tcPr>
            <w:tcW w:w="6160" w:type="dxa"/>
            <w:vAlign w:val="bottom"/>
          </w:tcPr>
          <w:p>
            <w:pPr>
              <w:ind w:left="20"/>
              <w:spacing w:after="0"/>
              <w:rPr>
                <w:sz w:val="20"/>
                <w:szCs w:val="20"/>
                <w:color w:val="auto"/>
              </w:rPr>
            </w:pPr>
            <w:r>
              <w:rPr>
                <w:rFonts w:ascii="Verdana" w:cs="Verdana" w:eastAsia="Verdana" w:hAnsi="Verdana"/>
                <w:sz w:val="18"/>
                <w:szCs w:val="18"/>
                <w:color w:val="auto"/>
              </w:rPr>
              <w:t>Tier 1 Capital to Risk Weighted Assets</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8.50 %</w:t>
            </w:r>
          </w:p>
        </w:tc>
        <w:tc>
          <w:tcPr>
            <w:tcW w:w="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Verdana" w:cs="Verdana" w:eastAsia="Verdana" w:hAnsi="Verdana"/>
                <w:sz w:val="18"/>
                <w:szCs w:val="18"/>
                <w:color w:val="auto"/>
              </w:rPr>
              <w:t>14.30 %</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Verdana" w:cs="Verdana" w:eastAsia="Verdana" w:hAnsi="Verdana"/>
                <w:sz w:val="18"/>
                <w:szCs w:val="18"/>
                <w:color w:val="auto"/>
              </w:rPr>
              <w:t>15.79 %</w:t>
            </w:r>
          </w:p>
        </w:tc>
      </w:tr>
      <w:tr>
        <w:trPr>
          <w:trHeight w:val="277"/>
        </w:trPr>
        <w:tc>
          <w:tcPr>
            <w:tcW w:w="61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Capital to Risk Weighted Assets</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10.50 %</w:t>
            </w:r>
          </w:p>
        </w:tc>
        <w:tc>
          <w:tcPr>
            <w:tcW w:w="80" w:type="dxa"/>
            <w:vAlign w:val="bottom"/>
            <w:shd w:val="clear" w:color="auto" w:fill="E0E7ED"/>
          </w:tcPr>
          <w:p>
            <w:pPr>
              <w:spacing w:after="0"/>
              <w:rPr>
                <w:sz w:val="24"/>
                <w:szCs w:val="24"/>
                <w:color w:val="auto"/>
              </w:rPr>
            </w:pPr>
          </w:p>
        </w:tc>
        <w:tc>
          <w:tcPr>
            <w:tcW w:w="16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17.95 %</w:t>
            </w:r>
          </w:p>
        </w:tc>
        <w:tc>
          <w:tcPr>
            <w:tcW w:w="100" w:type="dxa"/>
            <w:vAlign w:val="bottom"/>
            <w:shd w:val="clear" w:color="auto" w:fill="E0E7ED"/>
          </w:tcPr>
          <w:p>
            <w:pPr>
              <w:spacing w:after="0"/>
              <w:rPr>
                <w:sz w:val="24"/>
                <w:szCs w:val="24"/>
                <w:color w:val="auto"/>
              </w:rPr>
            </w:pPr>
          </w:p>
        </w:tc>
        <w:tc>
          <w:tcPr>
            <w:tcW w:w="16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16.84 %</w:t>
            </w:r>
          </w:p>
        </w:tc>
      </w:tr>
      <w:tr>
        <w:trPr>
          <w:trHeight w:val="256"/>
        </w:trPr>
        <w:tc>
          <w:tcPr>
            <w:tcW w:w="6160" w:type="dxa"/>
            <w:vAlign w:val="bottom"/>
          </w:tcPr>
          <w:p>
            <w:pPr>
              <w:ind w:left="20"/>
              <w:spacing w:after="0"/>
              <w:rPr>
                <w:sz w:val="20"/>
                <w:szCs w:val="20"/>
                <w:color w:val="auto"/>
              </w:rPr>
            </w:pPr>
            <w:r>
              <w:rPr>
                <w:rFonts w:ascii="Verdana" w:cs="Verdana" w:eastAsia="Verdana" w:hAnsi="Verdana"/>
                <w:sz w:val="18"/>
                <w:szCs w:val="18"/>
                <w:color w:val="auto"/>
              </w:rPr>
              <w:t>Leverage Ratio of Tier 1 Capital to Average Assets</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6.50 %</w:t>
            </w:r>
          </w:p>
        </w:tc>
        <w:tc>
          <w:tcPr>
            <w:tcW w:w="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Verdana" w:cs="Verdana" w:eastAsia="Verdana" w:hAnsi="Verdana"/>
                <w:sz w:val="18"/>
                <w:szCs w:val="18"/>
                <w:color w:val="auto"/>
              </w:rPr>
              <w:t>10.46 %</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Verdana" w:cs="Verdana" w:eastAsia="Verdana" w:hAnsi="Verdana"/>
                <w:sz w:val="18"/>
                <w:szCs w:val="18"/>
                <w:color w:val="auto"/>
              </w:rPr>
              <w:t>11.53 %</w:t>
            </w:r>
          </w:p>
        </w:tc>
      </w:tr>
    </w:tbl>
    <w:p>
      <w:pPr>
        <w:spacing w:after="0" w:line="278"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For further discussion of capital resources and requirements, see </w:t>
      </w:r>
      <w:r>
        <w:rPr>
          <w:rFonts w:ascii="Verdana" w:cs="Verdana" w:eastAsia="Verdana" w:hAnsi="Verdana"/>
          <w:sz w:val="18"/>
          <w:szCs w:val="18"/>
          <w:i w:val="1"/>
          <w:iCs w:val="1"/>
          <w:color w:val="0000FF"/>
        </w:rPr>
        <w:t>“Note 7: Regulatory Capital.”</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3" w:name="page84"/>
    <w:bookmarkEnd w:id="8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NON-GAAP FINANCIAL INFORMATION</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This Quarterly Report contains certain financial information determined by methods other than in accordance with GAAP. Management uses these non-GAAP financial measures and non-GAAP ratios, together with the related GAAP financial measures, in analysis of Busey’s performance and in making business decisions, as well as for comparison to Busey’s peers. We believe the adjusted measures are useful for investors and management to understand the effects of certain non-core and non-recurring noninterest items and provide additional perspective on our performance over time.</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spacing w:after="0" w:line="17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 listing of Busey's non-GAAP financial measures and ratios are shown in the table below, together with the related GAAP financial measures.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4" w:name="page85"/>
    <w:bookmarkEnd w:id="8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tcPr>
          <w:p>
            <w:pPr>
              <w:ind w:left="20"/>
              <w:spacing w:after="0"/>
              <w:rPr>
                <w:sz w:val="20"/>
                <w:szCs w:val="20"/>
                <w:color w:val="auto"/>
              </w:rPr>
            </w:pPr>
            <w:r>
              <w:rPr>
                <w:rFonts w:ascii="Arial" w:cs="Arial" w:eastAsia="Arial" w:hAnsi="Arial"/>
                <w:sz w:val="18"/>
                <w:szCs w:val="18"/>
                <w:color w:val="auto"/>
              </w:rPr>
              <w:t>GAAP Financial Measures</w:t>
            </w:r>
          </w:p>
        </w:tc>
        <w:tc>
          <w:tcPr>
            <w:tcW w:w="10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Related Non-GAAP Financial Measures</w:t>
            </w:r>
          </w:p>
        </w:tc>
        <w:tc>
          <w:tcPr>
            <w:tcW w:w="3680" w:type="dxa"/>
            <w:vAlign w:val="bottom"/>
          </w:tcPr>
          <w:p>
            <w:pPr>
              <w:ind w:left="20"/>
              <w:spacing w:after="0"/>
              <w:rPr>
                <w:sz w:val="20"/>
                <w:szCs w:val="20"/>
                <w:color w:val="auto"/>
              </w:rPr>
            </w:pPr>
            <w:r>
              <w:rPr>
                <w:rFonts w:ascii="Arial" w:cs="Arial" w:eastAsia="Arial" w:hAnsi="Arial"/>
                <w:sz w:val="18"/>
                <w:szCs w:val="18"/>
                <w:color w:val="auto"/>
              </w:rPr>
              <w:t>Related Non-GAAP Ratios</w:t>
            </w:r>
          </w:p>
        </w:tc>
        <w:tc>
          <w:tcPr>
            <w:tcW w:w="0" w:type="dxa"/>
            <w:vAlign w:val="bottom"/>
          </w:tcPr>
          <w:p>
            <w:pPr>
              <w:spacing w:after="0"/>
              <w:rPr>
                <w:sz w:val="1"/>
                <w:szCs w:val="1"/>
                <w:color w:val="auto"/>
              </w:rPr>
            </w:pP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Net interest income</w:t>
            </w:r>
          </w:p>
        </w:tc>
        <w:tc>
          <w:tcPr>
            <w:tcW w:w="100" w:type="dxa"/>
            <w:vAlign w:val="bottom"/>
            <w:shd w:val="clear" w:color="auto" w:fill="E0E7ED"/>
          </w:tcPr>
          <w:p>
            <w:pPr>
              <w:spacing w:after="0"/>
              <w:rPr>
                <w:sz w:val="20"/>
                <w:szCs w:val="20"/>
                <w:color w:val="auto"/>
              </w:rPr>
            </w:pPr>
          </w:p>
        </w:tc>
        <w:tc>
          <w:tcPr>
            <w:tcW w:w="3780" w:type="dxa"/>
            <w:vAlign w:val="bottom"/>
            <w:gridSpan w:val="2"/>
            <w:vMerge w:val="restart"/>
            <w:shd w:val="clear" w:color="auto" w:fill="E0E7ED"/>
          </w:tcPr>
          <w:p>
            <w:pPr>
              <w:ind w:left="20"/>
              <w:spacing w:after="0"/>
              <w:rPr>
                <w:sz w:val="20"/>
                <w:szCs w:val="20"/>
                <w:color w:val="auto"/>
              </w:rPr>
            </w:pPr>
            <w:r>
              <w:rPr>
                <w:rFonts w:ascii="Verdana" w:cs="Verdana" w:eastAsia="Verdana" w:hAnsi="Verdana"/>
                <w:sz w:val="18"/>
                <w:szCs w:val="18"/>
                <w:color w:val="auto"/>
              </w:rPr>
              <w:t>Pre-provision net revenue</w:t>
            </w: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Pre-provision net revenue to average</w:t>
            </w:r>
          </w:p>
        </w:tc>
        <w:tc>
          <w:tcPr>
            <w:tcW w:w="0" w:type="dxa"/>
            <w:vAlign w:val="bottom"/>
          </w:tcPr>
          <w:p>
            <w:pPr>
              <w:spacing w:after="0"/>
              <w:rPr>
                <w:sz w:val="1"/>
                <w:szCs w:val="1"/>
                <w:color w:val="auto"/>
              </w:rPr>
            </w:pPr>
          </w:p>
        </w:tc>
      </w:tr>
      <w:tr>
        <w:trPr>
          <w:trHeight w:val="127"/>
        </w:trPr>
        <w:tc>
          <w:tcPr>
            <w:tcW w:w="36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Total noninterest income</w:t>
            </w:r>
          </w:p>
        </w:tc>
        <w:tc>
          <w:tcPr>
            <w:tcW w:w="100" w:type="dxa"/>
            <w:vAlign w:val="bottom"/>
            <w:shd w:val="clear" w:color="auto" w:fill="E0E7ED"/>
          </w:tcPr>
          <w:p>
            <w:pPr>
              <w:spacing w:after="0"/>
              <w:rPr>
                <w:sz w:val="11"/>
                <w:szCs w:val="11"/>
                <w:color w:val="auto"/>
              </w:rPr>
            </w:pPr>
          </w:p>
        </w:tc>
        <w:tc>
          <w:tcPr>
            <w:tcW w:w="3780" w:type="dxa"/>
            <w:vAlign w:val="bottom"/>
            <w:gridSpan w:val="2"/>
            <w:vMerge w:val="continue"/>
            <w:shd w:val="clear" w:color="auto" w:fill="E0E7ED"/>
          </w:tcPr>
          <w:p>
            <w:pPr>
              <w:spacing w:after="0"/>
              <w:rPr>
                <w:sz w:val="11"/>
                <w:szCs w:val="11"/>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assets</w:t>
            </w:r>
          </w:p>
        </w:tc>
        <w:tc>
          <w:tcPr>
            <w:tcW w:w="0" w:type="dxa"/>
            <w:vAlign w:val="bottom"/>
          </w:tcPr>
          <w:p>
            <w:pPr>
              <w:spacing w:after="0"/>
              <w:rPr>
                <w:sz w:val="1"/>
                <w:szCs w:val="1"/>
                <w:color w:val="auto"/>
              </w:rPr>
            </w:pPr>
          </w:p>
        </w:tc>
      </w:tr>
      <w:tr>
        <w:trPr>
          <w:trHeight w:val="116"/>
        </w:trPr>
        <w:tc>
          <w:tcPr>
            <w:tcW w:w="3660" w:type="dxa"/>
            <w:vAlign w:val="bottom"/>
            <w:tcBorders>
              <w:bottom w:val="single" w:sz="8" w:color="E0E7ED"/>
            </w:tcBorders>
            <w:vMerge w:val="continue"/>
            <w:shd w:val="clear" w:color="auto" w:fill="E0E7ED"/>
          </w:tcPr>
          <w:p>
            <w:pPr>
              <w:spacing w:after="0"/>
              <w:rPr>
                <w:sz w:val="10"/>
                <w:szCs w:val="10"/>
                <w:color w:val="auto"/>
              </w:rPr>
            </w:pPr>
          </w:p>
        </w:tc>
        <w:tc>
          <w:tcPr>
            <w:tcW w:w="100" w:type="dxa"/>
            <w:vAlign w:val="bottom"/>
            <w:tcBorders>
              <w:bottom w:val="single" w:sz="8" w:color="E0E7ED"/>
            </w:tcBorders>
            <w:shd w:val="clear" w:color="auto" w:fill="E0E7ED"/>
          </w:tcPr>
          <w:p>
            <w:pPr>
              <w:spacing w:after="0"/>
              <w:rPr>
                <w:sz w:val="10"/>
                <w:szCs w:val="10"/>
                <w:color w:val="auto"/>
              </w:rPr>
            </w:pPr>
          </w:p>
        </w:tc>
        <w:tc>
          <w:tcPr>
            <w:tcW w:w="3680" w:type="dxa"/>
            <w:vAlign w:val="bottom"/>
            <w:tcBorders>
              <w:bottom w:val="single" w:sz="8" w:color="6D6D6D"/>
            </w:tcBorders>
            <w:shd w:val="clear" w:color="auto" w:fill="E0E7ED"/>
          </w:tcPr>
          <w:p>
            <w:pPr>
              <w:spacing w:after="0"/>
              <w:rPr>
                <w:sz w:val="10"/>
                <w:szCs w:val="10"/>
                <w:color w:val="auto"/>
              </w:rPr>
            </w:pPr>
          </w:p>
        </w:tc>
        <w:tc>
          <w:tcPr>
            <w:tcW w:w="100" w:type="dxa"/>
            <w:vAlign w:val="bottom"/>
            <w:tcBorders>
              <w:bottom w:val="single" w:sz="8" w:color="E0E7ED"/>
            </w:tcBorders>
            <w:shd w:val="clear" w:color="auto" w:fill="E0E7ED"/>
          </w:tcPr>
          <w:p>
            <w:pPr>
              <w:spacing w:after="0"/>
              <w:rPr>
                <w:sz w:val="10"/>
                <w:szCs w:val="10"/>
                <w:color w:val="auto"/>
              </w:rPr>
            </w:pPr>
          </w:p>
        </w:tc>
        <w:tc>
          <w:tcPr>
            <w:tcW w:w="3680" w:type="dxa"/>
            <w:vAlign w:val="bottom"/>
            <w:tcBorders>
              <w:bottom w:val="single" w:sz="8" w:color="6D6D6D"/>
            </w:tcBorders>
            <w:vMerge w:val="continue"/>
            <w:shd w:val="clear" w:color="auto" w:fill="E0E7ED"/>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3660" w:type="dxa"/>
            <w:vAlign w:val="bottom"/>
            <w:shd w:val="clear" w:color="auto" w:fill="E0E7ED"/>
          </w:tcPr>
          <w:p>
            <w:pPr>
              <w:ind w:left="20"/>
              <w:spacing w:after="0" w:line="201" w:lineRule="exact"/>
              <w:rPr>
                <w:sz w:val="20"/>
                <w:szCs w:val="20"/>
                <w:color w:val="auto"/>
              </w:rPr>
            </w:pPr>
            <w:r>
              <w:rPr>
                <w:rFonts w:ascii="Verdana" w:cs="Verdana" w:eastAsia="Verdana" w:hAnsi="Verdana"/>
                <w:sz w:val="18"/>
                <w:szCs w:val="18"/>
                <w:color w:val="auto"/>
              </w:rPr>
              <w:t>Net security gains and losses</w:t>
            </w:r>
          </w:p>
        </w:tc>
        <w:tc>
          <w:tcPr>
            <w:tcW w:w="100" w:type="dxa"/>
            <w:vAlign w:val="bottom"/>
            <w:shd w:val="clear" w:color="auto" w:fill="E0E7ED"/>
          </w:tcPr>
          <w:p>
            <w:pPr>
              <w:spacing w:after="0"/>
              <w:rPr>
                <w:sz w:val="17"/>
                <w:szCs w:val="17"/>
                <w:color w:val="auto"/>
              </w:rPr>
            </w:pPr>
          </w:p>
        </w:tc>
        <w:tc>
          <w:tcPr>
            <w:tcW w:w="3780" w:type="dxa"/>
            <w:vAlign w:val="bottom"/>
            <w:gridSpan w:val="2"/>
            <w:vMerge w:val="restart"/>
            <w:shd w:val="clear" w:color="auto" w:fill="E0E7ED"/>
          </w:tcPr>
          <w:p>
            <w:pPr>
              <w:ind w:left="20"/>
              <w:spacing w:after="0"/>
              <w:rPr>
                <w:sz w:val="20"/>
                <w:szCs w:val="20"/>
                <w:color w:val="auto"/>
              </w:rPr>
            </w:pPr>
            <w:r>
              <w:rPr>
                <w:rFonts w:ascii="Verdana" w:cs="Verdana" w:eastAsia="Verdana" w:hAnsi="Verdana"/>
                <w:sz w:val="18"/>
                <w:szCs w:val="18"/>
                <w:color w:val="auto"/>
              </w:rPr>
              <w:t>Adjusted pre-provision net revenue</w:t>
            </w:r>
          </w:p>
        </w:tc>
        <w:tc>
          <w:tcPr>
            <w:tcW w:w="3680" w:type="dxa"/>
            <w:vAlign w:val="bottom"/>
            <w:shd w:val="clear" w:color="auto" w:fill="E0E7ED"/>
          </w:tcPr>
          <w:p>
            <w:pPr>
              <w:ind w:left="20"/>
              <w:spacing w:after="0" w:line="201" w:lineRule="exact"/>
              <w:rPr>
                <w:sz w:val="20"/>
                <w:szCs w:val="20"/>
                <w:color w:val="auto"/>
              </w:rPr>
            </w:pPr>
            <w:r>
              <w:rPr>
                <w:rFonts w:ascii="Verdana" w:cs="Verdana" w:eastAsia="Verdana" w:hAnsi="Verdana"/>
                <w:sz w:val="18"/>
                <w:szCs w:val="18"/>
                <w:color w:val="auto"/>
              </w:rPr>
              <w:t>Adjusted pre-provision net revenue to</w:t>
            </w:r>
          </w:p>
        </w:tc>
        <w:tc>
          <w:tcPr>
            <w:tcW w:w="0" w:type="dxa"/>
            <w:vAlign w:val="bottom"/>
          </w:tcPr>
          <w:p>
            <w:pPr>
              <w:spacing w:after="0"/>
              <w:rPr>
                <w:sz w:val="1"/>
                <w:szCs w:val="1"/>
                <w:color w:val="auto"/>
              </w:rPr>
            </w:pPr>
          </w:p>
        </w:tc>
      </w:tr>
      <w:tr>
        <w:trPr>
          <w:trHeight w:val="162"/>
        </w:trPr>
        <w:tc>
          <w:tcPr>
            <w:tcW w:w="36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Total noninterest expense</w:t>
            </w:r>
          </w:p>
        </w:tc>
        <w:tc>
          <w:tcPr>
            <w:tcW w:w="100" w:type="dxa"/>
            <w:vAlign w:val="bottom"/>
            <w:shd w:val="clear" w:color="auto" w:fill="E0E7ED"/>
          </w:tcPr>
          <w:p>
            <w:pPr>
              <w:spacing w:after="0"/>
              <w:rPr>
                <w:sz w:val="14"/>
                <w:szCs w:val="14"/>
                <w:color w:val="auto"/>
              </w:rPr>
            </w:pPr>
          </w:p>
        </w:tc>
        <w:tc>
          <w:tcPr>
            <w:tcW w:w="3780" w:type="dxa"/>
            <w:vAlign w:val="bottom"/>
            <w:gridSpan w:val="2"/>
            <w:vMerge w:val="continue"/>
            <w:shd w:val="clear" w:color="auto" w:fill="E0E7ED"/>
          </w:tcPr>
          <w:p>
            <w:pPr>
              <w:spacing w:after="0"/>
              <w:rPr>
                <w:sz w:val="14"/>
                <w:szCs w:val="14"/>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average assets</w:t>
            </w:r>
          </w:p>
        </w:tc>
        <w:tc>
          <w:tcPr>
            <w:tcW w:w="0" w:type="dxa"/>
            <w:vAlign w:val="bottom"/>
          </w:tcPr>
          <w:p>
            <w:pPr>
              <w:spacing w:after="0"/>
              <w:rPr>
                <w:sz w:val="1"/>
                <w:szCs w:val="1"/>
                <w:color w:val="auto"/>
              </w:rPr>
            </w:pPr>
          </w:p>
        </w:tc>
      </w:tr>
      <w:tr>
        <w:trPr>
          <w:trHeight w:val="122"/>
        </w:trPr>
        <w:tc>
          <w:tcPr>
            <w:tcW w:w="3660" w:type="dxa"/>
            <w:vAlign w:val="bottom"/>
            <w:vMerge w:val="continue"/>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vMerge w:val="continue"/>
            <w:shd w:val="clear" w:color="auto" w:fill="E0E7ED"/>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9347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15175" cy="934720"/>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3760" w:val="left"/>
        </w:tabs>
        <w:rPr>
          <w:sz w:val="20"/>
          <w:szCs w:val="20"/>
          <w:color w:val="auto"/>
        </w:rPr>
      </w:pPr>
      <w:r>
        <w:rPr>
          <w:rFonts w:ascii="Verdana" w:cs="Verdana" w:eastAsia="Verdana" w:hAnsi="Verdana"/>
          <w:sz w:val="18"/>
          <w:szCs w:val="18"/>
          <w:color w:val="auto"/>
        </w:rPr>
        <w:t>Net income</w:t>
      </w:r>
      <w:r>
        <w:rPr>
          <w:sz w:val="20"/>
          <w:szCs w:val="20"/>
          <w:color w:val="auto"/>
        </w:rPr>
        <w:tab/>
      </w:r>
      <w:r>
        <w:rPr>
          <w:rFonts w:ascii="Verdana" w:cs="Verdana" w:eastAsia="Verdana" w:hAnsi="Verdana"/>
          <w:sz w:val="17"/>
          <w:szCs w:val="17"/>
          <w:color w:val="auto"/>
        </w:rPr>
        <w:t>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7115175" cy="6261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1517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3760" w:val="left"/>
        </w:tabs>
        <w:rPr>
          <w:sz w:val="20"/>
          <w:szCs w:val="20"/>
          <w:color w:val="auto"/>
        </w:rPr>
      </w:pPr>
      <w:r>
        <w:rPr>
          <w:rFonts w:ascii="Verdana" w:cs="Verdana" w:eastAsia="Verdana" w:hAnsi="Verdana"/>
          <w:sz w:val="18"/>
          <w:szCs w:val="18"/>
          <w:color w:val="auto"/>
        </w:rPr>
        <w:t>Average common equity</w:t>
      </w:r>
      <w:r>
        <w:rPr>
          <w:sz w:val="20"/>
          <w:szCs w:val="20"/>
          <w:color w:val="auto"/>
        </w:rPr>
        <w:tab/>
      </w:r>
      <w:r>
        <w:rPr>
          <w:rFonts w:ascii="Verdana" w:cs="Verdana" w:eastAsia="Verdana" w:hAnsi="Verdana"/>
          <w:sz w:val="17"/>
          <w:szCs w:val="17"/>
          <w:color w:val="auto"/>
        </w:rPr>
        <w:t>Average tangible common equity</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Verdana" w:cs="Verdana" w:eastAsia="Verdana" w:hAnsi="Verdana"/>
          <w:sz w:val="18"/>
          <w:szCs w:val="18"/>
          <w:color w:val="auto"/>
        </w:rPr>
        <w:t>Adjusted diluted earnings per share</w:t>
      </w:r>
    </w:p>
    <w:p>
      <w:pPr>
        <w:spacing w:after="0" w:line="267" w:lineRule="exact"/>
        <w:rPr>
          <w:sz w:val="20"/>
          <w:szCs w:val="20"/>
          <w:color w:val="auto"/>
        </w:rPr>
      </w:pPr>
    </w:p>
    <w:p>
      <w:pPr>
        <w:spacing w:after="0"/>
        <w:rPr>
          <w:sz w:val="20"/>
          <w:szCs w:val="20"/>
          <w:color w:val="auto"/>
        </w:rPr>
      </w:pPr>
      <w:r>
        <w:rPr>
          <w:rFonts w:ascii="Verdana" w:cs="Verdana" w:eastAsia="Verdana" w:hAnsi="Verdana"/>
          <w:sz w:val="18"/>
          <w:szCs w:val="18"/>
          <w:color w:val="auto"/>
        </w:rPr>
        <w:t>Adjusted return on average assets</w:t>
      </w:r>
    </w:p>
    <w:p>
      <w:pPr>
        <w:spacing w:after="0" w:line="173" w:lineRule="exact"/>
        <w:rPr>
          <w:sz w:val="20"/>
          <w:szCs w:val="20"/>
          <w:color w:val="auto"/>
        </w:rPr>
      </w:pPr>
    </w:p>
    <w:p>
      <w:pPr>
        <w:ind w:right="400"/>
        <w:spacing w:after="0" w:line="254" w:lineRule="auto"/>
        <w:rPr>
          <w:sz w:val="20"/>
          <w:szCs w:val="20"/>
          <w:color w:val="auto"/>
        </w:rPr>
      </w:pPr>
      <w:r>
        <w:rPr>
          <w:rFonts w:ascii="Verdana" w:cs="Verdana" w:eastAsia="Verdana" w:hAnsi="Verdana"/>
          <w:sz w:val="18"/>
          <w:szCs w:val="18"/>
          <w:color w:val="auto"/>
        </w:rPr>
        <w:t>Adjusted return on average tangible common equity</w:t>
      </w:r>
    </w:p>
    <w:p>
      <w:pPr>
        <w:spacing w:after="0" w:line="171" w:lineRule="exact"/>
        <w:rPr>
          <w:sz w:val="20"/>
          <w:szCs w:val="20"/>
          <w:color w:val="auto"/>
        </w:rPr>
      </w:pPr>
    </w:p>
    <w:p>
      <w:pPr>
        <w:ind w:right="380"/>
        <w:spacing w:after="0" w:line="254" w:lineRule="auto"/>
        <w:rPr>
          <w:sz w:val="20"/>
          <w:szCs w:val="20"/>
          <w:color w:val="auto"/>
        </w:rPr>
      </w:pPr>
      <w:r>
        <w:rPr>
          <w:rFonts w:ascii="Verdana" w:cs="Verdana" w:eastAsia="Verdana" w:hAnsi="Verdana"/>
          <w:sz w:val="18"/>
          <w:szCs w:val="18"/>
          <w:color w:val="auto"/>
        </w:rPr>
        <w:t>Return on average tangible common equity</w:t>
      </w:r>
    </w:p>
    <w:p>
      <w:pPr>
        <w:spacing w:after="0" w:line="36" w:lineRule="exact"/>
        <w:rPr>
          <w:sz w:val="20"/>
          <w:szCs w:val="20"/>
          <w:color w:val="auto"/>
        </w:rPr>
      </w:pPr>
    </w:p>
    <w:p>
      <w:pPr>
        <w:ind w:right="400"/>
        <w:spacing w:after="0" w:line="254" w:lineRule="auto"/>
        <w:rPr>
          <w:sz w:val="20"/>
          <w:szCs w:val="20"/>
          <w:color w:val="auto"/>
        </w:rPr>
      </w:pPr>
      <w:r>
        <w:rPr>
          <w:rFonts w:ascii="Verdana" w:cs="Verdana" w:eastAsia="Verdana" w:hAnsi="Verdana"/>
          <w:sz w:val="18"/>
          <w:szCs w:val="18"/>
          <w:color w:val="auto"/>
        </w:rPr>
        <w:t>Adjusted return on average tangible common equity</w:t>
      </w:r>
    </w:p>
    <w:p>
      <w:pPr>
        <w:spacing w:after="0" w:line="150" w:lineRule="exact"/>
        <w:rPr>
          <w:sz w:val="20"/>
          <w:szCs w:val="20"/>
          <w:color w:val="auto"/>
        </w:rPr>
      </w:pPr>
    </w:p>
    <w:p>
      <w:pPr>
        <w:sectPr>
          <w:pgSz w:w="11900" w:h="16838" w:orient="portrait"/>
          <w:cols w:equalWidth="0" w:num="2">
            <w:col w:w="6840" w:space="720"/>
            <w:col w:w="3680"/>
          </w:cols>
          <w:pgMar w:left="320" w:top="310" w:right="339" w:bottom="1440" w:gutter="0" w:footer="0" w:header="0"/>
          <w:type w:val="continuous"/>
        </w:sectPr>
      </w:pPr>
    </w:p>
    <w:tbl>
      <w:tblPr>
        <w:tblLayout w:type="fixed"/>
        <w:tblInd w:w="0" w:type="dxa"/>
        <w:tblCellMar>
          <w:top w:w="0" w:type="dxa"/>
          <w:left w:w="0" w:type="dxa"/>
          <w:bottom w:w="0" w:type="dxa"/>
          <w:right w:w="0" w:type="dxa"/>
        </w:tblCellMar>
      </w:tblPr>
      <w:tr>
        <w:trPr>
          <w:trHeight w:val="364"/>
        </w:trPr>
        <w:tc>
          <w:tcPr>
            <w:tcW w:w="36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Net interest income</w:t>
            </w:r>
          </w:p>
        </w:tc>
        <w:tc>
          <w:tcPr>
            <w:tcW w:w="100" w:type="dxa"/>
            <w:vAlign w:val="bottom"/>
            <w:shd w:val="clear" w:color="auto" w:fill="E0E7ED"/>
          </w:tcPr>
          <w:p>
            <w:pPr>
              <w:spacing w:after="0"/>
              <w:rPr>
                <w:sz w:val="24"/>
                <w:szCs w:val="24"/>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Tax-equivalent net interest income</w:t>
            </w:r>
          </w:p>
        </w:tc>
        <w:tc>
          <w:tcPr>
            <w:tcW w:w="100" w:type="dxa"/>
            <w:vAlign w:val="bottom"/>
            <w:shd w:val="clear" w:color="auto" w:fill="E0E7ED"/>
          </w:tcPr>
          <w:p>
            <w:pPr>
              <w:spacing w:after="0"/>
              <w:rPr>
                <w:sz w:val="24"/>
                <w:szCs w:val="24"/>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Net interest margin</w:t>
            </w:r>
          </w:p>
        </w:tc>
        <w:tc>
          <w:tcPr>
            <w:tcW w:w="0" w:type="dxa"/>
            <w:vAlign w:val="bottom"/>
          </w:tcPr>
          <w:p>
            <w:pPr>
              <w:spacing w:after="0"/>
              <w:rPr>
                <w:sz w:val="1"/>
                <w:szCs w:val="1"/>
                <w:color w:val="auto"/>
              </w:rPr>
            </w:pPr>
          </w:p>
        </w:tc>
      </w:tr>
      <w:tr>
        <w:trPr>
          <w:trHeight w:val="122"/>
        </w:trPr>
        <w:tc>
          <w:tcPr>
            <w:tcW w:w="3660" w:type="dxa"/>
            <w:vAlign w:val="bottom"/>
            <w:tcBorders>
              <w:bottom w:val="single" w:sz="8" w:color="E0E7ED"/>
            </w:tcBorders>
            <w:vMerge w:val="continue"/>
            <w:shd w:val="clear" w:color="auto" w:fill="E0E7ED"/>
          </w:tcPr>
          <w:p>
            <w:pPr>
              <w:spacing w:after="0"/>
              <w:rPr>
                <w:sz w:val="10"/>
                <w:szCs w:val="10"/>
                <w:color w:val="auto"/>
              </w:rPr>
            </w:pPr>
          </w:p>
        </w:tc>
        <w:tc>
          <w:tcPr>
            <w:tcW w:w="100" w:type="dxa"/>
            <w:vAlign w:val="bottom"/>
            <w:tcBorders>
              <w:bottom w:val="single" w:sz="8" w:color="E0E7ED"/>
            </w:tcBorders>
            <w:shd w:val="clear" w:color="auto" w:fill="E0E7ED"/>
          </w:tcPr>
          <w:p>
            <w:pPr>
              <w:spacing w:after="0"/>
              <w:rPr>
                <w:sz w:val="10"/>
                <w:szCs w:val="10"/>
                <w:color w:val="auto"/>
              </w:rPr>
            </w:pPr>
          </w:p>
        </w:tc>
        <w:tc>
          <w:tcPr>
            <w:tcW w:w="3680" w:type="dxa"/>
            <w:vAlign w:val="bottom"/>
            <w:tcBorders>
              <w:bottom w:val="single" w:sz="8" w:color="6D6D6D"/>
            </w:tcBorders>
            <w:shd w:val="clear" w:color="auto" w:fill="E0E7ED"/>
          </w:tcPr>
          <w:p>
            <w:pPr>
              <w:spacing w:after="0"/>
              <w:rPr>
                <w:sz w:val="10"/>
                <w:szCs w:val="10"/>
                <w:color w:val="auto"/>
              </w:rPr>
            </w:pPr>
          </w:p>
        </w:tc>
        <w:tc>
          <w:tcPr>
            <w:tcW w:w="100" w:type="dxa"/>
            <w:vAlign w:val="bottom"/>
            <w:tcBorders>
              <w:bottom w:val="single" w:sz="8" w:color="E0E7ED"/>
            </w:tcBorders>
            <w:shd w:val="clear" w:color="auto" w:fill="E0E7ED"/>
          </w:tcPr>
          <w:p>
            <w:pPr>
              <w:spacing w:after="0"/>
              <w:rPr>
                <w:sz w:val="10"/>
                <w:szCs w:val="10"/>
                <w:color w:val="auto"/>
              </w:rPr>
            </w:pPr>
          </w:p>
        </w:tc>
        <w:tc>
          <w:tcPr>
            <w:tcW w:w="3680" w:type="dxa"/>
            <w:vAlign w:val="bottom"/>
            <w:tcBorders>
              <w:bottom w:val="single" w:sz="8" w:color="6D6D6D"/>
            </w:tcBorders>
            <w:shd w:val="clear" w:color="auto" w:fill="E0E7ED"/>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net interest income</w:t>
            </w:r>
          </w:p>
        </w:tc>
        <w:tc>
          <w:tcPr>
            <w:tcW w:w="100" w:type="dxa"/>
            <w:vAlign w:val="bottom"/>
            <w:shd w:val="clear" w:color="auto" w:fill="E0E7ED"/>
          </w:tcPr>
          <w:p>
            <w:pPr>
              <w:spacing w:after="0"/>
              <w:rPr>
                <w:sz w:val="22"/>
                <w:szCs w:val="22"/>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net interest margin</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3660" w:type="dxa"/>
            <w:vAlign w:val="bottom"/>
            <w:vMerge w:val="restart"/>
          </w:tcPr>
          <w:p>
            <w:pPr>
              <w:ind w:left="20"/>
              <w:spacing w:after="0"/>
              <w:rPr>
                <w:sz w:val="20"/>
                <w:szCs w:val="20"/>
                <w:color w:val="auto"/>
              </w:rPr>
            </w:pPr>
            <w:r>
              <w:rPr>
                <w:rFonts w:ascii="Verdana" w:cs="Verdana" w:eastAsia="Verdana" w:hAnsi="Verdana"/>
                <w:sz w:val="18"/>
                <w:szCs w:val="18"/>
                <w:color w:val="auto"/>
              </w:rPr>
              <w:t>Net interest income</w:t>
            </w:r>
          </w:p>
        </w:tc>
        <w:tc>
          <w:tcPr>
            <w:tcW w:w="100" w:type="dxa"/>
            <w:vAlign w:val="bottom"/>
            <w:shd w:val="clear" w:color="auto" w:fill="E0E7ED"/>
          </w:tcPr>
          <w:p>
            <w:pPr>
              <w:spacing w:after="0"/>
              <w:rPr>
                <w:sz w:val="22"/>
                <w:szCs w:val="22"/>
                <w:color w:val="auto"/>
              </w:rPr>
            </w:pPr>
          </w:p>
        </w:tc>
        <w:tc>
          <w:tcPr>
            <w:tcW w:w="3680" w:type="dxa"/>
            <w:vAlign w:val="bottom"/>
            <w:tcBorders>
              <w:bottom w:val="single" w:sz="8" w:color="6D6D6D"/>
            </w:tcBorders>
            <w:shd w:val="clear" w:color="auto" w:fill="E0E7ED"/>
          </w:tcPr>
          <w:p>
            <w:pPr>
              <w:ind w:left="20"/>
              <w:spacing w:after="0"/>
              <w:rPr>
                <w:sz w:val="20"/>
                <w:szCs w:val="20"/>
                <w:color w:val="auto"/>
              </w:rPr>
            </w:pPr>
            <w:r>
              <w:rPr>
                <w:rFonts w:ascii="Verdana" w:cs="Verdana" w:eastAsia="Verdana" w:hAnsi="Verdana"/>
                <w:sz w:val="18"/>
                <w:szCs w:val="18"/>
                <w:color w:val="auto"/>
              </w:rPr>
              <w:t>Tax-equivalent revenue</w:t>
            </w:r>
          </w:p>
        </w:tc>
        <w:tc>
          <w:tcPr>
            <w:tcW w:w="100" w:type="dxa"/>
            <w:vAlign w:val="bottom"/>
            <w:tcBorders>
              <w:bottom w:val="single" w:sz="8" w:color="E0E7ED"/>
            </w:tcBorders>
            <w:shd w:val="clear" w:color="auto" w:fill="E0E7ED"/>
          </w:tcPr>
          <w:p>
            <w:pPr>
              <w:spacing w:after="0"/>
              <w:rPr>
                <w:sz w:val="22"/>
                <w:szCs w:val="22"/>
                <w:color w:val="auto"/>
              </w:rPr>
            </w:pPr>
          </w:p>
        </w:tc>
        <w:tc>
          <w:tcPr>
            <w:tcW w:w="3680" w:type="dxa"/>
            <w:vAlign w:val="bottom"/>
            <w:tcBorders>
              <w:bottom w:val="single" w:sz="8" w:color="6D6D6D"/>
            </w:tcBorders>
            <w:shd w:val="clear" w:color="auto" w:fill="E0E7ED"/>
          </w:tcPr>
          <w:p>
            <w:pPr>
              <w:ind w:left="20"/>
              <w:spacing w:after="0"/>
              <w:rPr>
                <w:sz w:val="20"/>
                <w:szCs w:val="20"/>
                <w:color w:val="auto"/>
              </w:rPr>
            </w:pPr>
            <w:r>
              <w:rPr>
                <w:rFonts w:ascii="Verdana" w:cs="Verdana" w:eastAsia="Verdana" w:hAnsi="Verdana"/>
                <w:sz w:val="18"/>
                <w:szCs w:val="18"/>
                <w:color w:val="auto"/>
              </w:rPr>
              <w:t>Efficiency ratio</w:t>
            </w:r>
          </w:p>
        </w:tc>
        <w:tc>
          <w:tcPr>
            <w:tcW w:w="0" w:type="dxa"/>
            <w:vAlign w:val="bottom"/>
          </w:tcPr>
          <w:p>
            <w:pPr>
              <w:spacing w:after="0"/>
              <w:rPr>
                <w:sz w:val="1"/>
                <w:szCs w:val="1"/>
                <w:color w:val="auto"/>
              </w:rPr>
            </w:pPr>
          </w:p>
        </w:tc>
      </w:tr>
      <w:tr>
        <w:trPr>
          <w:trHeight w:val="157"/>
        </w:trPr>
        <w:tc>
          <w:tcPr>
            <w:tcW w:w="3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Adjusted efficiency ratio</w:t>
            </w:r>
          </w:p>
        </w:tc>
        <w:tc>
          <w:tcPr>
            <w:tcW w:w="0" w:type="dxa"/>
            <w:vAlign w:val="bottom"/>
          </w:tcPr>
          <w:p>
            <w:pPr>
              <w:spacing w:after="0"/>
              <w:rPr>
                <w:sz w:val="1"/>
                <w:szCs w:val="1"/>
                <w:color w:val="auto"/>
              </w:rPr>
            </w:pPr>
          </w:p>
        </w:tc>
      </w:tr>
      <w:tr>
        <w:trPr>
          <w:trHeight w:val="112"/>
        </w:trPr>
        <w:tc>
          <w:tcPr>
            <w:tcW w:w="3660" w:type="dxa"/>
            <w:vAlign w:val="bottom"/>
            <w:vMerge w:val="restart"/>
          </w:tcPr>
          <w:p>
            <w:pPr>
              <w:ind w:left="20"/>
              <w:spacing w:after="0" w:line="216" w:lineRule="exact"/>
              <w:rPr>
                <w:sz w:val="20"/>
                <w:szCs w:val="20"/>
                <w:color w:val="auto"/>
              </w:rPr>
            </w:pPr>
            <w:r>
              <w:rPr>
                <w:rFonts w:ascii="Verdana" w:cs="Verdana" w:eastAsia="Verdana" w:hAnsi="Verdana"/>
                <w:sz w:val="18"/>
                <w:szCs w:val="18"/>
                <w:color w:val="auto"/>
              </w:rPr>
              <w:t>Total noninterest income</w:t>
            </w:r>
          </w:p>
        </w:tc>
        <w:tc>
          <w:tcPr>
            <w:tcW w:w="100" w:type="dxa"/>
            <w:vAlign w:val="bottom"/>
          </w:tcPr>
          <w:p>
            <w:pPr>
              <w:spacing w:after="0"/>
              <w:rPr>
                <w:sz w:val="9"/>
                <w:szCs w:val="9"/>
                <w:color w:val="auto"/>
              </w:rPr>
            </w:pPr>
          </w:p>
        </w:tc>
        <w:tc>
          <w:tcPr>
            <w:tcW w:w="3680" w:type="dxa"/>
            <w:vAlign w:val="bottom"/>
            <w:vMerge w:val="restart"/>
          </w:tcPr>
          <w:p>
            <w:pPr>
              <w:ind w:left="20"/>
              <w:spacing w:after="0" w:line="216" w:lineRule="exact"/>
              <w:rPr>
                <w:sz w:val="20"/>
                <w:szCs w:val="20"/>
                <w:color w:val="auto"/>
              </w:rPr>
            </w:pPr>
            <w:r>
              <w:rPr>
                <w:rFonts w:ascii="Verdana" w:cs="Verdana" w:eastAsia="Verdana" w:hAnsi="Verdana"/>
                <w:sz w:val="18"/>
                <w:szCs w:val="18"/>
                <w:color w:val="auto"/>
              </w:rPr>
              <w:t>Adjusted tax-equivalent revenue</w:t>
            </w:r>
          </w:p>
        </w:tc>
        <w:tc>
          <w:tcPr>
            <w:tcW w:w="100" w:type="dxa"/>
            <w:vAlign w:val="bottom"/>
            <w:shd w:val="clear" w:color="auto" w:fill="E0E7ED"/>
          </w:tcPr>
          <w:p>
            <w:pPr>
              <w:spacing w:after="0"/>
              <w:rPr>
                <w:sz w:val="9"/>
                <w:szCs w:val="9"/>
                <w:color w:val="auto"/>
              </w:rPr>
            </w:pPr>
          </w:p>
        </w:tc>
        <w:tc>
          <w:tcPr>
            <w:tcW w:w="3680" w:type="dxa"/>
            <w:vAlign w:val="bottom"/>
            <w:tcBorders>
              <w:bottom w:val="single" w:sz="8" w:color="6D6D6D"/>
            </w:tcBorders>
            <w:vMerge w:val="continue"/>
            <w:shd w:val="clear" w:color="auto" w:fill="E0E7ED"/>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3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vMerge w:val="restart"/>
          </w:tcPr>
          <w:p>
            <w:pPr>
              <w:ind w:left="20"/>
              <w:spacing w:after="0"/>
              <w:rPr>
                <w:sz w:val="20"/>
                <w:szCs w:val="20"/>
                <w:color w:val="auto"/>
              </w:rPr>
            </w:pPr>
            <w:r>
              <w:rPr>
                <w:rFonts w:ascii="Verdana" w:cs="Verdana" w:eastAsia="Verdana" w:hAnsi="Verdana"/>
                <w:sz w:val="18"/>
                <w:szCs w:val="18"/>
                <w:color w:val="auto"/>
              </w:rPr>
              <w:t>Adjusted core efficiency ratio</w:t>
            </w:r>
          </w:p>
        </w:tc>
        <w:tc>
          <w:tcPr>
            <w:tcW w:w="0" w:type="dxa"/>
            <w:vAlign w:val="bottom"/>
          </w:tcPr>
          <w:p>
            <w:pPr>
              <w:spacing w:after="0"/>
              <w:rPr>
                <w:sz w:val="1"/>
                <w:szCs w:val="1"/>
                <w:color w:val="auto"/>
              </w:rPr>
            </w:pPr>
          </w:p>
        </w:tc>
      </w:tr>
      <w:tr>
        <w:trPr>
          <w:trHeight w:val="181"/>
        </w:trPr>
        <w:tc>
          <w:tcPr>
            <w:tcW w:w="3660" w:type="dxa"/>
            <w:vAlign w:val="bottom"/>
          </w:tcPr>
          <w:p>
            <w:pPr>
              <w:ind w:left="20"/>
              <w:spacing w:after="0" w:line="161" w:lineRule="exact"/>
              <w:rPr>
                <w:sz w:val="20"/>
                <w:szCs w:val="20"/>
                <w:color w:val="auto"/>
              </w:rPr>
            </w:pPr>
            <w:r>
              <w:rPr>
                <w:rFonts w:ascii="Verdana" w:cs="Verdana" w:eastAsia="Verdana" w:hAnsi="Verdana"/>
                <w:sz w:val="17"/>
                <w:szCs w:val="17"/>
                <w:color w:val="auto"/>
              </w:rPr>
              <w:t>Net security gains and losses</w:t>
            </w:r>
          </w:p>
        </w:tc>
        <w:tc>
          <w:tcPr>
            <w:tcW w:w="100" w:type="dxa"/>
            <w:vAlign w:val="bottom"/>
          </w:tcPr>
          <w:p>
            <w:pPr>
              <w:spacing w:after="0"/>
              <w:rPr>
                <w:sz w:val="15"/>
                <w:szCs w:val="15"/>
                <w:color w:val="auto"/>
              </w:rPr>
            </w:pPr>
          </w:p>
        </w:tc>
        <w:tc>
          <w:tcPr>
            <w:tcW w:w="3680" w:type="dxa"/>
            <w:vAlign w:val="bottom"/>
            <w:tcBorders>
              <w:bottom w:val="single" w:sz="8" w:color="6D6D6D"/>
            </w:tcBorders>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Borders>
              <w:bottom w:val="single" w:sz="8" w:color="6D6D6D"/>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-539750</wp:posOffset>
            </wp:positionV>
            <wp:extent cx="7115175" cy="7118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15175" cy="711835"/>
                    </a:xfrm>
                    <a:prstGeom prst="rect">
                      <a:avLst/>
                    </a:prstGeom>
                    <a:noFill/>
                  </pic:spPr>
                </pic:pic>
              </a:graphicData>
            </a:graphic>
          </wp:anchor>
        </w:drawing>
      </w:r>
    </w:p>
    <w:p>
      <w:pPr>
        <w:spacing w:after="0" w:line="2" w:lineRule="exact"/>
        <w:rPr>
          <w:sz w:val="20"/>
          <w:szCs w:val="20"/>
          <w:color w:val="auto"/>
        </w:rPr>
      </w:pPr>
    </w:p>
    <w:p>
      <w:pPr>
        <w:ind w:left="3780"/>
        <w:spacing w:after="0"/>
        <w:rPr>
          <w:sz w:val="20"/>
          <w:szCs w:val="20"/>
          <w:color w:val="auto"/>
        </w:rPr>
      </w:pPr>
      <w:r>
        <w:rPr>
          <w:rFonts w:ascii="Verdana" w:cs="Verdana" w:eastAsia="Verdana" w:hAnsi="Verdana"/>
          <w:sz w:val="18"/>
          <w:szCs w:val="18"/>
          <w:color w:val="auto"/>
        </w:rPr>
        <w:t>Adjusted noninterest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058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15175" cy="80581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ind w:left="20" w:right="380"/>
        <w:spacing w:after="0" w:line="254" w:lineRule="auto"/>
        <w:rPr>
          <w:sz w:val="20"/>
          <w:szCs w:val="20"/>
          <w:color w:val="auto"/>
        </w:rPr>
      </w:pPr>
      <w:r>
        <w:rPr>
          <w:rFonts w:ascii="Verdana" w:cs="Verdana" w:eastAsia="Verdana" w:hAnsi="Verdana"/>
          <w:sz w:val="18"/>
          <w:szCs w:val="18"/>
          <w:color w:val="auto"/>
        </w:rPr>
        <w:t>Total noninterest expense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Verdana" w:cs="Verdana" w:eastAsia="Verdana" w:hAnsi="Verdana"/>
          <w:sz w:val="18"/>
          <w:szCs w:val="18"/>
          <w:color w:val="auto"/>
        </w:rPr>
        <w:t>Total noninterest expense</w:t>
      </w:r>
    </w:p>
    <w:p>
      <w:pPr>
        <w:spacing w:after="0" w:line="305" w:lineRule="exact"/>
        <w:rPr>
          <w:sz w:val="20"/>
          <w:szCs w:val="20"/>
          <w:color w:val="auto"/>
        </w:rPr>
      </w:pPr>
    </w:p>
    <w:p>
      <w:pPr>
        <w:ind w:left="20"/>
        <w:spacing w:after="0"/>
        <w:rPr>
          <w:sz w:val="20"/>
          <w:szCs w:val="20"/>
          <w:color w:val="auto"/>
        </w:rPr>
      </w:pPr>
      <w:r>
        <w:rPr>
          <w:rFonts w:ascii="Verdana" w:cs="Verdana" w:eastAsia="Verdana" w:hAnsi="Verdana"/>
          <w:sz w:val="18"/>
          <w:szCs w:val="18"/>
          <w:color w:val="auto"/>
        </w:rPr>
        <w:t>Total assets</w:t>
      </w:r>
    </w:p>
    <w:p>
      <w:pPr>
        <w:ind w:left="20"/>
        <w:spacing w:after="0" w:line="254" w:lineRule="auto"/>
        <w:rPr>
          <w:sz w:val="20"/>
          <w:szCs w:val="20"/>
          <w:color w:val="auto"/>
        </w:rPr>
      </w:pPr>
      <w:r>
        <w:rPr>
          <w:rFonts w:ascii="Verdana" w:cs="Verdana" w:eastAsia="Verdana" w:hAnsi="Verdana"/>
          <w:sz w:val="18"/>
          <w:szCs w:val="18"/>
          <w:color w:val="auto"/>
        </w:rPr>
        <w:t>Goodwill and other intangible assets, net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right="360"/>
        <w:spacing w:after="0" w:line="254" w:lineRule="auto"/>
        <w:rPr>
          <w:sz w:val="20"/>
          <w:szCs w:val="20"/>
          <w:color w:val="auto"/>
        </w:rPr>
      </w:pPr>
      <w:r>
        <w:rPr>
          <w:rFonts w:ascii="Verdana" w:cs="Verdana" w:eastAsia="Verdana" w:hAnsi="Verdana"/>
          <w:sz w:val="18"/>
          <w:szCs w:val="18"/>
          <w:color w:val="auto"/>
        </w:rPr>
        <w:t>Noninterest expense excluding amortization of intangible assets</w:t>
      </w:r>
    </w:p>
    <w:p>
      <w:pPr>
        <w:spacing w:after="0" w:line="144" w:lineRule="exact"/>
        <w:rPr>
          <w:sz w:val="20"/>
          <w:szCs w:val="20"/>
          <w:color w:val="auto"/>
        </w:rPr>
      </w:pPr>
    </w:p>
    <w:p>
      <w:pPr>
        <w:ind w:right="620"/>
        <w:spacing w:after="0" w:line="328" w:lineRule="auto"/>
        <w:rPr>
          <w:sz w:val="20"/>
          <w:szCs w:val="20"/>
          <w:color w:val="auto"/>
        </w:rPr>
      </w:pPr>
      <w:r>
        <w:rPr>
          <w:rFonts w:ascii="Verdana" w:cs="Verdana" w:eastAsia="Verdana" w:hAnsi="Verdana"/>
          <w:sz w:val="18"/>
          <w:szCs w:val="18"/>
          <w:color w:val="auto"/>
        </w:rPr>
        <w:t>Adjusted noninterest expense Adjusted core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52070</wp:posOffset>
            </wp:positionV>
            <wp:extent cx="7115175" cy="308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84"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Noninterest expense, excluding non-operating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95250</wp:posOffset>
            </wp:positionV>
            <wp:extent cx="7115175" cy="4457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15175" cy="44577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Verdana" w:cs="Verdana" w:eastAsia="Verdana" w:hAnsi="Verdana"/>
          <w:sz w:val="18"/>
          <w:szCs w:val="18"/>
          <w:color w:val="auto"/>
        </w:rPr>
        <w:t>Tangible assets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Verdana" w:cs="Verdana" w:eastAsia="Verdana" w:hAnsi="Verdana"/>
          <w:sz w:val="18"/>
          <w:szCs w:val="18"/>
          <w:color w:val="auto"/>
        </w:rPr>
        <w:t>Efficiency ratio</w:t>
      </w:r>
    </w:p>
    <w:p>
      <w:pPr>
        <w:spacing w:after="0" w:line="281" w:lineRule="exact"/>
        <w:rPr>
          <w:sz w:val="20"/>
          <w:szCs w:val="20"/>
          <w:color w:val="auto"/>
        </w:rPr>
      </w:pPr>
    </w:p>
    <w:p>
      <w:pPr>
        <w:ind w:right="1060"/>
        <w:spacing w:after="0" w:line="362" w:lineRule="auto"/>
        <w:rPr>
          <w:sz w:val="20"/>
          <w:szCs w:val="20"/>
          <w:color w:val="auto"/>
        </w:rPr>
      </w:pPr>
      <w:r>
        <w:rPr>
          <w:rFonts w:ascii="Verdana" w:cs="Verdana" w:eastAsia="Verdana" w:hAnsi="Verdana"/>
          <w:sz w:val="17"/>
          <w:szCs w:val="17"/>
          <w:color w:val="auto"/>
        </w:rPr>
        <w:t>Adjusted efficiency ratio Adjusted core efficiency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40"/>
        <w:spacing w:after="0" w:line="254" w:lineRule="auto"/>
        <w:rPr>
          <w:sz w:val="20"/>
          <w:szCs w:val="20"/>
          <w:color w:val="auto"/>
        </w:rPr>
      </w:pPr>
      <w:r>
        <w:rPr>
          <w:rFonts w:ascii="Verdana" w:cs="Verdana" w:eastAsia="Verdana" w:hAnsi="Verdana"/>
          <w:sz w:val="18"/>
          <w:szCs w:val="18"/>
          <w:color w:val="auto"/>
        </w:rPr>
        <w:t>Tangible common equity to tangible assets</w:t>
      </w:r>
    </w:p>
    <w:p>
      <w:pPr>
        <w:spacing w:after="0" w:line="257" w:lineRule="exact"/>
        <w:rPr>
          <w:sz w:val="20"/>
          <w:szCs w:val="20"/>
          <w:color w:val="auto"/>
        </w:rPr>
      </w:pPr>
    </w:p>
    <w:p>
      <w:pPr>
        <w:sectPr>
          <w:pgSz w:w="11900" w:h="16838" w:orient="portrait"/>
          <w:cols w:equalWidth="0" w:num="3">
            <w:col w:w="3380" w:space="400"/>
            <w:col w:w="3320" w:space="460"/>
            <w:col w:w="3680"/>
          </w:cols>
          <w:pgMar w:left="320" w:top="310"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36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Total stockholders’ equity</w:t>
            </w:r>
          </w:p>
        </w:tc>
        <w:tc>
          <w:tcPr>
            <w:tcW w:w="100" w:type="dxa"/>
            <w:vAlign w:val="bottom"/>
            <w:shd w:val="clear" w:color="auto" w:fill="E0E7ED"/>
          </w:tcPr>
          <w:p>
            <w:pPr>
              <w:spacing w:after="0"/>
              <w:rPr>
                <w:sz w:val="20"/>
                <w:szCs w:val="20"/>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Tangible common equity</w:t>
            </w:r>
          </w:p>
        </w:tc>
        <w:tc>
          <w:tcPr>
            <w:tcW w:w="100" w:type="dxa"/>
            <w:vAlign w:val="bottom"/>
            <w:shd w:val="clear" w:color="auto" w:fill="E0E7ED"/>
          </w:tcPr>
          <w:p>
            <w:pPr>
              <w:spacing w:after="0"/>
              <w:rPr>
                <w:sz w:val="20"/>
                <w:szCs w:val="20"/>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common equity to tangible</w:t>
            </w:r>
          </w:p>
        </w:tc>
        <w:tc>
          <w:tcPr>
            <w:tcW w:w="0" w:type="dxa"/>
            <w:vAlign w:val="bottom"/>
          </w:tcPr>
          <w:p>
            <w:pPr>
              <w:spacing w:after="0"/>
              <w:rPr>
                <w:sz w:val="1"/>
                <w:szCs w:val="1"/>
                <w:color w:val="auto"/>
              </w:rPr>
            </w:pPr>
          </w:p>
        </w:tc>
      </w:tr>
      <w:tr>
        <w:trPr>
          <w:trHeight w:val="135"/>
        </w:trPr>
        <w:tc>
          <w:tcPr>
            <w:tcW w:w="3660" w:type="dxa"/>
            <w:vAlign w:val="bottom"/>
            <w:vMerge w:val="continue"/>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3680" w:type="dxa"/>
            <w:vAlign w:val="bottom"/>
            <w:vMerge w:val="continue"/>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assets</w:t>
            </w:r>
          </w:p>
        </w:tc>
        <w:tc>
          <w:tcPr>
            <w:tcW w:w="0" w:type="dxa"/>
            <w:vAlign w:val="bottom"/>
          </w:tcPr>
          <w:p>
            <w:pPr>
              <w:spacing w:after="0"/>
              <w:rPr>
                <w:sz w:val="1"/>
                <w:szCs w:val="1"/>
                <w:color w:val="auto"/>
              </w:rPr>
            </w:pPr>
          </w:p>
        </w:tc>
      </w:tr>
      <w:tr>
        <w:trPr>
          <w:trHeight w:val="107"/>
        </w:trPr>
        <w:tc>
          <w:tcPr>
            <w:tcW w:w="3660" w:type="dxa"/>
            <w:vAlign w:val="bottom"/>
            <w:tcBorders>
              <w:bottom w:val="single" w:sz="8" w:color="E0E7ED"/>
            </w:tcBorders>
            <w:vMerge w:val="restart"/>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Goodwill and other intangible assets,</w:t>
            </w:r>
          </w:p>
        </w:tc>
        <w:tc>
          <w:tcPr>
            <w:tcW w:w="100" w:type="dxa"/>
            <w:vAlign w:val="bottom"/>
            <w:tcBorders>
              <w:bottom w:val="single" w:sz="8" w:color="E0E7ED"/>
            </w:tcBorders>
            <w:shd w:val="clear" w:color="auto" w:fill="E0E7ED"/>
          </w:tcPr>
          <w:p>
            <w:pPr>
              <w:spacing w:after="0"/>
              <w:rPr>
                <w:sz w:val="9"/>
                <w:szCs w:val="9"/>
                <w:color w:val="auto"/>
              </w:rPr>
            </w:pPr>
          </w:p>
        </w:tc>
        <w:tc>
          <w:tcPr>
            <w:tcW w:w="3680" w:type="dxa"/>
            <w:vAlign w:val="bottom"/>
            <w:tcBorders>
              <w:bottom w:val="single" w:sz="8" w:color="6D6D6D"/>
            </w:tcBorders>
            <w:shd w:val="clear" w:color="auto" w:fill="E0E7ED"/>
          </w:tcPr>
          <w:p>
            <w:pPr>
              <w:spacing w:after="0"/>
              <w:rPr>
                <w:sz w:val="9"/>
                <w:szCs w:val="9"/>
                <w:color w:val="auto"/>
              </w:rPr>
            </w:pPr>
          </w:p>
        </w:tc>
        <w:tc>
          <w:tcPr>
            <w:tcW w:w="100" w:type="dxa"/>
            <w:vAlign w:val="bottom"/>
            <w:tcBorders>
              <w:bottom w:val="single" w:sz="8" w:color="E0E7ED"/>
            </w:tcBorders>
            <w:shd w:val="clear" w:color="auto" w:fill="E0E7ED"/>
          </w:tcPr>
          <w:p>
            <w:pPr>
              <w:spacing w:after="0"/>
              <w:rPr>
                <w:sz w:val="9"/>
                <w:szCs w:val="9"/>
                <w:color w:val="auto"/>
              </w:rPr>
            </w:pPr>
          </w:p>
        </w:tc>
        <w:tc>
          <w:tcPr>
            <w:tcW w:w="3680" w:type="dxa"/>
            <w:vAlign w:val="bottom"/>
            <w:tcBorders>
              <w:bottom w:val="single" w:sz="8" w:color="6D6D6D"/>
            </w:tcBorders>
            <w:vMerge w:val="continue"/>
            <w:shd w:val="clear" w:color="auto" w:fill="E0E7ED"/>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3660" w:type="dxa"/>
            <w:vAlign w:val="bottom"/>
            <w:vMerge w:val="continue"/>
            <w:shd w:val="clear" w:color="auto" w:fill="E0E7ED"/>
          </w:tcPr>
          <w:p>
            <w:pPr>
              <w:spacing w:after="0"/>
              <w:rPr>
                <w:sz w:val="7"/>
                <w:szCs w:val="7"/>
                <w:color w:val="auto"/>
              </w:rPr>
            </w:pPr>
          </w:p>
        </w:tc>
        <w:tc>
          <w:tcPr>
            <w:tcW w:w="100" w:type="dxa"/>
            <w:vAlign w:val="bottom"/>
            <w:shd w:val="clear" w:color="auto" w:fill="E0E7ED"/>
          </w:tcPr>
          <w:p>
            <w:pPr>
              <w:spacing w:after="0"/>
              <w:rPr>
                <w:sz w:val="7"/>
                <w:szCs w:val="7"/>
                <w:color w:val="auto"/>
              </w:rPr>
            </w:pPr>
          </w:p>
        </w:tc>
        <w:tc>
          <w:tcPr>
            <w:tcW w:w="3680" w:type="dxa"/>
            <w:vAlign w:val="bottom"/>
            <w:shd w:val="clear" w:color="auto" w:fill="E0E7ED"/>
          </w:tcPr>
          <w:p>
            <w:pPr>
              <w:spacing w:after="0"/>
              <w:rPr>
                <w:sz w:val="7"/>
                <w:szCs w:val="7"/>
                <w:color w:val="auto"/>
              </w:rPr>
            </w:pPr>
          </w:p>
        </w:tc>
        <w:tc>
          <w:tcPr>
            <w:tcW w:w="100" w:type="dxa"/>
            <w:vAlign w:val="bottom"/>
            <w:shd w:val="clear" w:color="auto" w:fill="E0E7ED"/>
          </w:tcPr>
          <w:p>
            <w:pPr>
              <w:spacing w:after="0"/>
              <w:rPr>
                <w:sz w:val="7"/>
                <w:szCs w:val="7"/>
                <w:color w:val="auto"/>
              </w:rPr>
            </w:pPr>
          </w:p>
        </w:tc>
        <w:tc>
          <w:tcPr>
            <w:tcW w:w="3680" w:type="dxa"/>
            <w:vAlign w:val="bottom"/>
            <w:shd w:val="clear" w:color="auto" w:fill="E0E7ED"/>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36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net</w:t>
            </w:r>
          </w:p>
        </w:tc>
        <w:tc>
          <w:tcPr>
            <w:tcW w:w="100" w:type="dxa"/>
            <w:vAlign w:val="bottom"/>
            <w:shd w:val="clear" w:color="auto" w:fill="E0E7ED"/>
          </w:tcPr>
          <w:p>
            <w:pPr>
              <w:spacing w:after="0"/>
              <w:rPr>
                <w:sz w:val="22"/>
                <w:szCs w:val="22"/>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book value</w:t>
            </w:r>
          </w:p>
        </w:tc>
        <w:tc>
          <w:tcPr>
            <w:tcW w:w="100" w:type="dxa"/>
            <w:vAlign w:val="bottom"/>
            <w:shd w:val="clear" w:color="auto" w:fill="E0E7ED"/>
          </w:tcPr>
          <w:p>
            <w:pPr>
              <w:spacing w:after="0"/>
              <w:rPr>
                <w:sz w:val="22"/>
                <w:szCs w:val="22"/>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book value per common share</w:t>
            </w:r>
          </w:p>
        </w:tc>
        <w:tc>
          <w:tcPr>
            <w:tcW w:w="0" w:type="dxa"/>
            <w:vAlign w:val="bottom"/>
          </w:tcPr>
          <w:p>
            <w:pPr>
              <w:spacing w:after="0"/>
              <w:rPr>
                <w:sz w:val="1"/>
                <w:szCs w:val="1"/>
                <w:color w:val="auto"/>
              </w:rPr>
            </w:pPr>
          </w:p>
        </w:tc>
      </w:tr>
      <w:tr>
        <w:trPr>
          <w:trHeight w:val="121"/>
        </w:trPr>
        <w:tc>
          <w:tcPr>
            <w:tcW w:w="3660" w:type="dxa"/>
            <w:vAlign w:val="bottom"/>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shd w:val="clear" w:color="auto" w:fill="E0E7ED"/>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E0E7ED"/>
            </w:tcBorders>
            <w:vMerge w:val="restart"/>
            <w:shd w:val="clear" w:color="auto" w:fill="E0E7ED"/>
          </w:tcPr>
          <w:p>
            <w:pPr>
              <w:ind w:left="20"/>
              <w:spacing w:after="0"/>
              <w:rPr>
                <w:sz w:val="20"/>
                <w:szCs w:val="20"/>
                <w:color w:val="auto"/>
              </w:rPr>
            </w:pPr>
            <w:r>
              <w:rPr>
                <w:rFonts w:ascii="Verdana" w:cs="Verdana" w:eastAsia="Verdana" w:hAnsi="Verdana"/>
                <w:sz w:val="18"/>
                <w:szCs w:val="18"/>
                <w:color w:val="auto"/>
              </w:rPr>
              <w:t>Total deposits</w:t>
            </w:r>
          </w:p>
        </w:tc>
        <w:tc>
          <w:tcPr>
            <w:tcW w:w="100" w:type="dxa"/>
            <w:vAlign w:val="bottom"/>
            <w:tcBorders>
              <w:bottom w:val="single" w:sz="8" w:color="E0E7ED"/>
            </w:tcBorders>
            <w:shd w:val="clear" w:color="auto" w:fill="E0E7ED"/>
          </w:tcPr>
          <w:p>
            <w:pPr>
              <w:spacing w:after="0"/>
              <w:rPr>
                <w:sz w:val="22"/>
                <w:szCs w:val="22"/>
                <w:color w:val="auto"/>
              </w:rPr>
            </w:pPr>
          </w:p>
        </w:tc>
        <w:tc>
          <w:tcPr>
            <w:tcW w:w="3680" w:type="dxa"/>
            <w:vAlign w:val="bottom"/>
            <w:tcBorders>
              <w:bottom w:val="single" w:sz="8" w:color="E0E7ED"/>
            </w:tcBorders>
            <w:vMerge w:val="restart"/>
            <w:shd w:val="clear" w:color="auto" w:fill="E0E7ED"/>
          </w:tcPr>
          <w:p>
            <w:pPr>
              <w:ind w:left="20"/>
              <w:spacing w:after="0"/>
              <w:rPr>
                <w:sz w:val="20"/>
                <w:szCs w:val="20"/>
                <w:color w:val="auto"/>
              </w:rPr>
            </w:pPr>
            <w:r>
              <w:rPr>
                <w:rFonts w:ascii="Verdana" w:cs="Verdana" w:eastAsia="Verdana" w:hAnsi="Verdana"/>
                <w:sz w:val="18"/>
                <w:szCs w:val="18"/>
                <w:color w:val="auto"/>
              </w:rPr>
              <w:t>Core deposits</w:t>
            </w:r>
          </w:p>
        </w:tc>
        <w:tc>
          <w:tcPr>
            <w:tcW w:w="100" w:type="dxa"/>
            <w:vAlign w:val="bottom"/>
            <w:tcBorders>
              <w:bottom w:val="single" w:sz="8" w:color="E0E7ED"/>
            </w:tcBorders>
            <w:shd w:val="clear" w:color="auto" w:fill="E0E7ED"/>
          </w:tcPr>
          <w:p>
            <w:pPr>
              <w:spacing w:after="0"/>
              <w:rPr>
                <w:sz w:val="22"/>
                <w:szCs w:val="22"/>
                <w:color w:val="auto"/>
              </w:rPr>
            </w:pPr>
          </w:p>
        </w:tc>
        <w:tc>
          <w:tcPr>
            <w:tcW w:w="3680" w:type="dxa"/>
            <w:vAlign w:val="bottom"/>
            <w:tcBorders>
              <w:bottom w:val="single" w:sz="8" w:color="6D6D6D"/>
            </w:tcBorders>
            <w:shd w:val="clear" w:color="auto" w:fill="E0E7ED"/>
          </w:tcPr>
          <w:p>
            <w:pPr>
              <w:ind w:left="20"/>
              <w:spacing w:after="0"/>
              <w:rPr>
                <w:sz w:val="20"/>
                <w:szCs w:val="20"/>
                <w:color w:val="auto"/>
              </w:rPr>
            </w:pPr>
            <w:r>
              <w:rPr>
                <w:rFonts w:ascii="Verdana" w:cs="Verdana" w:eastAsia="Verdana" w:hAnsi="Verdana"/>
                <w:sz w:val="18"/>
                <w:szCs w:val="18"/>
                <w:color w:val="auto"/>
              </w:rPr>
              <w:t>Core deposits to total deposits</w:t>
            </w:r>
          </w:p>
        </w:tc>
        <w:tc>
          <w:tcPr>
            <w:tcW w:w="0" w:type="dxa"/>
            <w:vAlign w:val="bottom"/>
          </w:tcPr>
          <w:p>
            <w:pPr>
              <w:spacing w:after="0"/>
              <w:rPr>
                <w:sz w:val="1"/>
                <w:szCs w:val="1"/>
                <w:color w:val="auto"/>
              </w:rPr>
            </w:pPr>
          </w:p>
        </w:tc>
      </w:tr>
      <w:tr>
        <w:trPr>
          <w:trHeight w:val="108"/>
        </w:trPr>
        <w:tc>
          <w:tcPr>
            <w:tcW w:w="3660" w:type="dxa"/>
            <w:vAlign w:val="bottom"/>
            <w:vMerge w:val="continue"/>
            <w:shd w:val="clear" w:color="auto" w:fill="E0E7ED"/>
          </w:tcPr>
          <w:p>
            <w:pPr>
              <w:spacing w:after="0"/>
              <w:rPr>
                <w:sz w:val="9"/>
                <w:szCs w:val="9"/>
                <w:color w:val="auto"/>
              </w:rPr>
            </w:pPr>
          </w:p>
        </w:tc>
        <w:tc>
          <w:tcPr>
            <w:tcW w:w="100" w:type="dxa"/>
            <w:vAlign w:val="bottom"/>
            <w:shd w:val="clear" w:color="auto" w:fill="E0E7ED"/>
          </w:tcPr>
          <w:p>
            <w:pPr>
              <w:spacing w:after="0"/>
              <w:rPr>
                <w:sz w:val="9"/>
                <w:szCs w:val="9"/>
                <w:color w:val="auto"/>
              </w:rPr>
            </w:pPr>
          </w:p>
        </w:tc>
        <w:tc>
          <w:tcPr>
            <w:tcW w:w="3680" w:type="dxa"/>
            <w:vAlign w:val="bottom"/>
            <w:vMerge w:val="continue"/>
            <w:shd w:val="clear" w:color="auto" w:fill="E0E7ED"/>
          </w:tcPr>
          <w:p>
            <w:pPr>
              <w:spacing w:after="0"/>
              <w:rPr>
                <w:sz w:val="9"/>
                <w:szCs w:val="9"/>
                <w:color w:val="auto"/>
              </w:rPr>
            </w:pPr>
          </w:p>
        </w:tc>
        <w:tc>
          <w:tcPr>
            <w:tcW w:w="100" w:type="dxa"/>
            <w:vAlign w:val="bottom"/>
            <w:shd w:val="clear" w:color="auto" w:fill="E0E7ED"/>
          </w:tcPr>
          <w:p>
            <w:pPr>
              <w:spacing w:after="0"/>
              <w:rPr>
                <w:sz w:val="9"/>
                <w:szCs w:val="9"/>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Portfolio loans to core deposits</w:t>
            </w:r>
          </w:p>
        </w:tc>
        <w:tc>
          <w:tcPr>
            <w:tcW w:w="0" w:type="dxa"/>
            <w:vAlign w:val="bottom"/>
          </w:tcPr>
          <w:p>
            <w:pPr>
              <w:spacing w:after="0"/>
              <w:rPr>
                <w:sz w:val="1"/>
                <w:szCs w:val="1"/>
                <w:color w:val="auto"/>
              </w:rPr>
            </w:pPr>
          </w:p>
        </w:tc>
      </w:tr>
      <w:tr>
        <w:trPr>
          <w:trHeight w:val="162"/>
        </w:trPr>
        <w:tc>
          <w:tcPr>
            <w:tcW w:w="366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68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680" w:type="dxa"/>
            <w:vAlign w:val="bottom"/>
            <w:vMerge w:val="continue"/>
            <w:shd w:val="clear" w:color="auto" w:fill="E0E7ED"/>
          </w:tcPr>
          <w:p>
            <w:pPr>
              <w:spacing w:after="0"/>
              <w:rPr>
                <w:sz w:val="14"/>
                <w:szCs w:val="1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 reconciliation of non-GAAP financial measures to what management believes to be the most directly comparable GAAP financial measures appears below.</w:t>
      </w:r>
    </w:p>
    <w:p>
      <w:pPr>
        <w:sectPr>
          <w:pgSz w:w="11900" w:h="16838" w:orient="portrait"/>
          <w:cols w:equalWidth="0" w:num="1">
            <w:col w:w="11240"/>
          </w:cols>
          <w:pgMar w:left="320" w:top="310"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85" w:name="page86"/>
    <w:bookmarkEnd w:id="8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0" w:lineRule="exact"/>
        <w:rPr>
          <w:sz w:val="20"/>
          <w:szCs w:val="20"/>
          <w:color w:val="auto"/>
        </w:rPr>
      </w:pPr>
    </w:p>
    <w:p>
      <w:pPr>
        <w:ind w:left="2320"/>
        <w:spacing w:after="0"/>
        <w:rPr>
          <w:sz w:val="20"/>
          <w:szCs w:val="20"/>
          <w:color w:val="auto"/>
        </w:rPr>
      </w:pPr>
      <w:r>
        <w:rPr>
          <w:rFonts w:ascii="Verdana" w:cs="Verdana" w:eastAsia="Verdana" w:hAnsi="Verdana"/>
          <w:sz w:val="18"/>
          <w:szCs w:val="18"/>
          <w:b w:val="1"/>
          <w:bCs w:val="1"/>
          <w:color w:val="auto"/>
        </w:rPr>
        <w:t>Pre-Provision Net Revenue, Adjusted Pre-Provision Net Revenue,</w:t>
      </w:r>
    </w:p>
    <w:p>
      <w:pPr>
        <w:ind w:left="3040"/>
        <w:spacing w:after="0" w:line="236" w:lineRule="auto"/>
        <w:rPr>
          <w:sz w:val="20"/>
          <w:szCs w:val="20"/>
          <w:color w:val="auto"/>
        </w:rPr>
      </w:pPr>
      <w:r>
        <w:rPr>
          <w:rFonts w:ascii="Verdana" w:cs="Verdana" w:eastAsia="Verdana" w:hAnsi="Verdana"/>
          <w:sz w:val="18"/>
          <w:szCs w:val="18"/>
          <w:b w:val="1"/>
          <w:bCs w:val="1"/>
          <w:color w:val="auto"/>
        </w:rPr>
        <w:t>Pre-Provision Net Revenue to Average Assets, and</w:t>
      </w:r>
    </w:p>
    <w:p>
      <w:pPr>
        <w:spacing w:after="0" w:line="1" w:lineRule="exact"/>
        <w:rPr>
          <w:sz w:val="20"/>
          <w:szCs w:val="20"/>
          <w:color w:val="auto"/>
        </w:rPr>
      </w:pPr>
    </w:p>
    <w:p>
      <w:pPr>
        <w:ind w:left="2840"/>
        <w:spacing w:after="0"/>
        <w:rPr>
          <w:sz w:val="20"/>
          <w:szCs w:val="20"/>
          <w:color w:val="auto"/>
        </w:rPr>
      </w:pPr>
      <w:r>
        <w:rPr>
          <w:rFonts w:ascii="Verdana" w:cs="Verdana" w:eastAsia="Verdana" w:hAnsi="Verdana"/>
          <w:sz w:val="18"/>
          <w:szCs w:val="18"/>
          <w:b w:val="1"/>
          <w:bCs w:val="1"/>
          <w:color w:val="auto"/>
        </w:rPr>
        <w:t>Adjusted Pre-Provision Net Revenue to Average Assets</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552"/>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6080" w:type="dxa"/>
            <w:vAlign w:val="bottom"/>
            <w:tcBorders>
              <w:bottom w:val="single" w:sz="8" w:color="E0E7ED"/>
            </w:tcBorders>
          </w:tcPr>
          <w:p>
            <w:pPr>
              <w:spacing w:after="0"/>
              <w:rPr>
                <w:sz w:val="14"/>
                <w:szCs w:val="14"/>
                <w:color w:val="auto"/>
              </w:rPr>
            </w:pPr>
          </w:p>
        </w:tc>
        <w:tc>
          <w:tcPr>
            <w:tcW w:w="170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73"/>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72"/>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60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PRE-PROVISION NET REVENUE</w:t>
            </w:r>
          </w:p>
        </w:tc>
        <w:tc>
          <w:tcPr>
            <w:tcW w:w="170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4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440" w:type="dxa"/>
            <w:vAlign w:val="bottom"/>
            <w:shd w:val="clear" w:color="auto" w:fill="E0E7ED"/>
          </w:tcPr>
          <w:p>
            <w:pPr>
              <w:spacing w:after="0"/>
              <w:rPr>
                <w:sz w:val="22"/>
                <w:szCs w:val="22"/>
                <w:color w:val="auto"/>
              </w:rPr>
            </w:pPr>
          </w:p>
        </w:tc>
      </w:tr>
      <w:tr>
        <w:trPr>
          <w:trHeight w:val="263"/>
        </w:trPr>
        <w:tc>
          <w:tcPr>
            <w:tcW w:w="6080" w:type="dxa"/>
            <w:vAlign w:val="bottom"/>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17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75,767</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440" w:type="dxa"/>
            <w:vAlign w:val="bottom"/>
          </w:tcPr>
          <w:p>
            <w:pPr>
              <w:jc w:val="right"/>
              <w:ind w:right="192"/>
              <w:spacing w:after="0"/>
              <w:rPr>
                <w:sz w:val="20"/>
                <w:szCs w:val="20"/>
                <w:color w:val="auto"/>
              </w:rPr>
            </w:pPr>
            <w:r>
              <w:rPr>
                <w:rFonts w:ascii="Verdana" w:cs="Verdana" w:eastAsia="Verdana" w:hAnsi="Verdana"/>
                <w:sz w:val="18"/>
                <w:szCs w:val="18"/>
                <w:color w:val="auto"/>
              </w:rPr>
              <w:t>85,857</w:t>
            </w:r>
          </w:p>
        </w:tc>
      </w:tr>
      <w:tr>
        <w:trPr>
          <w:trHeight w:val="277"/>
        </w:trPr>
        <w:tc>
          <w:tcPr>
            <w:tcW w:w="60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noninterest income</w:t>
            </w:r>
          </w:p>
        </w:tc>
        <w:tc>
          <w:tcPr>
            <w:tcW w:w="17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35,000</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31,848</w:t>
            </w:r>
          </w:p>
        </w:tc>
      </w:tr>
      <w:tr>
        <w:trPr>
          <w:trHeight w:val="263"/>
        </w:trPr>
        <w:tc>
          <w:tcPr>
            <w:tcW w:w="6080" w:type="dxa"/>
            <w:vAlign w:val="bottom"/>
          </w:tcPr>
          <w:p>
            <w:pPr>
              <w:ind w:left="20"/>
              <w:spacing w:after="0"/>
              <w:rPr>
                <w:sz w:val="20"/>
                <w:szCs w:val="20"/>
                <w:color w:val="auto"/>
              </w:rPr>
            </w:pPr>
            <w:r>
              <w:rPr>
                <w:rFonts w:ascii="Verdana" w:cs="Verdana" w:eastAsia="Verdana" w:hAnsi="Verdana"/>
                <w:sz w:val="18"/>
                <w:szCs w:val="18"/>
                <w:b w:val="1"/>
                <w:bCs w:val="1"/>
                <w:color w:val="auto"/>
              </w:rPr>
              <w:t>Net security (gains) losses</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6,375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2"/>
              <w:spacing w:after="0"/>
              <w:rPr>
                <w:sz w:val="20"/>
                <w:szCs w:val="20"/>
                <w:color w:val="auto"/>
              </w:rPr>
            </w:pPr>
            <w:r>
              <w:rPr>
                <w:rFonts w:ascii="Verdana" w:cs="Verdana" w:eastAsia="Verdana" w:hAnsi="Verdana"/>
                <w:sz w:val="18"/>
                <w:szCs w:val="18"/>
                <w:color w:val="auto"/>
              </w:rPr>
              <w:t>616</w:t>
            </w:r>
          </w:p>
        </w:tc>
      </w:tr>
      <w:tr>
        <w:trPr>
          <w:trHeight w:val="270"/>
        </w:trPr>
        <w:tc>
          <w:tcPr>
            <w:tcW w:w="60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noninterest expense</w:t>
            </w:r>
          </w:p>
        </w:tc>
        <w:tc>
          <w:tcPr>
            <w:tcW w:w="17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440" w:type="dxa"/>
            <w:vAlign w:val="bottom"/>
            <w:tcBorders>
              <w:bottom w:val="single" w:sz="8" w:color="auto"/>
            </w:tcBorders>
            <w:shd w:val="clear" w:color="auto" w:fill="E0E7ED"/>
          </w:tcPr>
          <w:p>
            <w:pPr>
              <w:jc w:val="right"/>
              <w:ind w:right="133"/>
              <w:spacing w:after="0"/>
              <w:rPr>
                <w:sz w:val="20"/>
                <w:szCs w:val="20"/>
                <w:color w:val="auto"/>
              </w:rPr>
            </w:pPr>
            <w:r>
              <w:rPr>
                <w:rFonts w:ascii="Verdana" w:cs="Verdana" w:eastAsia="Verdana" w:hAnsi="Verdana"/>
                <w:sz w:val="18"/>
                <w:szCs w:val="18"/>
                <w:color w:val="auto"/>
              </w:rPr>
              <w:t>(70,769)</w:t>
            </w:r>
          </w:p>
        </w:tc>
        <w:tc>
          <w:tcPr>
            <w:tcW w:w="1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44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(70,403)</w:t>
            </w:r>
          </w:p>
        </w:tc>
      </w:tr>
      <w:tr>
        <w:trPr>
          <w:trHeight w:val="263"/>
        </w:trPr>
        <w:tc>
          <w:tcPr>
            <w:tcW w:w="6080" w:type="dxa"/>
            <w:vAlign w:val="bottom"/>
          </w:tcPr>
          <w:p>
            <w:pPr>
              <w:ind w:left="20"/>
              <w:spacing w:after="0"/>
              <w:rPr>
                <w:sz w:val="20"/>
                <w:szCs w:val="20"/>
                <w:color w:val="auto"/>
              </w:rPr>
            </w:pPr>
            <w:r>
              <w:rPr>
                <w:rFonts w:ascii="Verdana" w:cs="Verdana" w:eastAsia="Verdana" w:hAnsi="Verdana"/>
                <w:sz w:val="18"/>
                <w:szCs w:val="18"/>
                <w:color w:val="auto"/>
              </w:rPr>
              <w:t>Pre-provision net revenue</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46,373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2"/>
              <w:spacing w:after="0"/>
              <w:rPr>
                <w:sz w:val="20"/>
                <w:szCs w:val="20"/>
                <w:color w:val="auto"/>
              </w:rPr>
            </w:pPr>
            <w:r>
              <w:rPr>
                <w:rFonts w:ascii="Verdana" w:cs="Verdana" w:eastAsia="Verdana" w:hAnsi="Verdana"/>
                <w:sz w:val="18"/>
                <w:szCs w:val="18"/>
                <w:color w:val="auto"/>
              </w:rPr>
              <w:t>47,918</w:t>
            </w:r>
          </w:p>
        </w:tc>
      </w:tr>
      <w:tr>
        <w:trPr>
          <w:trHeight w:val="277"/>
        </w:trPr>
        <w:tc>
          <w:tcPr>
            <w:tcW w:w="60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Non-GAAP adjustments:</w:t>
            </w:r>
          </w:p>
        </w:tc>
        <w:tc>
          <w:tcPr>
            <w:tcW w:w="17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r>
      <w:tr>
        <w:trPr>
          <w:trHeight w:val="263"/>
        </w:trPr>
        <w:tc>
          <w:tcPr>
            <w:tcW w:w="6080" w:type="dxa"/>
            <w:vAlign w:val="bottom"/>
          </w:tcPr>
          <w:p>
            <w:pPr>
              <w:ind w:left="180"/>
              <w:spacing w:after="0"/>
              <w:rPr>
                <w:sz w:val="20"/>
                <w:szCs w:val="20"/>
                <w:color w:val="auto"/>
              </w:rPr>
            </w:pPr>
            <w:r>
              <w:rPr>
                <w:rFonts w:ascii="Verdana" w:cs="Verdana" w:eastAsia="Verdana" w:hAnsi="Verdana"/>
                <w:sz w:val="18"/>
                <w:szCs w:val="18"/>
                <w:color w:val="auto"/>
              </w:rPr>
              <w:t>Acquisition and other restructuring expenses</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408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2"/>
              <w:spacing w:after="0"/>
              <w:rPr>
                <w:sz w:val="20"/>
                <w:szCs w:val="20"/>
                <w:color w:val="auto"/>
              </w:rPr>
            </w:pPr>
            <w:r>
              <w:rPr>
                <w:rFonts w:ascii="Verdana" w:cs="Verdana" w:eastAsia="Verdana" w:hAnsi="Verdana"/>
                <w:sz w:val="18"/>
                <w:szCs w:val="18"/>
                <w:color w:val="auto"/>
              </w:rPr>
              <w:t>—</w:t>
            </w:r>
          </w:p>
        </w:tc>
      </w:tr>
      <w:tr>
        <w:trPr>
          <w:trHeight w:val="277"/>
        </w:trPr>
        <w:tc>
          <w:tcPr>
            <w:tcW w:w="6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Provision for unfunded commitments</w:t>
            </w:r>
          </w:p>
        </w:tc>
        <w:tc>
          <w:tcPr>
            <w:tcW w:w="17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33"/>
              <w:spacing w:after="0"/>
              <w:rPr>
                <w:sz w:val="20"/>
                <w:szCs w:val="20"/>
                <w:color w:val="auto"/>
              </w:rPr>
            </w:pPr>
            <w:r>
              <w:rPr>
                <w:rFonts w:ascii="Verdana" w:cs="Verdana" w:eastAsia="Verdana" w:hAnsi="Verdana"/>
                <w:sz w:val="18"/>
                <w:szCs w:val="18"/>
                <w:color w:val="auto"/>
              </w:rPr>
              <w:t>(678)</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32"/>
              <w:spacing w:after="0"/>
              <w:rPr>
                <w:sz w:val="20"/>
                <w:szCs w:val="20"/>
                <w:color w:val="auto"/>
              </w:rPr>
            </w:pPr>
            <w:r>
              <w:rPr>
                <w:rFonts w:ascii="Verdana" w:cs="Verdana" w:eastAsia="Verdana" w:hAnsi="Verdana"/>
                <w:sz w:val="18"/>
                <w:szCs w:val="18"/>
                <w:color w:val="auto"/>
              </w:rPr>
              <w:t>(635)</w:t>
            </w:r>
          </w:p>
        </w:tc>
      </w:tr>
      <w:tr>
        <w:trPr>
          <w:trHeight w:val="263"/>
        </w:trPr>
        <w:tc>
          <w:tcPr>
            <w:tcW w:w="6080" w:type="dxa"/>
            <w:vAlign w:val="bottom"/>
          </w:tcPr>
          <w:p>
            <w:pPr>
              <w:ind w:left="180"/>
              <w:spacing w:after="0"/>
              <w:rPr>
                <w:sz w:val="20"/>
                <w:szCs w:val="20"/>
                <w:color w:val="auto"/>
              </w:rPr>
            </w:pPr>
            <w:r>
              <w:rPr>
                <w:rFonts w:ascii="Verdana" w:cs="Verdana" w:eastAsia="Verdana" w:hAnsi="Verdana"/>
                <w:sz w:val="18"/>
                <w:szCs w:val="18"/>
                <w:color w:val="auto"/>
              </w:rPr>
              <w:t>Amortization of NMTC</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jc w:val="right"/>
              <w:ind w:right="380"/>
              <w:spacing w:after="0"/>
              <w:rPr>
                <w:sz w:val="20"/>
                <w:szCs w:val="20"/>
                <w:color w:val="auto"/>
              </w:rPr>
            </w:pPr>
            <w:r>
              <w:rPr>
                <w:rFonts w:ascii="Verdana" w:cs="Verdana" w:eastAsia="Verdana" w:hAnsi="Verdana"/>
                <w:sz w:val="18"/>
                <w:szCs w:val="18"/>
                <w:color w:val="auto"/>
              </w:rPr>
              <w:t>—</w:t>
            </w:r>
          </w:p>
        </w:tc>
        <w:tc>
          <w:tcPr>
            <w:tcW w:w="240" w:type="dxa"/>
            <w:vAlign w:val="bottom"/>
          </w:tcPr>
          <w:p>
            <w:pPr>
              <w:spacing w:after="0"/>
              <w:rPr>
                <w:sz w:val="22"/>
                <w:szCs w:val="22"/>
                <w:color w:val="auto"/>
              </w:rPr>
            </w:pPr>
          </w:p>
        </w:tc>
        <w:tc>
          <w:tcPr>
            <w:tcW w:w="1440" w:type="dxa"/>
            <w:vAlign w:val="bottom"/>
          </w:tcPr>
          <w:p>
            <w:pPr>
              <w:jc w:val="right"/>
              <w:ind w:right="192"/>
              <w:spacing w:after="0"/>
              <w:rPr>
                <w:sz w:val="20"/>
                <w:szCs w:val="20"/>
                <w:color w:val="auto"/>
              </w:rPr>
            </w:pPr>
            <w:r>
              <w:rPr>
                <w:rFonts w:ascii="Verdana" w:cs="Verdana" w:eastAsia="Verdana" w:hAnsi="Verdana"/>
                <w:sz w:val="18"/>
                <w:szCs w:val="18"/>
                <w:color w:val="auto"/>
              </w:rPr>
              <w:t>2,221</w:t>
            </w:r>
          </w:p>
        </w:tc>
      </w:tr>
      <w:tr>
        <w:trPr>
          <w:trHeight w:val="270"/>
        </w:trPr>
        <w:tc>
          <w:tcPr>
            <w:tcW w:w="6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Gain on sale of mortgage service rights</w:t>
            </w:r>
          </w:p>
        </w:tc>
        <w:tc>
          <w:tcPr>
            <w:tcW w:w="17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440" w:type="dxa"/>
            <w:vAlign w:val="bottom"/>
            <w:tcBorders>
              <w:bottom w:val="single" w:sz="8" w:color="auto"/>
            </w:tcBorders>
            <w:shd w:val="clear" w:color="auto" w:fill="E0E7ED"/>
          </w:tcPr>
          <w:p>
            <w:pPr>
              <w:jc w:val="right"/>
              <w:ind w:right="133"/>
              <w:spacing w:after="0"/>
              <w:rPr>
                <w:sz w:val="20"/>
                <w:szCs w:val="20"/>
                <w:color w:val="auto"/>
              </w:rPr>
            </w:pPr>
            <w:r>
              <w:rPr>
                <w:rFonts w:ascii="Verdana" w:cs="Verdana" w:eastAsia="Verdana" w:hAnsi="Verdana"/>
                <w:sz w:val="18"/>
                <w:szCs w:val="18"/>
                <w:color w:val="auto"/>
              </w:rPr>
              <w:t>(7,465)</w:t>
            </w:r>
          </w:p>
        </w:tc>
        <w:tc>
          <w:tcPr>
            <w:tcW w:w="1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44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w:t>
            </w:r>
          </w:p>
        </w:tc>
      </w:tr>
      <w:tr>
        <w:trPr>
          <w:trHeight w:val="270"/>
        </w:trPr>
        <w:tc>
          <w:tcPr>
            <w:tcW w:w="6080" w:type="dxa"/>
            <w:vAlign w:val="bottom"/>
          </w:tcPr>
          <w:p>
            <w:pPr>
              <w:ind w:left="20"/>
              <w:spacing w:after="0"/>
              <w:rPr>
                <w:sz w:val="20"/>
                <w:szCs w:val="20"/>
                <w:color w:val="auto"/>
              </w:rPr>
            </w:pPr>
            <w:r>
              <w:rPr>
                <w:rFonts w:ascii="Verdana" w:cs="Verdana" w:eastAsia="Verdana" w:hAnsi="Verdana"/>
                <w:sz w:val="18"/>
                <w:szCs w:val="18"/>
                <w:color w:val="auto"/>
              </w:rPr>
              <w:t>Adjusted pre-provision net revenue</w:t>
            </w:r>
          </w:p>
        </w:tc>
        <w:tc>
          <w:tcPr>
            <w:tcW w:w="1700" w:type="dxa"/>
            <w:vAlign w:val="bottom"/>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w w:val="86"/>
              </w:rPr>
              <w:t>$</w:t>
            </w:r>
          </w:p>
        </w:tc>
        <w:tc>
          <w:tcPr>
            <w:tcW w:w="144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38,638</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w w:val="86"/>
              </w:rPr>
              <w:t>$</w:t>
            </w:r>
          </w:p>
        </w:tc>
        <w:tc>
          <w:tcPr>
            <w:tcW w:w="144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49,504</w:t>
            </w:r>
          </w:p>
        </w:tc>
      </w:tr>
      <w:tr>
        <w:trPr>
          <w:trHeight w:val="20"/>
        </w:trPr>
        <w:tc>
          <w:tcPr>
            <w:tcW w:w="6080" w:type="dxa"/>
            <w:vAlign w:val="bottom"/>
            <w:tcBorders>
              <w:bottom w:val="single" w:sz="8" w:color="E0E7ED"/>
            </w:tcBorders>
          </w:tcPr>
          <w:p>
            <w:pPr>
              <w:spacing w:after="0" w:line="20" w:lineRule="exact"/>
              <w:rPr>
                <w:sz w:val="1"/>
                <w:szCs w:val="1"/>
                <w:color w:val="auto"/>
              </w:rPr>
            </w:pPr>
          </w:p>
        </w:tc>
        <w:tc>
          <w:tcPr>
            <w:tcW w:w="170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6080" w:type="dxa"/>
            <w:vAlign w:val="bottom"/>
            <w:shd w:val="clear" w:color="auto" w:fill="E0E7ED"/>
          </w:tcPr>
          <w:p>
            <w:pPr>
              <w:spacing w:after="0"/>
              <w:rPr>
                <w:sz w:val="20"/>
                <w:szCs w:val="20"/>
                <w:color w:val="auto"/>
              </w:rPr>
            </w:pPr>
          </w:p>
        </w:tc>
        <w:tc>
          <w:tcPr>
            <w:tcW w:w="17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4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440" w:type="dxa"/>
            <w:vAlign w:val="bottom"/>
            <w:shd w:val="clear" w:color="auto" w:fill="E0E7ED"/>
          </w:tcPr>
          <w:p>
            <w:pPr>
              <w:spacing w:after="0"/>
              <w:rPr>
                <w:sz w:val="20"/>
                <w:szCs w:val="20"/>
                <w:color w:val="auto"/>
              </w:rPr>
            </w:pPr>
          </w:p>
        </w:tc>
      </w:tr>
      <w:tr>
        <w:trPr>
          <w:trHeight w:val="263"/>
        </w:trPr>
        <w:tc>
          <w:tcPr>
            <w:tcW w:w="6080" w:type="dxa"/>
            <w:vAlign w:val="bottom"/>
          </w:tcPr>
          <w:p>
            <w:pPr>
              <w:ind w:left="20"/>
              <w:spacing w:after="0"/>
              <w:rPr>
                <w:sz w:val="20"/>
                <w:szCs w:val="20"/>
                <w:color w:val="auto"/>
              </w:rPr>
            </w:pPr>
            <w:r>
              <w:rPr>
                <w:rFonts w:ascii="Verdana" w:cs="Verdana" w:eastAsia="Verdana" w:hAnsi="Verdana"/>
                <w:sz w:val="18"/>
                <w:szCs w:val="18"/>
                <w:color w:val="auto"/>
              </w:rPr>
              <w:t>Pre-provision net revenue, annualized</w:t>
            </w:r>
          </w:p>
        </w:tc>
        <w:tc>
          <w:tcPr>
            <w:tcW w:w="1700" w:type="dxa"/>
            <w:vAlign w:val="bottom"/>
          </w:tcPr>
          <w:p>
            <w:pPr>
              <w:ind w:left="920"/>
              <w:spacing w:after="0"/>
              <w:rPr>
                <w:sz w:val="20"/>
                <w:szCs w:val="20"/>
                <w:color w:val="auto"/>
              </w:rPr>
            </w:pPr>
            <w:r>
              <w:rPr>
                <w:rFonts w:ascii="Verdana" w:cs="Verdana" w:eastAsia="Verdana" w:hAnsi="Verdana"/>
                <w:sz w:val="18"/>
                <w:szCs w:val="18"/>
                <w:color w:val="auto"/>
              </w:rPr>
              <w:t>[a]</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186,511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440" w:type="dxa"/>
            <w:vAlign w:val="bottom"/>
          </w:tcPr>
          <w:p>
            <w:pPr>
              <w:jc w:val="right"/>
              <w:ind w:right="192"/>
              <w:spacing w:after="0"/>
              <w:rPr>
                <w:sz w:val="20"/>
                <w:szCs w:val="20"/>
                <w:color w:val="auto"/>
              </w:rPr>
            </w:pPr>
            <w:r>
              <w:rPr>
                <w:rFonts w:ascii="Verdana" w:cs="Verdana" w:eastAsia="Verdana" w:hAnsi="Verdana"/>
                <w:sz w:val="18"/>
                <w:szCs w:val="18"/>
                <w:color w:val="auto"/>
              </w:rPr>
              <w:t>194,334</w:t>
            </w:r>
          </w:p>
        </w:tc>
      </w:tr>
      <w:tr>
        <w:trPr>
          <w:trHeight w:val="277"/>
        </w:trPr>
        <w:tc>
          <w:tcPr>
            <w:tcW w:w="60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pre-provision net revenue, annualized</w:t>
            </w:r>
          </w:p>
        </w:tc>
        <w:tc>
          <w:tcPr>
            <w:tcW w:w="1700" w:type="dxa"/>
            <w:vAlign w:val="bottom"/>
            <w:shd w:val="clear" w:color="auto" w:fill="E0E7ED"/>
          </w:tcPr>
          <w:p>
            <w:pPr>
              <w:ind w:left="920"/>
              <w:spacing w:after="0"/>
              <w:rPr>
                <w:sz w:val="20"/>
                <w:szCs w:val="20"/>
                <w:color w:val="auto"/>
              </w:rPr>
            </w:pPr>
            <w:r>
              <w:rPr>
                <w:rFonts w:ascii="Verdana" w:cs="Verdana" w:eastAsia="Verdana" w:hAnsi="Verdana"/>
                <w:sz w:val="18"/>
                <w:szCs w:val="18"/>
                <w:color w:val="auto"/>
              </w:rPr>
              <w:t>[b]</w:t>
            </w: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155,401</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200,766</w:t>
            </w:r>
          </w:p>
        </w:tc>
      </w:tr>
      <w:tr>
        <w:trPr>
          <w:trHeight w:val="263"/>
        </w:trPr>
        <w:tc>
          <w:tcPr>
            <w:tcW w:w="6080" w:type="dxa"/>
            <w:vAlign w:val="bottom"/>
          </w:tcPr>
          <w:p>
            <w:pPr>
              <w:ind w:left="20"/>
              <w:spacing w:after="0"/>
              <w:rPr>
                <w:sz w:val="20"/>
                <w:szCs w:val="20"/>
                <w:color w:val="auto"/>
              </w:rPr>
            </w:pPr>
            <w:r>
              <w:rPr>
                <w:rFonts w:ascii="Verdana" w:cs="Verdana" w:eastAsia="Verdana" w:hAnsi="Verdana"/>
                <w:sz w:val="18"/>
                <w:szCs w:val="18"/>
                <w:color w:val="auto"/>
              </w:rPr>
              <w:t>Average total assets</w:t>
            </w:r>
          </w:p>
        </w:tc>
        <w:tc>
          <w:tcPr>
            <w:tcW w:w="1700" w:type="dxa"/>
            <w:vAlign w:val="bottom"/>
          </w:tcPr>
          <w:p>
            <w:pPr>
              <w:ind w:left="920"/>
              <w:spacing w:after="0"/>
              <w:rPr>
                <w:sz w:val="20"/>
                <w:szCs w:val="20"/>
                <w:color w:val="auto"/>
              </w:rPr>
            </w:pPr>
            <w:r>
              <w:rPr>
                <w:rFonts w:ascii="Verdana" w:cs="Verdana" w:eastAsia="Verdana" w:hAnsi="Verdana"/>
                <w:sz w:val="18"/>
                <w:szCs w:val="18"/>
                <w:color w:val="auto"/>
              </w:rPr>
              <w:t>[c]</w:t>
            </w:r>
          </w:p>
        </w:tc>
        <w:tc>
          <w:tcPr>
            <w:tcW w:w="24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12,024,208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2"/>
              <w:spacing w:after="0"/>
              <w:rPr>
                <w:sz w:val="20"/>
                <w:szCs w:val="20"/>
                <w:color w:val="auto"/>
              </w:rPr>
            </w:pPr>
            <w:r>
              <w:rPr>
                <w:rFonts w:ascii="Verdana" w:cs="Verdana" w:eastAsia="Verdana" w:hAnsi="Verdana"/>
                <w:sz w:val="18"/>
                <w:szCs w:val="18"/>
                <w:color w:val="auto"/>
              </w:rPr>
              <w:t>12,263,718</w:t>
            </w:r>
          </w:p>
        </w:tc>
      </w:tr>
      <w:tr>
        <w:trPr>
          <w:trHeight w:val="277"/>
        </w:trPr>
        <w:tc>
          <w:tcPr>
            <w:tcW w:w="6080" w:type="dxa"/>
            <w:vAlign w:val="bottom"/>
            <w:shd w:val="clear" w:color="auto" w:fill="E0E7ED"/>
          </w:tcPr>
          <w:p>
            <w:pPr>
              <w:spacing w:after="0"/>
              <w:rPr>
                <w:sz w:val="24"/>
                <w:szCs w:val="24"/>
                <w:color w:val="auto"/>
              </w:rPr>
            </w:pPr>
          </w:p>
        </w:tc>
        <w:tc>
          <w:tcPr>
            <w:tcW w:w="17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r>
      <w:tr>
        <w:trPr>
          <w:trHeight w:val="263"/>
        </w:trPr>
        <w:tc>
          <w:tcPr>
            <w:tcW w:w="608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Pre-provision net revenue to average assets</w:t>
            </w:r>
            <w:r>
              <w:rPr>
                <w:rFonts w:ascii="Verdana" w:cs="Verdana" w:eastAsia="Verdana" w:hAnsi="Verdana"/>
                <w:sz w:val="11"/>
                <w:szCs w:val="11"/>
                <w:color w:val="auto"/>
              </w:rPr>
              <w:t>1</w:t>
            </w:r>
          </w:p>
        </w:tc>
        <w:tc>
          <w:tcPr>
            <w:tcW w:w="1700" w:type="dxa"/>
            <w:vAlign w:val="bottom"/>
          </w:tcPr>
          <w:p>
            <w:pPr>
              <w:ind w:left="920"/>
              <w:spacing w:after="0"/>
              <w:rPr>
                <w:sz w:val="20"/>
                <w:szCs w:val="20"/>
                <w:color w:val="auto"/>
              </w:rPr>
            </w:pPr>
            <w:r>
              <w:rPr>
                <w:rFonts w:ascii="Verdana" w:cs="Verdana" w:eastAsia="Verdana" w:hAnsi="Verdana"/>
                <w:sz w:val="18"/>
                <w:szCs w:val="18"/>
                <w:color w:val="auto"/>
              </w:rPr>
              <w:t>[a÷c]</w:t>
            </w: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1.55 %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1.58 %</w:t>
            </w:r>
          </w:p>
        </w:tc>
      </w:tr>
      <w:tr>
        <w:trPr>
          <w:trHeight w:val="277"/>
        </w:trPr>
        <w:tc>
          <w:tcPr>
            <w:tcW w:w="60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Pre-provision net revenue to average assets</w:t>
            </w:r>
            <w:r>
              <w:rPr>
                <w:rFonts w:ascii="Verdana" w:cs="Verdana" w:eastAsia="Verdana" w:hAnsi="Verdana"/>
                <w:sz w:val="11"/>
                <w:szCs w:val="11"/>
                <w:color w:val="auto"/>
              </w:rPr>
              <w:t>1</w:t>
            </w:r>
          </w:p>
        </w:tc>
        <w:tc>
          <w:tcPr>
            <w:tcW w:w="1700" w:type="dxa"/>
            <w:vAlign w:val="bottom"/>
            <w:shd w:val="clear" w:color="auto" w:fill="E0E7ED"/>
          </w:tcPr>
          <w:p>
            <w:pPr>
              <w:ind w:left="920"/>
              <w:spacing w:after="0"/>
              <w:rPr>
                <w:sz w:val="20"/>
                <w:szCs w:val="20"/>
                <w:color w:val="auto"/>
              </w:rPr>
            </w:pPr>
            <w:r>
              <w:rPr>
                <w:rFonts w:ascii="Verdana" w:cs="Verdana" w:eastAsia="Verdana" w:hAnsi="Verdana"/>
                <w:sz w:val="18"/>
                <w:szCs w:val="18"/>
                <w:color w:val="auto"/>
              </w:rPr>
              <w:t>[b÷c]</w:t>
            </w: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1.29 %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1.64 %</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23"/>
        </w:numPr>
        <w:rPr>
          <w:rFonts w:ascii="Verdana" w:cs="Verdana" w:eastAsia="Verdana" w:hAnsi="Verdana"/>
          <w:sz w:val="13"/>
          <w:szCs w:val="13"/>
          <w:color w:val="auto"/>
        </w:rPr>
      </w:pPr>
      <w:r>
        <w:rPr>
          <w:rFonts w:ascii="Verdana" w:cs="Verdana" w:eastAsia="Verdana" w:hAnsi="Verdana"/>
          <w:sz w:val="13"/>
          <w:szCs w:val="13"/>
          <w:color w:val="auto"/>
        </w:rPr>
        <w:t>Annualized measure.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6" w:name="page87"/>
    <w:bookmarkEnd w:id="8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3" w:lineRule="exact"/>
        <w:rPr>
          <w:sz w:val="20"/>
          <w:szCs w:val="20"/>
          <w:color w:val="auto"/>
        </w:rPr>
      </w:pPr>
    </w:p>
    <w:p>
      <w:pPr>
        <w:jc w:val="center"/>
        <w:spacing w:after="0" w:line="245" w:lineRule="auto"/>
        <w:rPr>
          <w:sz w:val="20"/>
          <w:szCs w:val="20"/>
          <w:color w:val="auto"/>
        </w:rPr>
      </w:pPr>
      <w:r>
        <w:rPr>
          <w:rFonts w:ascii="Verdana" w:cs="Verdana" w:eastAsia="Verdana" w:hAnsi="Verdana"/>
          <w:sz w:val="18"/>
          <w:szCs w:val="18"/>
          <w:b w:val="1"/>
          <w:bCs w:val="1"/>
          <w:color w:val="auto"/>
        </w:rPr>
        <w:t>Adjusted Net Income, Adjusted Diluted Earnings Per Share, Adjusted Return on Average Assets, Average Tangible Common Equity, Return on Average Tangible Common Equity, and Adjusted Return on Average Tangible Common Equity</w:t>
      </w:r>
    </w:p>
    <w:p>
      <w:pPr>
        <w:spacing w:after="0" w:line="32"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511"/>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6540" w:type="dxa"/>
            <w:vAlign w:val="bottom"/>
            <w:tcBorders>
              <w:bottom w:val="single" w:sz="8" w:color="E0E7ED"/>
            </w:tcBorders>
          </w:tcPr>
          <w:p>
            <w:pPr>
              <w:spacing w:after="0"/>
              <w:rPr>
                <w:sz w:val="14"/>
                <w:szCs w:val="14"/>
                <w:color w:val="auto"/>
              </w:rPr>
            </w:pPr>
          </w:p>
        </w:tc>
        <w:tc>
          <w:tcPr>
            <w:tcW w:w="132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53"/>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51"/>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65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INCOME ADJUSTED FOR NON-OPERATING ITEMS</w:t>
            </w:r>
          </w:p>
        </w:tc>
        <w:tc>
          <w:tcPr>
            <w:tcW w:w="132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4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420" w:type="dxa"/>
            <w:vAlign w:val="bottom"/>
            <w:shd w:val="clear" w:color="auto" w:fill="E0E7ED"/>
          </w:tcPr>
          <w:p>
            <w:pPr>
              <w:spacing w:after="0"/>
              <w:rPr>
                <w:sz w:val="22"/>
                <w:szCs w:val="22"/>
                <w:color w:val="auto"/>
              </w:rPr>
            </w:pPr>
          </w:p>
        </w:tc>
      </w:tr>
      <w:tr>
        <w:trPr>
          <w:trHeight w:val="263"/>
        </w:trPr>
        <w:tc>
          <w:tcPr>
            <w:tcW w:w="6540" w:type="dxa"/>
            <w:vAlign w:val="bottom"/>
          </w:tcPr>
          <w:p>
            <w:pPr>
              <w:ind w:left="20"/>
              <w:spacing w:after="0"/>
              <w:rPr>
                <w:sz w:val="20"/>
                <w:szCs w:val="20"/>
                <w:color w:val="auto"/>
              </w:rPr>
            </w:pPr>
            <w:r>
              <w:rPr>
                <w:rFonts w:ascii="Verdana" w:cs="Verdana" w:eastAsia="Verdana" w:hAnsi="Verdana"/>
                <w:sz w:val="18"/>
                <w:szCs w:val="18"/>
                <w:b w:val="1"/>
                <w:bCs w:val="1"/>
                <w:color w:val="auto"/>
              </w:rPr>
              <w:t>Net income</w:t>
            </w:r>
          </w:p>
        </w:tc>
        <w:tc>
          <w:tcPr>
            <w:tcW w:w="1320" w:type="dxa"/>
            <w:vAlign w:val="bottom"/>
          </w:tcPr>
          <w:p>
            <w:pPr>
              <w:ind w:left="540"/>
              <w:spacing w:after="0"/>
              <w:rPr>
                <w:sz w:val="20"/>
                <w:szCs w:val="20"/>
                <w:color w:val="auto"/>
              </w:rPr>
            </w:pPr>
            <w:r>
              <w:rPr>
                <w:rFonts w:ascii="Verdana" w:cs="Verdana" w:eastAsia="Verdana" w:hAnsi="Verdana"/>
                <w:sz w:val="18"/>
                <w:szCs w:val="18"/>
                <w:color w:val="auto"/>
              </w:rPr>
              <w:t>[a]</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26,225</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420" w:type="dxa"/>
            <w:vAlign w:val="bottom"/>
          </w:tcPr>
          <w:p>
            <w:pPr>
              <w:jc w:val="right"/>
              <w:ind w:right="191"/>
              <w:spacing w:after="0"/>
              <w:rPr>
                <w:sz w:val="20"/>
                <w:szCs w:val="20"/>
                <w:color w:val="auto"/>
              </w:rPr>
            </w:pPr>
            <w:r>
              <w:rPr>
                <w:rFonts w:ascii="Verdana" w:cs="Verdana" w:eastAsia="Verdana" w:hAnsi="Verdana"/>
                <w:sz w:val="18"/>
                <w:szCs w:val="18"/>
                <w:color w:val="auto"/>
              </w:rPr>
              <w:t>36,786</w:t>
            </w:r>
          </w:p>
        </w:tc>
      </w:tr>
      <w:tr>
        <w:trPr>
          <w:trHeight w:val="277"/>
        </w:trPr>
        <w:tc>
          <w:tcPr>
            <w:tcW w:w="65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Non-GAAP adjustments:</w:t>
            </w:r>
          </w:p>
        </w:tc>
        <w:tc>
          <w:tcPr>
            <w:tcW w:w="13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r>
      <w:tr>
        <w:trPr>
          <w:trHeight w:val="263"/>
        </w:trPr>
        <w:tc>
          <w:tcPr>
            <w:tcW w:w="6540" w:type="dxa"/>
            <w:vAlign w:val="bottom"/>
          </w:tcPr>
          <w:p>
            <w:pPr>
              <w:ind w:left="180"/>
              <w:spacing w:after="0"/>
              <w:rPr>
                <w:sz w:val="20"/>
                <w:szCs w:val="20"/>
                <w:color w:val="auto"/>
              </w:rPr>
            </w:pPr>
            <w:r>
              <w:rPr>
                <w:rFonts w:ascii="Verdana" w:cs="Verdana" w:eastAsia="Verdana" w:hAnsi="Verdana"/>
                <w:sz w:val="18"/>
                <w:szCs w:val="18"/>
                <w:color w:val="auto"/>
              </w:rPr>
              <w:t>Acquisition expenses:</w:t>
            </w: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65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Data processing</w:t>
            </w:r>
          </w:p>
        </w:tc>
        <w:tc>
          <w:tcPr>
            <w:tcW w:w="13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100</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w:t>
            </w:r>
          </w:p>
        </w:tc>
      </w:tr>
      <w:tr>
        <w:trPr>
          <w:trHeight w:val="263"/>
        </w:trPr>
        <w:tc>
          <w:tcPr>
            <w:tcW w:w="6540" w:type="dxa"/>
            <w:vAlign w:val="bottom"/>
          </w:tcPr>
          <w:p>
            <w:pPr>
              <w:ind w:left="360"/>
              <w:spacing w:after="0"/>
              <w:rPr>
                <w:sz w:val="20"/>
                <w:szCs w:val="20"/>
                <w:color w:val="auto"/>
              </w:rPr>
            </w:pPr>
            <w:r>
              <w:rPr>
                <w:rFonts w:ascii="Verdana" w:cs="Verdana" w:eastAsia="Verdana" w:hAnsi="Verdana"/>
                <w:sz w:val="18"/>
                <w:szCs w:val="18"/>
                <w:color w:val="auto"/>
              </w:rPr>
              <w:t>Professional fees, occupancy, furniture and fixtures, and other</w:t>
            </w: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185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1"/>
              <w:spacing w:after="0"/>
              <w:rPr>
                <w:sz w:val="20"/>
                <w:szCs w:val="20"/>
                <w:color w:val="auto"/>
              </w:rPr>
            </w:pPr>
            <w:r>
              <w:rPr>
                <w:rFonts w:ascii="Verdana" w:cs="Verdana" w:eastAsia="Verdana" w:hAnsi="Verdana"/>
                <w:sz w:val="18"/>
                <w:szCs w:val="18"/>
                <w:color w:val="auto"/>
              </w:rPr>
              <w:t>—</w:t>
            </w:r>
          </w:p>
        </w:tc>
      </w:tr>
      <w:tr>
        <w:trPr>
          <w:trHeight w:val="277"/>
        </w:trPr>
        <w:tc>
          <w:tcPr>
            <w:tcW w:w="65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 restructuring expenses:</w:t>
            </w:r>
          </w:p>
        </w:tc>
        <w:tc>
          <w:tcPr>
            <w:tcW w:w="13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r>
      <w:tr>
        <w:trPr>
          <w:trHeight w:val="263"/>
        </w:trPr>
        <w:tc>
          <w:tcPr>
            <w:tcW w:w="6540" w:type="dxa"/>
            <w:vAlign w:val="bottom"/>
          </w:tcPr>
          <w:p>
            <w:pPr>
              <w:ind w:left="360"/>
              <w:spacing w:after="0"/>
              <w:rPr>
                <w:sz w:val="20"/>
                <w:szCs w:val="20"/>
                <w:color w:val="auto"/>
              </w:rPr>
            </w:pPr>
            <w:r>
              <w:rPr>
                <w:rFonts w:ascii="Verdana" w:cs="Verdana" w:eastAsia="Verdana" w:hAnsi="Verdana"/>
                <w:sz w:val="18"/>
                <w:szCs w:val="18"/>
                <w:color w:val="auto"/>
              </w:rPr>
              <w:t>Salaries, wages, and employee benefits</w:t>
            </w: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123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1"/>
              <w:spacing w:after="0"/>
              <w:rPr>
                <w:sz w:val="20"/>
                <w:szCs w:val="20"/>
                <w:color w:val="auto"/>
              </w:rPr>
            </w:pPr>
            <w:r>
              <w:rPr>
                <w:rFonts w:ascii="Verdana" w:cs="Verdana" w:eastAsia="Verdana" w:hAnsi="Verdana"/>
                <w:sz w:val="18"/>
                <w:szCs w:val="18"/>
                <w:color w:val="auto"/>
              </w:rPr>
              <w:t>—</w:t>
            </w:r>
          </w:p>
        </w:tc>
      </w:tr>
      <w:tr>
        <w:trPr>
          <w:trHeight w:val="270"/>
        </w:trPr>
        <w:tc>
          <w:tcPr>
            <w:tcW w:w="65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Related tax benefit</w:t>
            </w:r>
            <w:r>
              <w:rPr>
                <w:rFonts w:ascii="Verdana" w:cs="Verdana" w:eastAsia="Verdana" w:hAnsi="Verdana"/>
                <w:sz w:val="11"/>
                <w:szCs w:val="11"/>
                <w:color w:val="auto"/>
              </w:rPr>
              <w:t>1</w:t>
            </w:r>
          </w:p>
        </w:tc>
        <w:tc>
          <w:tcPr>
            <w:tcW w:w="132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20" w:type="dxa"/>
            <w:vAlign w:val="bottom"/>
            <w:tcBorders>
              <w:bottom w:val="single" w:sz="8" w:color="auto"/>
            </w:tcBorders>
            <w:shd w:val="clear" w:color="auto" w:fill="E0E7ED"/>
          </w:tcPr>
          <w:p>
            <w:pPr>
              <w:jc w:val="right"/>
              <w:ind w:right="133"/>
              <w:spacing w:after="0"/>
              <w:rPr>
                <w:sz w:val="20"/>
                <w:szCs w:val="20"/>
                <w:color w:val="auto"/>
              </w:rPr>
            </w:pPr>
            <w:r>
              <w:rPr>
                <w:rFonts w:ascii="Verdana" w:cs="Verdana" w:eastAsia="Verdana" w:hAnsi="Verdana"/>
                <w:sz w:val="18"/>
                <w:szCs w:val="18"/>
                <w:color w:val="auto"/>
              </w:rPr>
              <w:t>(102)</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20" w:type="dxa"/>
            <w:vAlign w:val="bottom"/>
            <w:tcBorders>
              <w:bottom w:val="single" w:sz="8" w:color="auto"/>
            </w:tcBorders>
            <w:shd w:val="clear" w:color="auto" w:fill="E0E7ED"/>
          </w:tcPr>
          <w:p>
            <w:pPr>
              <w:jc w:val="right"/>
              <w:ind w:right="191"/>
              <w:spacing w:after="0"/>
              <w:rPr>
                <w:sz w:val="20"/>
                <w:szCs w:val="20"/>
                <w:color w:val="auto"/>
              </w:rPr>
            </w:pPr>
            <w:r>
              <w:rPr>
                <w:rFonts w:ascii="Verdana" w:cs="Verdana" w:eastAsia="Verdana" w:hAnsi="Verdana"/>
                <w:sz w:val="18"/>
                <w:szCs w:val="18"/>
                <w:color w:val="auto"/>
              </w:rPr>
              <w:t>—</w:t>
            </w:r>
          </w:p>
        </w:tc>
      </w:tr>
      <w:tr>
        <w:trPr>
          <w:trHeight w:val="270"/>
        </w:trPr>
        <w:tc>
          <w:tcPr>
            <w:tcW w:w="6540" w:type="dxa"/>
            <w:vAlign w:val="bottom"/>
          </w:tcPr>
          <w:p>
            <w:pPr>
              <w:ind w:left="20"/>
              <w:spacing w:after="0"/>
              <w:rPr>
                <w:sz w:val="20"/>
                <w:szCs w:val="20"/>
                <w:color w:val="auto"/>
              </w:rPr>
            </w:pPr>
            <w:r>
              <w:rPr>
                <w:rFonts w:ascii="Verdana" w:cs="Verdana" w:eastAsia="Verdana" w:hAnsi="Verdana"/>
                <w:sz w:val="18"/>
                <w:szCs w:val="18"/>
                <w:color w:val="auto"/>
              </w:rPr>
              <w:t>Adjusted net income</w:t>
            </w:r>
          </w:p>
        </w:tc>
        <w:tc>
          <w:tcPr>
            <w:tcW w:w="1320" w:type="dxa"/>
            <w:vAlign w:val="bottom"/>
          </w:tcPr>
          <w:p>
            <w:pPr>
              <w:ind w:left="540"/>
              <w:spacing w:after="0"/>
              <w:rPr>
                <w:sz w:val="20"/>
                <w:szCs w:val="20"/>
                <w:color w:val="auto"/>
              </w:rPr>
            </w:pPr>
            <w:r>
              <w:rPr>
                <w:rFonts w:ascii="Verdana" w:cs="Verdana" w:eastAsia="Verdana" w:hAnsi="Verdana"/>
                <w:sz w:val="18"/>
                <w:szCs w:val="18"/>
                <w:color w:val="auto"/>
              </w:rPr>
              <w:t>[b]</w:t>
            </w:r>
          </w:p>
        </w:tc>
        <w:tc>
          <w:tcPr>
            <w:tcW w:w="22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w w:val="86"/>
              </w:rPr>
              <w:t>$</w:t>
            </w:r>
          </w:p>
        </w:tc>
        <w:tc>
          <w:tcPr>
            <w:tcW w:w="142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26,531</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w w:val="86"/>
              </w:rPr>
              <w:t>$</w:t>
            </w:r>
          </w:p>
        </w:tc>
        <w:tc>
          <w:tcPr>
            <w:tcW w:w="142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36,786</w:t>
            </w:r>
          </w:p>
        </w:tc>
      </w:tr>
      <w:tr>
        <w:trPr>
          <w:trHeight w:val="20"/>
        </w:trPr>
        <w:tc>
          <w:tcPr>
            <w:tcW w:w="6540" w:type="dxa"/>
            <w:vAlign w:val="bottom"/>
            <w:tcBorders>
              <w:bottom w:val="single" w:sz="8" w:color="E0E7ED"/>
            </w:tcBorders>
          </w:tcPr>
          <w:p>
            <w:pPr>
              <w:spacing w:after="0" w:line="20" w:lineRule="exact"/>
              <w:rPr>
                <w:sz w:val="1"/>
                <w:szCs w:val="1"/>
                <w:color w:val="auto"/>
              </w:rPr>
            </w:pPr>
          </w:p>
        </w:tc>
        <w:tc>
          <w:tcPr>
            <w:tcW w:w="132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6540" w:type="dxa"/>
            <w:vAlign w:val="bottom"/>
            <w:shd w:val="clear" w:color="auto" w:fill="E0E7ED"/>
          </w:tcPr>
          <w:p>
            <w:pPr>
              <w:spacing w:after="0"/>
              <w:rPr>
                <w:sz w:val="20"/>
                <w:szCs w:val="20"/>
                <w:color w:val="auto"/>
              </w:rPr>
            </w:pPr>
          </w:p>
        </w:tc>
        <w:tc>
          <w:tcPr>
            <w:tcW w:w="132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20" w:type="dxa"/>
            <w:vAlign w:val="bottom"/>
            <w:shd w:val="clear" w:color="auto" w:fill="E0E7ED"/>
          </w:tcPr>
          <w:p>
            <w:pPr>
              <w:spacing w:after="0"/>
              <w:rPr>
                <w:sz w:val="20"/>
                <w:szCs w:val="20"/>
                <w:color w:val="auto"/>
              </w:rPr>
            </w:pPr>
          </w:p>
        </w:tc>
      </w:tr>
      <w:tr>
        <w:trPr>
          <w:trHeight w:val="263"/>
        </w:trPr>
        <w:tc>
          <w:tcPr>
            <w:tcW w:w="6540" w:type="dxa"/>
            <w:vAlign w:val="bottom"/>
          </w:tcPr>
          <w:p>
            <w:pPr>
              <w:ind w:left="20"/>
              <w:spacing w:after="0"/>
              <w:rPr>
                <w:sz w:val="20"/>
                <w:szCs w:val="20"/>
                <w:color w:val="auto"/>
              </w:rPr>
            </w:pPr>
            <w:r>
              <w:rPr>
                <w:rFonts w:ascii="Verdana" w:cs="Verdana" w:eastAsia="Verdana" w:hAnsi="Verdana"/>
                <w:sz w:val="18"/>
                <w:szCs w:val="18"/>
                <w:b w:val="1"/>
                <w:bCs w:val="1"/>
                <w:color w:val="auto"/>
              </w:rPr>
              <w:t>DILUTED EARNINGS PER SHARE</w:t>
            </w: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65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Diluted average common shares outstanding</w:t>
            </w:r>
          </w:p>
        </w:tc>
        <w:tc>
          <w:tcPr>
            <w:tcW w:w="1320" w:type="dxa"/>
            <w:vAlign w:val="bottom"/>
            <w:shd w:val="clear" w:color="auto" w:fill="E0E7ED"/>
          </w:tcPr>
          <w:p>
            <w:pPr>
              <w:ind w:left="540"/>
              <w:spacing w:after="0"/>
              <w:rPr>
                <w:sz w:val="20"/>
                <w:szCs w:val="20"/>
                <w:color w:val="auto"/>
              </w:rPr>
            </w:pPr>
            <w:r>
              <w:rPr>
                <w:rFonts w:ascii="Verdana" w:cs="Verdana" w:eastAsia="Verdana" w:hAnsi="Verdana"/>
                <w:sz w:val="18"/>
                <w:szCs w:val="18"/>
                <w:color w:val="auto"/>
              </w:rPr>
              <w:t>[c]</w:t>
            </w: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56,406,500</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56,179,606</w:t>
            </w:r>
          </w:p>
        </w:tc>
      </w:tr>
      <w:tr>
        <w:trPr>
          <w:trHeight w:val="270"/>
        </w:trPr>
        <w:tc>
          <w:tcPr>
            <w:tcW w:w="65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65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Diluted earnings per share</w:t>
            </w:r>
          </w:p>
        </w:tc>
        <w:tc>
          <w:tcPr>
            <w:tcW w:w="1320" w:type="dxa"/>
            <w:vAlign w:val="bottom"/>
            <w:shd w:val="clear" w:color="auto" w:fill="E0E7ED"/>
          </w:tcPr>
          <w:p>
            <w:pPr>
              <w:ind w:left="540"/>
              <w:spacing w:after="0"/>
              <w:rPr>
                <w:sz w:val="20"/>
                <w:szCs w:val="20"/>
                <w:color w:val="auto"/>
              </w:rPr>
            </w:pPr>
            <w:r>
              <w:rPr>
                <w:rFonts w:ascii="Verdana" w:cs="Verdana" w:eastAsia="Verdana" w:hAnsi="Verdana"/>
                <w:sz w:val="18"/>
                <w:szCs w:val="18"/>
                <w:color w:val="auto"/>
              </w:rPr>
              <w:t>[a÷c]</w:t>
            </w:r>
          </w:p>
        </w:tc>
        <w:tc>
          <w:tcPr>
            <w:tcW w:w="220" w:type="dxa"/>
            <w:vAlign w:val="bottom"/>
            <w:shd w:val="clear" w:color="auto" w:fill="E0E7ED"/>
          </w:tcPr>
          <w:p>
            <w:pPr>
              <w:spacing w:after="0"/>
              <w:rPr>
                <w:sz w:val="23"/>
                <w:szCs w:val="23"/>
                <w:color w:val="auto"/>
              </w:rPr>
            </w:pP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0.46</w:t>
            </w: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42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0.65</w:t>
            </w:r>
          </w:p>
        </w:tc>
      </w:tr>
      <w:tr>
        <w:trPr>
          <w:trHeight w:val="263"/>
        </w:trPr>
        <w:tc>
          <w:tcPr>
            <w:tcW w:w="654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Diluted earnings per share</w:t>
            </w:r>
          </w:p>
        </w:tc>
        <w:tc>
          <w:tcPr>
            <w:tcW w:w="1320" w:type="dxa"/>
            <w:vAlign w:val="bottom"/>
          </w:tcPr>
          <w:p>
            <w:pPr>
              <w:ind w:left="540"/>
              <w:spacing w:after="0"/>
              <w:rPr>
                <w:sz w:val="20"/>
                <w:szCs w:val="20"/>
                <w:color w:val="auto"/>
              </w:rPr>
            </w:pPr>
            <w:r>
              <w:rPr>
                <w:rFonts w:ascii="Verdana" w:cs="Verdana" w:eastAsia="Verdana" w:hAnsi="Verdana"/>
                <w:sz w:val="18"/>
                <w:szCs w:val="18"/>
                <w:color w:val="auto"/>
              </w:rPr>
              <w:t>[b÷c]</w:t>
            </w:r>
          </w:p>
        </w:tc>
        <w:tc>
          <w:tcPr>
            <w:tcW w:w="22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0.47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1"/>
              <w:spacing w:after="0"/>
              <w:rPr>
                <w:sz w:val="20"/>
                <w:szCs w:val="20"/>
                <w:color w:val="auto"/>
              </w:rPr>
            </w:pPr>
            <w:r>
              <w:rPr>
                <w:rFonts w:ascii="Verdana" w:cs="Verdana" w:eastAsia="Verdana" w:hAnsi="Verdana"/>
                <w:sz w:val="18"/>
                <w:szCs w:val="18"/>
                <w:color w:val="auto"/>
              </w:rPr>
              <w:t>0.65</w:t>
            </w:r>
          </w:p>
        </w:tc>
      </w:tr>
      <w:tr>
        <w:trPr>
          <w:trHeight w:val="277"/>
        </w:trPr>
        <w:tc>
          <w:tcPr>
            <w:tcW w:w="654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r>
      <w:tr>
        <w:trPr>
          <w:trHeight w:val="263"/>
        </w:trPr>
        <w:tc>
          <w:tcPr>
            <w:tcW w:w="6540" w:type="dxa"/>
            <w:vAlign w:val="bottom"/>
          </w:tcPr>
          <w:p>
            <w:pPr>
              <w:ind w:left="20"/>
              <w:spacing w:after="0"/>
              <w:rPr>
                <w:sz w:val="20"/>
                <w:szCs w:val="20"/>
                <w:color w:val="auto"/>
              </w:rPr>
            </w:pPr>
            <w:r>
              <w:rPr>
                <w:rFonts w:ascii="Verdana" w:cs="Verdana" w:eastAsia="Verdana" w:hAnsi="Verdana"/>
                <w:sz w:val="18"/>
                <w:szCs w:val="18"/>
                <w:b w:val="1"/>
                <w:bCs w:val="1"/>
                <w:color w:val="auto"/>
              </w:rPr>
              <w:t>RETURN ON AVERAGE ASSETS</w:t>
            </w: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65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Net income, annualized</w:t>
            </w:r>
          </w:p>
        </w:tc>
        <w:tc>
          <w:tcPr>
            <w:tcW w:w="1320" w:type="dxa"/>
            <w:vAlign w:val="bottom"/>
            <w:shd w:val="clear" w:color="auto" w:fill="E0E7ED"/>
          </w:tcPr>
          <w:p>
            <w:pPr>
              <w:ind w:left="540"/>
              <w:spacing w:after="0"/>
              <w:rPr>
                <w:sz w:val="20"/>
                <w:szCs w:val="20"/>
                <w:color w:val="auto"/>
              </w:rPr>
            </w:pPr>
            <w:r>
              <w:rPr>
                <w:rFonts w:ascii="Verdana" w:cs="Verdana" w:eastAsia="Verdana" w:hAnsi="Verdana"/>
                <w:sz w:val="18"/>
                <w:szCs w:val="18"/>
                <w:color w:val="auto"/>
              </w:rPr>
              <w:t>[d]</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105,476</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2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149,188</w:t>
            </w:r>
          </w:p>
        </w:tc>
      </w:tr>
      <w:tr>
        <w:trPr>
          <w:trHeight w:val="263"/>
        </w:trPr>
        <w:tc>
          <w:tcPr>
            <w:tcW w:w="6540" w:type="dxa"/>
            <w:vAlign w:val="bottom"/>
          </w:tcPr>
          <w:p>
            <w:pPr>
              <w:ind w:left="20"/>
              <w:spacing w:after="0"/>
              <w:rPr>
                <w:sz w:val="20"/>
                <w:szCs w:val="20"/>
                <w:color w:val="auto"/>
              </w:rPr>
            </w:pPr>
            <w:r>
              <w:rPr>
                <w:rFonts w:ascii="Verdana" w:cs="Verdana" w:eastAsia="Verdana" w:hAnsi="Verdana"/>
                <w:sz w:val="18"/>
                <w:szCs w:val="18"/>
                <w:color w:val="auto"/>
              </w:rPr>
              <w:t>Adjusted net income, annualized</w:t>
            </w:r>
          </w:p>
        </w:tc>
        <w:tc>
          <w:tcPr>
            <w:tcW w:w="1320" w:type="dxa"/>
            <w:vAlign w:val="bottom"/>
          </w:tcPr>
          <w:p>
            <w:pPr>
              <w:ind w:left="540"/>
              <w:spacing w:after="0"/>
              <w:rPr>
                <w:sz w:val="20"/>
                <w:szCs w:val="20"/>
                <w:color w:val="auto"/>
              </w:rPr>
            </w:pPr>
            <w:r>
              <w:rPr>
                <w:rFonts w:ascii="Verdana" w:cs="Verdana" w:eastAsia="Verdana" w:hAnsi="Verdana"/>
                <w:sz w:val="18"/>
                <w:szCs w:val="18"/>
                <w:color w:val="auto"/>
              </w:rPr>
              <w:t>[e]</w:t>
            </w:r>
          </w:p>
        </w:tc>
        <w:tc>
          <w:tcPr>
            <w:tcW w:w="22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106,707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1"/>
              <w:spacing w:after="0"/>
              <w:rPr>
                <w:sz w:val="20"/>
                <w:szCs w:val="20"/>
                <w:color w:val="auto"/>
              </w:rPr>
            </w:pPr>
            <w:r>
              <w:rPr>
                <w:rFonts w:ascii="Verdana" w:cs="Verdana" w:eastAsia="Verdana" w:hAnsi="Verdana"/>
                <w:sz w:val="18"/>
                <w:szCs w:val="18"/>
                <w:color w:val="auto"/>
              </w:rPr>
              <w:t>149,188</w:t>
            </w:r>
          </w:p>
        </w:tc>
      </w:tr>
      <w:tr>
        <w:trPr>
          <w:trHeight w:val="277"/>
        </w:trPr>
        <w:tc>
          <w:tcPr>
            <w:tcW w:w="65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total assets</w:t>
            </w:r>
          </w:p>
        </w:tc>
        <w:tc>
          <w:tcPr>
            <w:tcW w:w="1320" w:type="dxa"/>
            <w:vAlign w:val="bottom"/>
            <w:shd w:val="clear" w:color="auto" w:fill="E0E7ED"/>
          </w:tcPr>
          <w:p>
            <w:pPr>
              <w:ind w:left="540"/>
              <w:spacing w:after="0"/>
              <w:rPr>
                <w:sz w:val="20"/>
                <w:szCs w:val="20"/>
                <w:color w:val="auto"/>
              </w:rPr>
            </w:pPr>
            <w:r>
              <w:rPr>
                <w:rFonts w:ascii="Verdana" w:cs="Verdana" w:eastAsia="Verdana" w:hAnsi="Verdana"/>
                <w:sz w:val="18"/>
                <w:szCs w:val="18"/>
                <w:color w:val="auto"/>
              </w:rPr>
              <w:t>[f]</w:t>
            </w: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12,024,208</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12,263,718</w:t>
            </w:r>
          </w:p>
        </w:tc>
      </w:tr>
      <w:tr>
        <w:trPr>
          <w:trHeight w:val="270"/>
        </w:trPr>
        <w:tc>
          <w:tcPr>
            <w:tcW w:w="65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65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Return on average assets</w:t>
            </w:r>
            <w:r>
              <w:rPr>
                <w:rFonts w:ascii="Verdana" w:cs="Verdana" w:eastAsia="Verdana" w:hAnsi="Verdana"/>
                <w:sz w:val="11"/>
                <w:szCs w:val="11"/>
                <w:color w:val="auto"/>
              </w:rPr>
              <w:t>2</w:t>
            </w:r>
          </w:p>
        </w:tc>
        <w:tc>
          <w:tcPr>
            <w:tcW w:w="1320" w:type="dxa"/>
            <w:vAlign w:val="bottom"/>
            <w:shd w:val="clear" w:color="auto" w:fill="E0E7ED"/>
          </w:tcPr>
          <w:p>
            <w:pPr>
              <w:ind w:left="540"/>
              <w:spacing w:after="0"/>
              <w:rPr>
                <w:sz w:val="20"/>
                <w:szCs w:val="20"/>
                <w:color w:val="auto"/>
              </w:rPr>
            </w:pPr>
            <w:r>
              <w:rPr>
                <w:rFonts w:ascii="Verdana" w:cs="Verdana" w:eastAsia="Verdana" w:hAnsi="Verdana"/>
                <w:sz w:val="18"/>
                <w:szCs w:val="18"/>
                <w:color w:val="auto"/>
              </w:rPr>
              <w:t>[d÷f]</w:t>
            </w:r>
          </w:p>
        </w:tc>
        <w:tc>
          <w:tcPr>
            <w:tcW w:w="220" w:type="dxa"/>
            <w:vAlign w:val="bottom"/>
            <w:shd w:val="clear" w:color="auto" w:fill="E0E7ED"/>
          </w:tcPr>
          <w:p>
            <w:pPr>
              <w:spacing w:after="0"/>
              <w:rPr>
                <w:sz w:val="23"/>
                <w:szCs w:val="23"/>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0.88 %</w:t>
            </w: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1.22 %</w:t>
            </w:r>
          </w:p>
        </w:tc>
      </w:tr>
      <w:tr>
        <w:trPr>
          <w:trHeight w:val="263"/>
        </w:trPr>
        <w:tc>
          <w:tcPr>
            <w:tcW w:w="654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Return on average assets</w:t>
            </w:r>
            <w:r>
              <w:rPr>
                <w:rFonts w:ascii="Verdana" w:cs="Verdana" w:eastAsia="Verdana" w:hAnsi="Verdana"/>
                <w:sz w:val="11"/>
                <w:szCs w:val="11"/>
                <w:color w:val="auto"/>
              </w:rPr>
              <w:t>2</w:t>
            </w:r>
          </w:p>
        </w:tc>
        <w:tc>
          <w:tcPr>
            <w:tcW w:w="1320" w:type="dxa"/>
            <w:vAlign w:val="bottom"/>
          </w:tcPr>
          <w:p>
            <w:pPr>
              <w:ind w:left="540"/>
              <w:spacing w:after="0"/>
              <w:rPr>
                <w:sz w:val="20"/>
                <w:szCs w:val="20"/>
                <w:color w:val="auto"/>
              </w:rPr>
            </w:pPr>
            <w:r>
              <w:rPr>
                <w:rFonts w:ascii="Verdana" w:cs="Verdana" w:eastAsia="Verdana" w:hAnsi="Verdana"/>
                <w:sz w:val="18"/>
                <w:szCs w:val="18"/>
                <w:color w:val="auto"/>
              </w:rPr>
              <w:t>[e÷f]</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0.89 %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1.22 %</w:t>
            </w:r>
          </w:p>
        </w:tc>
      </w:tr>
      <w:tr>
        <w:trPr>
          <w:trHeight w:val="277"/>
        </w:trPr>
        <w:tc>
          <w:tcPr>
            <w:tcW w:w="654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r>
      <w:tr>
        <w:trPr>
          <w:trHeight w:val="263"/>
        </w:trPr>
        <w:tc>
          <w:tcPr>
            <w:tcW w:w="6540" w:type="dxa"/>
            <w:vAlign w:val="bottom"/>
          </w:tcPr>
          <w:p>
            <w:pPr>
              <w:ind w:left="20"/>
              <w:spacing w:after="0"/>
              <w:rPr>
                <w:sz w:val="20"/>
                <w:szCs w:val="20"/>
                <w:color w:val="auto"/>
              </w:rPr>
            </w:pPr>
            <w:r>
              <w:rPr>
                <w:rFonts w:ascii="Verdana" w:cs="Verdana" w:eastAsia="Verdana" w:hAnsi="Verdana"/>
                <w:sz w:val="18"/>
                <w:szCs w:val="18"/>
                <w:b w:val="1"/>
                <w:bCs w:val="1"/>
                <w:color w:val="auto"/>
              </w:rPr>
              <w:t>RETURN ON AVERAGE TANGIBLE COMMON EQUITY</w:t>
            </w: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65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common equity</w:t>
            </w:r>
          </w:p>
        </w:tc>
        <w:tc>
          <w:tcPr>
            <w:tcW w:w="1320" w:type="dxa"/>
            <w:vAlign w:val="bottom"/>
            <w:shd w:val="clear" w:color="auto" w:fill="E0E7ED"/>
          </w:tcPr>
          <w:p>
            <w:pPr>
              <w:spacing w:after="0"/>
              <w:rPr>
                <w:sz w:val="24"/>
                <w:szCs w:val="24"/>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1,275,724</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2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1,170,819</w:t>
            </w:r>
          </w:p>
        </w:tc>
      </w:tr>
      <w:tr>
        <w:trPr>
          <w:trHeight w:val="263"/>
        </w:trPr>
        <w:tc>
          <w:tcPr>
            <w:tcW w:w="65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Average goodwill and other intangible assets, net</w:t>
            </w:r>
          </w:p>
        </w:tc>
        <w:tc>
          <w:tcPr>
            <w:tcW w:w="132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3"/>
              <w:spacing w:after="0"/>
              <w:rPr>
                <w:sz w:val="20"/>
                <w:szCs w:val="20"/>
                <w:color w:val="auto"/>
              </w:rPr>
            </w:pPr>
            <w:r>
              <w:rPr>
                <w:rFonts w:ascii="Verdana" w:cs="Verdana" w:eastAsia="Verdana" w:hAnsi="Verdana"/>
                <w:sz w:val="18"/>
                <w:szCs w:val="18"/>
                <w:color w:val="auto"/>
              </w:rPr>
              <w:t>(353,014)</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1"/>
              <w:spacing w:after="0"/>
              <w:rPr>
                <w:sz w:val="20"/>
                <w:szCs w:val="20"/>
                <w:color w:val="auto"/>
              </w:rPr>
            </w:pPr>
            <w:r>
              <w:rPr>
                <w:rFonts w:ascii="Verdana" w:cs="Verdana" w:eastAsia="Verdana" w:hAnsi="Verdana"/>
                <w:sz w:val="18"/>
                <w:szCs w:val="18"/>
                <w:color w:val="auto"/>
              </w:rPr>
              <w:t>(363,354)</w:t>
            </w:r>
          </w:p>
        </w:tc>
      </w:tr>
      <w:tr>
        <w:trPr>
          <w:trHeight w:val="295"/>
        </w:trPr>
        <w:tc>
          <w:tcPr>
            <w:tcW w:w="65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Average tangible common equity</w:t>
            </w:r>
          </w:p>
        </w:tc>
        <w:tc>
          <w:tcPr>
            <w:tcW w:w="1320" w:type="dxa"/>
            <w:vAlign w:val="bottom"/>
            <w:tcBorders>
              <w:bottom w:val="single" w:sz="8" w:color="E0E7ED"/>
            </w:tcBorders>
            <w:shd w:val="clear" w:color="auto" w:fill="E0E7ED"/>
          </w:tcPr>
          <w:p>
            <w:pPr>
              <w:ind w:left="540"/>
              <w:spacing w:after="0"/>
              <w:rPr>
                <w:sz w:val="20"/>
                <w:szCs w:val="20"/>
                <w:color w:val="auto"/>
              </w:rPr>
            </w:pPr>
            <w:r>
              <w:rPr>
                <w:rFonts w:ascii="Verdana" w:cs="Verdana" w:eastAsia="Verdana" w:hAnsi="Verdana"/>
                <w:sz w:val="18"/>
                <w:szCs w:val="18"/>
                <w:color w:val="auto"/>
              </w:rPr>
              <w:t>[g]</w:t>
            </w:r>
          </w:p>
        </w:tc>
        <w:tc>
          <w:tcPr>
            <w:tcW w:w="2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20" w:type="dxa"/>
            <w:vAlign w:val="bottom"/>
            <w:tcBorders>
              <w:bottom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922,710</w:t>
            </w:r>
          </w:p>
        </w:tc>
        <w:tc>
          <w:tcPr>
            <w:tcW w:w="100" w:type="dxa"/>
            <w:vAlign w:val="bottom"/>
            <w:tcBorders>
              <w:bottom w:val="single" w:sz="8" w:color="E0E7ED"/>
            </w:tcBorders>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20" w:type="dxa"/>
            <w:vAlign w:val="bottom"/>
            <w:tcBorders>
              <w:bottom w:val="single" w:sz="8" w:color="auto"/>
            </w:tcBorders>
            <w:shd w:val="clear" w:color="auto" w:fill="E0E7ED"/>
          </w:tcPr>
          <w:p>
            <w:pPr>
              <w:jc w:val="right"/>
              <w:ind w:right="191"/>
              <w:spacing w:after="0"/>
              <w:rPr>
                <w:sz w:val="20"/>
                <w:szCs w:val="20"/>
                <w:color w:val="auto"/>
              </w:rPr>
            </w:pPr>
            <w:r>
              <w:rPr>
                <w:rFonts w:ascii="Verdana" w:cs="Verdana" w:eastAsia="Verdana" w:hAnsi="Verdana"/>
                <w:sz w:val="18"/>
                <w:szCs w:val="18"/>
                <w:color w:val="auto"/>
              </w:rPr>
              <w:t>807,465</w:t>
            </w:r>
          </w:p>
        </w:tc>
      </w:tr>
      <w:tr>
        <w:trPr>
          <w:trHeight w:val="20"/>
        </w:trPr>
        <w:tc>
          <w:tcPr>
            <w:tcW w:w="6540" w:type="dxa"/>
            <w:vAlign w:val="bottom"/>
            <w:tcBorders>
              <w:top w:val="single" w:sz="8" w:color="E0E7ED"/>
            </w:tcBorders>
          </w:tcPr>
          <w:p>
            <w:pPr>
              <w:spacing w:after="0" w:line="20" w:lineRule="exact"/>
              <w:rPr>
                <w:sz w:val="1"/>
                <w:szCs w:val="1"/>
                <w:color w:val="auto"/>
              </w:rPr>
            </w:pPr>
          </w:p>
        </w:tc>
        <w:tc>
          <w:tcPr>
            <w:tcW w:w="132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4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42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70"/>
        </w:trPr>
        <w:tc>
          <w:tcPr>
            <w:tcW w:w="65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Return on average tangible common equity</w:t>
            </w:r>
            <w:r>
              <w:rPr>
                <w:rFonts w:ascii="Verdana" w:cs="Verdana" w:eastAsia="Verdana" w:hAnsi="Verdana"/>
                <w:sz w:val="11"/>
                <w:szCs w:val="11"/>
                <w:color w:val="auto"/>
              </w:rPr>
              <w:t>2</w:t>
            </w:r>
          </w:p>
        </w:tc>
        <w:tc>
          <w:tcPr>
            <w:tcW w:w="1320" w:type="dxa"/>
            <w:vAlign w:val="bottom"/>
            <w:shd w:val="clear" w:color="auto" w:fill="E0E7ED"/>
          </w:tcPr>
          <w:p>
            <w:pPr>
              <w:ind w:left="540"/>
              <w:spacing w:after="0"/>
              <w:rPr>
                <w:sz w:val="20"/>
                <w:szCs w:val="20"/>
                <w:color w:val="auto"/>
              </w:rPr>
            </w:pPr>
            <w:r>
              <w:rPr>
                <w:rFonts w:ascii="Verdana" w:cs="Verdana" w:eastAsia="Verdana" w:hAnsi="Verdana"/>
                <w:sz w:val="18"/>
                <w:szCs w:val="18"/>
                <w:color w:val="auto"/>
              </w:rPr>
              <w:t>[d÷g]</w:t>
            </w:r>
          </w:p>
        </w:tc>
        <w:tc>
          <w:tcPr>
            <w:tcW w:w="220" w:type="dxa"/>
            <w:vAlign w:val="bottom"/>
            <w:shd w:val="clear" w:color="auto" w:fill="E0E7ED"/>
          </w:tcPr>
          <w:p>
            <w:pPr>
              <w:spacing w:after="0"/>
              <w:rPr>
                <w:sz w:val="23"/>
                <w:szCs w:val="23"/>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11.43 %</w:t>
            </w: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18.48 %</w:t>
            </w:r>
          </w:p>
        </w:tc>
      </w:tr>
      <w:tr>
        <w:trPr>
          <w:trHeight w:val="257"/>
        </w:trPr>
        <w:tc>
          <w:tcPr>
            <w:tcW w:w="654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Return on average tangible common equity</w:t>
            </w:r>
            <w:r>
              <w:rPr>
                <w:rFonts w:ascii="Verdana" w:cs="Verdana" w:eastAsia="Verdana" w:hAnsi="Verdana"/>
                <w:sz w:val="11"/>
                <w:szCs w:val="11"/>
                <w:color w:val="auto"/>
              </w:rPr>
              <w:t>2</w:t>
            </w:r>
          </w:p>
        </w:tc>
        <w:tc>
          <w:tcPr>
            <w:tcW w:w="1320" w:type="dxa"/>
            <w:vAlign w:val="bottom"/>
          </w:tcPr>
          <w:p>
            <w:pPr>
              <w:ind w:left="540"/>
              <w:spacing w:after="0"/>
              <w:rPr>
                <w:sz w:val="20"/>
                <w:szCs w:val="20"/>
                <w:color w:val="auto"/>
              </w:rPr>
            </w:pPr>
            <w:r>
              <w:rPr>
                <w:rFonts w:ascii="Verdana" w:cs="Verdana" w:eastAsia="Verdana" w:hAnsi="Verdana"/>
                <w:sz w:val="18"/>
                <w:szCs w:val="18"/>
                <w:color w:val="auto"/>
              </w:rPr>
              <w:t>[e÷g]</w:t>
            </w: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11.56 %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18.48 %</w:t>
            </w:r>
          </w:p>
        </w:tc>
      </w:tr>
    </w:tbl>
    <w:p>
      <w:pPr>
        <w:spacing w:after="0" w:line="9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500" w:hanging="330"/>
        <w:spacing w:after="0" w:line="235" w:lineRule="auto"/>
        <w:tabs>
          <w:tab w:leader="none" w:pos="491" w:val="left"/>
        </w:tabs>
        <w:numPr>
          <w:ilvl w:val="0"/>
          <w:numId w:val="24"/>
        </w:numPr>
        <w:rPr>
          <w:rFonts w:ascii="Verdana" w:cs="Verdana" w:eastAsia="Verdana" w:hAnsi="Verdana"/>
          <w:sz w:val="13"/>
          <w:szCs w:val="13"/>
          <w:color w:val="auto"/>
        </w:rPr>
      </w:pPr>
      <w:r>
        <w:rPr>
          <w:rFonts w:ascii="Verdana" w:cs="Verdana" w:eastAsia="Verdana" w:hAnsi="Verdana"/>
          <w:sz w:val="13"/>
          <w:szCs w:val="13"/>
          <w:color w:val="auto"/>
        </w:rPr>
        <w:t>Tax benefits were calculated by multiplying acquisition expenses and other restructuring expenses by the effective tax rate for each period. The effective tax rate used in this calculation was 25.0% for the three months ended March 31, 2024.</w:t>
      </w:r>
    </w:p>
    <w:p>
      <w:pPr>
        <w:spacing w:after="0" w:line="1" w:lineRule="exact"/>
        <w:rPr>
          <w:rFonts w:ascii="Verdana" w:cs="Verdana" w:eastAsia="Verdana" w:hAnsi="Verdana"/>
          <w:sz w:val="13"/>
          <w:szCs w:val="13"/>
          <w:color w:val="auto"/>
        </w:rPr>
      </w:pPr>
    </w:p>
    <w:p>
      <w:pPr>
        <w:ind w:left="480" w:hanging="310"/>
        <w:spacing w:after="0"/>
        <w:tabs>
          <w:tab w:leader="none" w:pos="480" w:val="left"/>
        </w:tabs>
        <w:numPr>
          <w:ilvl w:val="0"/>
          <w:numId w:val="24"/>
        </w:numPr>
        <w:rPr>
          <w:rFonts w:ascii="Verdana" w:cs="Verdana" w:eastAsia="Verdana" w:hAnsi="Verdana"/>
          <w:sz w:val="13"/>
          <w:szCs w:val="13"/>
          <w:color w:val="auto"/>
        </w:rPr>
      </w:pPr>
      <w:r>
        <w:rPr>
          <w:rFonts w:ascii="Verdana" w:cs="Verdana" w:eastAsia="Verdana" w:hAnsi="Verdana"/>
          <w:sz w:val="13"/>
          <w:szCs w:val="13"/>
          <w:color w:val="auto"/>
        </w:rPr>
        <w:t>Annualized measure.</w:t>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87" w:name="page88"/>
    <w:bookmarkEnd w:id="8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Adjusted Net Interest Income and Adjusted Net Interest Margin</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532"/>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6520" w:type="dxa"/>
            <w:vAlign w:val="bottom"/>
            <w:tcBorders>
              <w:bottom w:val="single" w:sz="8" w:color="E0E7ED"/>
            </w:tcBorders>
          </w:tcPr>
          <w:p>
            <w:pPr>
              <w:spacing w:after="0"/>
              <w:rPr>
                <w:sz w:val="14"/>
                <w:szCs w:val="14"/>
                <w:color w:val="auto"/>
              </w:rPr>
            </w:pPr>
          </w:p>
        </w:tc>
        <w:tc>
          <w:tcPr>
            <w:tcW w:w="130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72"/>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65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1300" w:type="dxa"/>
            <w:vAlign w:val="bottom"/>
            <w:shd w:val="clear" w:color="auto" w:fill="E0E7ED"/>
          </w:tcPr>
          <w:p>
            <w:pPr>
              <w:spacing w:after="0"/>
              <w:rPr>
                <w:sz w:val="23"/>
                <w:szCs w:val="23"/>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42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75,767</w:t>
            </w: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4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85,857</w:t>
            </w:r>
          </w:p>
        </w:tc>
      </w:tr>
      <w:tr>
        <w:trPr>
          <w:trHeight w:val="263"/>
        </w:trPr>
        <w:tc>
          <w:tcPr>
            <w:tcW w:w="652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1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0"/>
        </w:trPr>
        <w:tc>
          <w:tcPr>
            <w:tcW w:w="65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Tax-equivalent adjustment</w:t>
            </w:r>
            <w:r>
              <w:rPr>
                <w:rFonts w:ascii="Verdana" w:cs="Verdana" w:eastAsia="Verdana" w:hAnsi="Verdana"/>
                <w:sz w:val="11"/>
                <w:szCs w:val="11"/>
                <w:color w:val="auto"/>
              </w:rPr>
              <w:t>1</w:t>
            </w:r>
          </w:p>
        </w:tc>
        <w:tc>
          <w:tcPr>
            <w:tcW w:w="13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42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449</w:t>
            </w:r>
          </w:p>
        </w:tc>
        <w:tc>
          <w:tcPr>
            <w:tcW w:w="1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42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558</w:t>
            </w:r>
          </w:p>
        </w:tc>
      </w:tr>
      <w:tr>
        <w:trPr>
          <w:trHeight w:val="263"/>
        </w:trPr>
        <w:tc>
          <w:tcPr>
            <w:tcW w:w="6520" w:type="dxa"/>
            <w:vAlign w:val="bottom"/>
          </w:tcPr>
          <w:p>
            <w:pPr>
              <w:ind w:left="180"/>
              <w:spacing w:after="0"/>
              <w:rPr>
                <w:sz w:val="20"/>
                <w:szCs w:val="20"/>
                <w:color w:val="auto"/>
              </w:rPr>
            </w:pPr>
            <w:r>
              <w:rPr>
                <w:rFonts w:ascii="Verdana" w:cs="Verdana" w:eastAsia="Verdana" w:hAnsi="Verdana"/>
                <w:sz w:val="18"/>
                <w:szCs w:val="18"/>
                <w:color w:val="auto"/>
              </w:rPr>
              <w:t>Tax-equivalent net interest income</w:t>
            </w:r>
          </w:p>
        </w:tc>
        <w:tc>
          <w:tcPr>
            <w:tcW w:w="1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195"/>
              <w:spacing w:after="0"/>
              <w:rPr>
                <w:sz w:val="20"/>
                <w:szCs w:val="20"/>
                <w:color w:val="auto"/>
              </w:rPr>
            </w:pPr>
            <w:r>
              <w:rPr>
                <w:rFonts w:ascii="Verdana" w:cs="Verdana" w:eastAsia="Verdana" w:hAnsi="Verdana"/>
                <w:sz w:val="18"/>
                <w:szCs w:val="18"/>
                <w:color w:val="auto"/>
              </w:rPr>
              <w:t>76,216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86,415</w:t>
            </w:r>
          </w:p>
        </w:tc>
      </w:tr>
      <w:tr>
        <w:trPr>
          <w:trHeight w:val="270"/>
        </w:trPr>
        <w:tc>
          <w:tcPr>
            <w:tcW w:w="65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Purchase accounting accretion related to business combinations</w:t>
            </w:r>
          </w:p>
        </w:tc>
        <w:tc>
          <w:tcPr>
            <w:tcW w:w="13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420" w:type="dxa"/>
            <w:vAlign w:val="bottom"/>
            <w:tcBorders>
              <w:bottom w:val="single" w:sz="8" w:color="auto"/>
            </w:tcBorders>
            <w:shd w:val="clear" w:color="auto" w:fill="E0E7ED"/>
          </w:tcPr>
          <w:p>
            <w:pPr>
              <w:jc w:val="right"/>
              <w:ind w:right="135"/>
              <w:spacing w:after="0"/>
              <w:rPr>
                <w:sz w:val="20"/>
                <w:szCs w:val="20"/>
                <w:color w:val="auto"/>
              </w:rPr>
            </w:pPr>
            <w:r>
              <w:rPr>
                <w:rFonts w:ascii="Verdana" w:cs="Verdana" w:eastAsia="Verdana" w:hAnsi="Verdana"/>
                <w:sz w:val="18"/>
                <w:szCs w:val="18"/>
                <w:color w:val="auto"/>
              </w:rPr>
              <w:t>(204)</w:t>
            </w:r>
          </w:p>
        </w:tc>
        <w:tc>
          <w:tcPr>
            <w:tcW w:w="1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42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(403)</w:t>
            </w:r>
          </w:p>
        </w:tc>
      </w:tr>
      <w:tr>
        <w:trPr>
          <w:trHeight w:val="270"/>
        </w:trPr>
        <w:tc>
          <w:tcPr>
            <w:tcW w:w="6520" w:type="dxa"/>
            <w:vAlign w:val="bottom"/>
          </w:tcPr>
          <w:p>
            <w:pPr>
              <w:ind w:left="20"/>
              <w:spacing w:after="0"/>
              <w:rPr>
                <w:sz w:val="20"/>
                <w:szCs w:val="20"/>
                <w:color w:val="auto"/>
              </w:rPr>
            </w:pPr>
            <w:r>
              <w:rPr>
                <w:rFonts w:ascii="Verdana" w:cs="Verdana" w:eastAsia="Verdana" w:hAnsi="Verdana"/>
                <w:sz w:val="18"/>
                <w:szCs w:val="18"/>
                <w:color w:val="auto"/>
              </w:rPr>
              <w:t>Adjusted net interest income</w:t>
            </w:r>
          </w:p>
        </w:tc>
        <w:tc>
          <w:tcPr>
            <w:tcW w:w="1300" w:type="dxa"/>
            <w:vAlign w:val="bottom"/>
          </w:tcPr>
          <w:p>
            <w:pPr>
              <w:spacing w:after="0"/>
              <w:rPr>
                <w:sz w:val="23"/>
                <w:szCs w:val="23"/>
                <w:color w:val="auto"/>
              </w:rPr>
            </w:pPr>
          </w:p>
        </w:tc>
        <w:tc>
          <w:tcPr>
            <w:tcW w:w="2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142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76,012</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142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86,012</w:t>
            </w:r>
          </w:p>
        </w:tc>
      </w:tr>
      <w:tr>
        <w:trPr>
          <w:trHeight w:val="20"/>
        </w:trPr>
        <w:tc>
          <w:tcPr>
            <w:tcW w:w="6520" w:type="dxa"/>
            <w:vAlign w:val="bottom"/>
            <w:tcBorders>
              <w:bottom w:val="single" w:sz="8" w:color="E0E7ED"/>
            </w:tcBorders>
          </w:tcPr>
          <w:p>
            <w:pPr>
              <w:spacing w:after="0" w:line="20" w:lineRule="exact"/>
              <w:rPr>
                <w:sz w:val="1"/>
                <w:szCs w:val="1"/>
                <w:color w:val="auto"/>
              </w:rPr>
            </w:pPr>
          </w:p>
        </w:tc>
        <w:tc>
          <w:tcPr>
            <w:tcW w:w="130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6520" w:type="dxa"/>
            <w:vAlign w:val="bottom"/>
            <w:shd w:val="clear" w:color="auto" w:fill="E0E7ED"/>
          </w:tcPr>
          <w:p>
            <w:pPr>
              <w:spacing w:after="0"/>
              <w:rPr>
                <w:sz w:val="20"/>
                <w:szCs w:val="20"/>
                <w:color w:val="auto"/>
              </w:rPr>
            </w:pPr>
          </w:p>
        </w:tc>
        <w:tc>
          <w:tcPr>
            <w:tcW w:w="13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4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420" w:type="dxa"/>
            <w:vAlign w:val="bottom"/>
            <w:shd w:val="clear" w:color="auto" w:fill="E0E7ED"/>
          </w:tcPr>
          <w:p>
            <w:pPr>
              <w:spacing w:after="0"/>
              <w:rPr>
                <w:sz w:val="20"/>
                <w:szCs w:val="20"/>
                <w:color w:val="auto"/>
              </w:rPr>
            </w:pPr>
          </w:p>
        </w:tc>
      </w:tr>
      <w:tr>
        <w:trPr>
          <w:trHeight w:val="263"/>
        </w:trPr>
        <w:tc>
          <w:tcPr>
            <w:tcW w:w="6520" w:type="dxa"/>
            <w:vAlign w:val="bottom"/>
          </w:tcPr>
          <w:p>
            <w:pPr>
              <w:ind w:left="20"/>
              <w:spacing w:after="0"/>
              <w:rPr>
                <w:sz w:val="20"/>
                <w:szCs w:val="20"/>
                <w:color w:val="auto"/>
              </w:rPr>
            </w:pPr>
            <w:r>
              <w:rPr>
                <w:rFonts w:ascii="Verdana" w:cs="Verdana" w:eastAsia="Verdana" w:hAnsi="Verdana"/>
                <w:sz w:val="18"/>
                <w:szCs w:val="18"/>
                <w:color w:val="auto"/>
              </w:rPr>
              <w:t>Tax-equivalent net interest income, annualized</w:t>
            </w:r>
          </w:p>
        </w:tc>
        <w:tc>
          <w:tcPr>
            <w:tcW w:w="1300" w:type="dxa"/>
            <w:vAlign w:val="bottom"/>
          </w:tcPr>
          <w:p>
            <w:pPr>
              <w:ind w:left="540"/>
              <w:spacing w:after="0"/>
              <w:rPr>
                <w:sz w:val="20"/>
                <w:szCs w:val="20"/>
                <w:color w:val="auto"/>
              </w:rPr>
            </w:pPr>
            <w:r>
              <w:rPr>
                <w:rFonts w:ascii="Verdana" w:cs="Verdana" w:eastAsia="Verdana" w:hAnsi="Verdana"/>
                <w:sz w:val="18"/>
                <w:szCs w:val="18"/>
                <w:color w:val="auto"/>
              </w:rPr>
              <w:t>[a]</w:t>
            </w: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95"/>
              <w:spacing w:after="0"/>
              <w:rPr>
                <w:sz w:val="20"/>
                <w:szCs w:val="20"/>
                <w:color w:val="auto"/>
              </w:rPr>
            </w:pPr>
            <w:r>
              <w:rPr>
                <w:rFonts w:ascii="Verdana" w:cs="Verdana" w:eastAsia="Verdana" w:hAnsi="Verdana"/>
                <w:sz w:val="18"/>
                <w:szCs w:val="18"/>
                <w:color w:val="auto"/>
              </w:rPr>
              <w:t>306,539</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350,461</w:t>
            </w:r>
          </w:p>
        </w:tc>
      </w:tr>
      <w:tr>
        <w:trPr>
          <w:trHeight w:val="277"/>
        </w:trPr>
        <w:tc>
          <w:tcPr>
            <w:tcW w:w="65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net interest income, annualized</w:t>
            </w:r>
          </w:p>
        </w:tc>
        <w:tc>
          <w:tcPr>
            <w:tcW w:w="1300" w:type="dxa"/>
            <w:vAlign w:val="bottom"/>
            <w:shd w:val="clear" w:color="auto" w:fill="E0E7ED"/>
          </w:tcPr>
          <w:p>
            <w:pPr>
              <w:ind w:left="540"/>
              <w:spacing w:after="0"/>
              <w:rPr>
                <w:sz w:val="20"/>
                <w:szCs w:val="20"/>
                <w:color w:val="auto"/>
              </w:rPr>
            </w:pPr>
            <w:r>
              <w:rPr>
                <w:rFonts w:ascii="Verdana" w:cs="Verdana" w:eastAsia="Verdana" w:hAnsi="Verdana"/>
                <w:sz w:val="18"/>
                <w:szCs w:val="18"/>
                <w:color w:val="auto"/>
              </w:rPr>
              <w:t>[b]</w:t>
            </w:r>
          </w:p>
        </w:tc>
        <w:tc>
          <w:tcPr>
            <w:tcW w:w="24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305,719</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348,826</w:t>
            </w:r>
          </w:p>
        </w:tc>
      </w:tr>
      <w:tr>
        <w:trPr>
          <w:trHeight w:val="263"/>
        </w:trPr>
        <w:tc>
          <w:tcPr>
            <w:tcW w:w="6520" w:type="dxa"/>
            <w:vAlign w:val="bottom"/>
          </w:tcPr>
          <w:p>
            <w:pPr>
              <w:ind w:left="20"/>
              <w:spacing w:after="0"/>
              <w:rPr>
                <w:sz w:val="20"/>
                <w:szCs w:val="20"/>
                <w:color w:val="auto"/>
              </w:rPr>
            </w:pPr>
            <w:r>
              <w:rPr>
                <w:rFonts w:ascii="Verdana" w:cs="Verdana" w:eastAsia="Verdana" w:hAnsi="Verdana"/>
                <w:sz w:val="18"/>
                <w:szCs w:val="18"/>
                <w:color w:val="auto"/>
              </w:rPr>
              <w:t>Average interest-earning assets</w:t>
            </w:r>
          </w:p>
        </w:tc>
        <w:tc>
          <w:tcPr>
            <w:tcW w:w="1300" w:type="dxa"/>
            <w:vAlign w:val="bottom"/>
          </w:tcPr>
          <w:p>
            <w:pPr>
              <w:ind w:left="540"/>
              <w:spacing w:after="0"/>
              <w:rPr>
                <w:sz w:val="20"/>
                <w:szCs w:val="20"/>
                <w:color w:val="auto"/>
              </w:rPr>
            </w:pPr>
            <w:r>
              <w:rPr>
                <w:rFonts w:ascii="Verdana" w:cs="Verdana" w:eastAsia="Verdana" w:hAnsi="Verdana"/>
                <w:sz w:val="18"/>
                <w:szCs w:val="18"/>
                <w:color w:val="auto"/>
              </w:rPr>
              <w:t>[c]</w:t>
            </w:r>
          </w:p>
        </w:tc>
        <w:tc>
          <w:tcPr>
            <w:tcW w:w="240" w:type="dxa"/>
            <w:vAlign w:val="bottom"/>
          </w:tcPr>
          <w:p>
            <w:pPr>
              <w:spacing w:after="0"/>
              <w:rPr>
                <w:sz w:val="22"/>
                <w:szCs w:val="22"/>
                <w:color w:val="auto"/>
              </w:rPr>
            </w:pPr>
          </w:p>
        </w:tc>
        <w:tc>
          <w:tcPr>
            <w:tcW w:w="1420" w:type="dxa"/>
            <w:vAlign w:val="bottom"/>
          </w:tcPr>
          <w:p>
            <w:pPr>
              <w:jc w:val="right"/>
              <w:ind w:right="195"/>
              <w:spacing w:after="0"/>
              <w:rPr>
                <w:sz w:val="20"/>
                <w:szCs w:val="20"/>
                <w:color w:val="auto"/>
              </w:rPr>
            </w:pPr>
            <w:r>
              <w:rPr>
                <w:rFonts w:ascii="Verdana" w:cs="Verdana" w:eastAsia="Verdana" w:hAnsi="Verdana"/>
                <w:sz w:val="18"/>
                <w:szCs w:val="18"/>
                <w:color w:val="auto"/>
              </w:rPr>
              <w:t>10,999,903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11,180,562</w:t>
            </w:r>
          </w:p>
        </w:tc>
      </w:tr>
      <w:tr>
        <w:trPr>
          <w:trHeight w:val="277"/>
        </w:trPr>
        <w:tc>
          <w:tcPr>
            <w:tcW w:w="6520" w:type="dxa"/>
            <w:vAlign w:val="bottom"/>
            <w:shd w:val="clear" w:color="auto" w:fill="E0E7ED"/>
          </w:tcPr>
          <w:p>
            <w:pPr>
              <w:spacing w:after="0"/>
              <w:rPr>
                <w:sz w:val="24"/>
                <w:szCs w:val="24"/>
                <w:color w:val="auto"/>
              </w:rPr>
            </w:pPr>
          </w:p>
        </w:tc>
        <w:tc>
          <w:tcPr>
            <w:tcW w:w="13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r>
      <w:tr>
        <w:trPr>
          <w:trHeight w:val="263"/>
        </w:trPr>
        <w:tc>
          <w:tcPr>
            <w:tcW w:w="652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Net interest margin</w:t>
            </w:r>
            <w:r>
              <w:rPr>
                <w:rFonts w:ascii="Verdana" w:cs="Verdana" w:eastAsia="Verdana" w:hAnsi="Verdana"/>
                <w:sz w:val="11"/>
                <w:szCs w:val="11"/>
                <w:color w:val="auto"/>
              </w:rPr>
              <w:t>2</w:t>
            </w:r>
          </w:p>
        </w:tc>
        <w:tc>
          <w:tcPr>
            <w:tcW w:w="1300" w:type="dxa"/>
            <w:vAlign w:val="bottom"/>
          </w:tcPr>
          <w:p>
            <w:pPr>
              <w:ind w:left="540"/>
              <w:spacing w:after="0"/>
              <w:rPr>
                <w:sz w:val="20"/>
                <w:szCs w:val="20"/>
                <w:color w:val="auto"/>
              </w:rPr>
            </w:pPr>
            <w:r>
              <w:rPr>
                <w:rFonts w:ascii="Verdana" w:cs="Verdana" w:eastAsia="Verdana" w:hAnsi="Verdana"/>
                <w:sz w:val="18"/>
                <w:szCs w:val="18"/>
                <w:color w:val="auto"/>
              </w:rPr>
              <w:t>[a÷c]</w:t>
            </w: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2.79 %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3.13 %</w:t>
            </w:r>
          </w:p>
        </w:tc>
      </w:tr>
      <w:tr>
        <w:trPr>
          <w:trHeight w:val="277"/>
        </w:trPr>
        <w:tc>
          <w:tcPr>
            <w:tcW w:w="65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Net interest margin</w:t>
            </w:r>
            <w:r>
              <w:rPr>
                <w:rFonts w:ascii="Verdana" w:cs="Verdana" w:eastAsia="Verdana" w:hAnsi="Verdana"/>
                <w:sz w:val="11"/>
                <w:szCs w:val="11"/>
                <w:color w:val="auto"/>
              </w:rPr>
              <w:t>2</w:t>
            </w:r>
          </w:p>
        </w:tc>
        <w:tc>
          <w:tcPr>
            <w:tcW w:w="1300" w:type="dxa"/>
            <w:vAlign w:val="bottom"/>
            <w:shd w:val="clear" w:color="auto" w:fill="E0E7ED"/>
          </w:tcPr>
          <w:p>
            <w:pPr>
              <w:ind w:left="540"/>
              <w:spacing w:after="0"/>
              <w:rPr>
                <w:sz w:val="20"/>
                <w:szCs w:val="20"/>
                <w:color w:val="auto"/>
              </w:rPr>
            </w:pPr>
            <w:r>
              <w:rPr>
                <w:rFonts w:ascii="Verdana" w:cs="Verdana" w:eastAsia="Verdana" w:hAnsi="Verdana"/>
                <w:sz w:val="18"/>
                <w:szCs w:val="18"/>
                <w:color w:val="auto"/>
              </w:rPr>
              <w:t>[b÷c]</w:t>
            </w:r>
          </w:p>
        </w:tc>
        <w:tc>
          <w:tcPr>
            <w:tcW w:w="240" w:type="dxa"/>
            <w:vAlign w:val="bottom"/>
            <w:shd w:val="clear" w:color="auto" w:fill="E0E7ED"/>
          </w:tcPr>
          <w:p>
            <w:pPr>
              <w:spacing w:after="0"/>
              <w:rPr>
                <w:sz w:val="24"/>
                <w:szCs w:val="24"/>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2.78 %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3.12 %</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25"/>
        </w:numPr>
        <w:rPr>
          <w:rFonts w:ascii="Verdana" w:cs="Verdana" w:eastAsia="Verdana" w:hAnsi="Verdana"/>
          <w:sz w:val="13"/>
          <w:szCs w:val="13"/>
          <w:color w:val="auto"/>
        </w:rPr>
      </w:pPr>
      <w:r>
        <w:rPr>
          <w:rFonts w:ascii="Verdana" w:cs="Verdana" w:eastAsia="Verdana" w:hAnsi="Verdana"/>
          <w:sz w:val="13"/>
          <w:szCs w:val="13"/>
          <w:color w:val="auto"/>
        </w:rPr>
        <w:t>Tax-equivalent adjustments were calculated using an estimated federal income tax rate of 21%, applied to non-taxable interest income on investments and loans.</w:t>
      </w:r>
    </w:p>
    <w:p>
      <w:pPr>
        <w:ind w:left="480" w:hanging="310"/>
        <w:spacing w:after="0"/>
        <w:tabs>
          <w:tab w:leader="none" w:pos="480" w:val="left"/>
        </w:tabs>
        <w:numPr>
          <w:ilvl w:val="0"/>
          <w:numId w:val="25"/>
        </w:numPr>
        <w:rPr>
          <w:rFonts w:ascii="Verdana" w:cs="Verdana" w:eastAsia="Verdana" w:hAnsi="Verdana"/>
          <w:sz w:val="13"/>
          <w:szCs w:val="13"/>
          <w:color w:val="auto"/>
        </w:rPr>
      </w:pPr>
      <w:r>
        <w:rPr>
          <w:rFonts w:ascii="Verdana" w:cs="Verdana" w:eastAsia="Verdana" w:hAnsi="Verdana"/>
          <w:sz w:val="13"/>
          <w:szCs w:val="13"/>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8" w:name="page89"/>
    <w:bookmarkEnd w:id="8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3" w:lineRule="exact"/>
        <w:rPr>
          <w:sz w:val="20"/>
          <w:szCs w:val="20"/>
          <w:color w:val="auto"/>
        </w:rPr>
      </w:pPr>
    </w:p>
    <w:p>
      <w:pPr>
        <w:jc w:val="center"/>
        <w:ind w:left="340" w:right="720"/>
        <w:spacing w:after="0" w:line="236" w:lineRule="auto"/>
        <w:rPr>
          <w:sz w:val="20"/>
          <w:szCs w:val="20"/>
          <w:color w:val="auto"/>
        </w:rPr>
      </w:pPr>
      <w:r>
        <w:rPr>
          <w:rFonts w:ascii="Verdana" w:cs="Verdana" w:eastAsia="Verdana" w:hAnsi="Verdana"/>
          <w:sz w:val="18"/>
          <w:szCs w:val="18"/>
          <w:b w:val="1"/>
          <w:bCs w:val="1"/>
          <w:color w:val="auto"/>
        </w:rPr>
        <w:t>Adjusted Noninterest Income, Noninterest Expense Excluding Amortization of Intangible Assets, Adjusted Noninterest Expense,</w:t>
      </w:r>
    </w:p>
    <w:p>
      <w:pPr>
        <w:spacing w:after="0" w:line="2" w:lineRule="exact"/>
        <w:rPr>
          <w:sz w:val="20"/>
          <w:szCs w:val="20"/>
          <w:color w:val="auto"/>
        </w:rPr>
      </w:pPr>
    </w:p>
    <w:p>
      <w:pPr>
        <w:ind w:left="1720" w:right="1380" w:hanging="381"/>
        <w:spacing w:after="0" w:line="282" w:lineRule="auto"/>
        <w:rPr>
          <w:sz w:val="20"/>
          <w:szCs w:val="20"/>
          <w:color w:val="auto"/>
        </w:rPr>
      </w:pPr>
      <w:r>
        <w:rPr>
          <w:rFonts w:ascii="Verdana" w:cs="Verdana" w:eastAsia="Verdana" w:hAnsi="Verdana"/>
          <w:sz w:val="17"/>
          <w:szCs w:val="17"/>
          <w:b w:val="1"/>
          <w:bCs w:val="1"/>
          <w:color w:val="auto"/>
        </w:rPr>
        <w:t>Adjusted Core Expense, Noninterest Expense Excluding Non-operating Adjustments, Efficiency Ratio, Adjusted Efficiency Ratio, and Adjusted Core Efficiency Ratio</w:t>
      </w: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511"/>
              <w:spacing w:after="0"/>
              <w:rPr>
                <w:sz w:val="20"/>
                <w:szCs w:val="20"/>
                <w:color w:val="auto"/>
              </w:rPr>
            </w:pPr>
            <w:r>
              <w:rPr>
                <w:rFonts w:ascii="Verdana" w:cs="Verdana" w:eastAsia="Verdana" w:hAnsi="Verdana"/>
                <w:sz w:val="13"/>
                <w:szCs w:val="13"/>
                <w:b w:val="1"/>
                <w:bCs w:val="1"/>
                <w:color w:val="auto"/>
              </w:rPr>
              <w:t>Three Months Ended March 31,</w:t>
            </w:r>
          </w:p>
        </w:tc>
      </w:tr>
      <w:tr>
        <w:trPr>
          <w:trHeight w:val="170"/>
        </w:trPr>
        <w:tc>
          <w:tcPr>
            <w:tcW w:w="6300" w:type="dxa"/>
            <w:vAlign w:val="bottom"/>
            <w:tcBorders>
              <w:bottom w:val="single" w:sz="8" w:color="E0E7ED"/>
            </w:tcBorders>
          </w:tcPr>
          <w:p>
            <w:pPr>
              <w:spacing w:after="0"/>
              <w:rPr>
                <w:sz w:val="14"/>
                <w:szCs w:val="14"/>
                <w:color w:val="auto"/>
              </w:rPr>
            </w:pPr>
          </w:p>
        </w:tc>
        <w:tc>
          <w:tcPr>
            <w:tcW w:w="156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1"/>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63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156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75,767</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85,857</w:t>
            </w:r>
          </w:p>
        </w:tc>
      </w:tr>
      <w:tr>
        <w:trPr>
          <w:trHeight w:val="263"/>
        </w:trPr>
        <w:tc>
          <w:tcPr>
            <w:tcW w:w="630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1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0"/>
        </w:trPr>
        <w:tc>
          <w:tcPr>
            <w:tcW w:w="63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Tax-equivalent adjustment</w:t>
            </w:r>
            <w:r>
              <w:rPr>
                <w:rFonts w:ascii="Verdana" w:cs="Verdana" w:eastAsia="Verdana" w:hAnsi="Verdana"/>
                <w:sz w:val="11"/>
                <w:szCs w:val="11"/>
                <w:color w:val="auto"/>
              </w:rPr>
              <w:t>1</w:t>
            </w:r>
          </w:p>
        </w:tc>
        <w:tc>
          <w:tcPr>
            <w:tcW w:w="156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449</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ind w:right="191"/>
              <w:spacing w:after="0"/>
              <w:rPr>
                <w:sz w:val="20"/>
                <w:szCs w:val="20"/>
                <w:color w:val="auto"/>
              </w:rPr>
            </w:pPr>
            <w:r>
              <w:rPr>
                <w:rFonts w:ascii="Verdana" w:cs="Verdana" w:eastAsia="Verdana" w:hAnsi="Verdana"/>
                <w:sz w:val="18"/>
                <w:szCs w:val="18"/>
                <w:color w:val="auto"/>
              </w:rPr>
              <w:t>558</w:t>
            </w:r>
          </w:p>
        </w:tc>
      </w:tr>
      <w:tr>
        <w:trPr>
          <w:trHeight w:val="270"/>
        </w:trPr>
        <w:tc>
          <w:tcPr>
            <w:tcW w:w="6300" w:type="dxa"/>
            <w:vAlign w:val="bottom"/>
          </w:tcPr>
          <w:p>
            <w:pPr>
              <w:ind w:left="20"/>
              <w:spacing w:after="0"/>
              <w:rPr>
                <w:sz w:val="20"/>
                <w:szCs w:val="20"/>
                <w:color w:val="auto"/>
              </w:rPr>
            </w:pPr>
            <w:r>
              <w:rPr>
                <w:rFonts w:ascii="Verdana" w:cs="Verdana" w:eastAsia="Verdana" w:hAnsi="Verdana"/>
                <w:sz w:val="18"/>
                <w:szCs w:val="18"/>
                <w:color w:val="auto"/>
              </w:rPr>
              <w:t>Tax-equivalent net interest income</w:t>
            </w:r>
          </w:p>
        </w:tc>
        <w:tc>
          <w:tcPr>
            <w:tcW w:w="1560" w:type="dxa"/>
            <w:vAlign w:val="bottom"/>
          </w:tcPr>
          <w:p>
            <w:pPr>
              <w:ind w:left="300"/>
              <w:spacing w:after="0"/>
              <w:rPr>
                <w:sz w:val="20"/>
                <w:szCs w:val="20"/>
                <w:color w:val="auto"/>
              </w:rPr>
            </w:pPr>
            <w:r>
              <w:rPr>
                <w:rFonts w:ascii="Verdana" w:cs="Verdana" w:eastAsia="Verdana" w:hAnsi="Verdana"/>
                <w:sz w:val="18"/>
                <w:szCs w:val="18"/>
                <w:color w:val="auto"/>
              </w:rPr>
              <w:t>[a]</w:t>
            </w:r>
          </w:p>
        </w:tc>
        <w:tc>
          <w:tcPr>
            <w:tcW w:w="3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76,216</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86,415</w:t>
            </w:r>
          </w:p>
        </w:tc>
      </w:tr>
      <w:tr>
        <w:trPr>
          <w:trHeight w:val="20"/>
        </w:trPr>
        <w:tc>
          <w:tcPr>
            <w:tcW w:w="6300" w:type="dxa"/>
            <w:vAlign w:val="bottom"/>
            <w:tcBorders>
              <w:bottom w:val="single" w:sz="8" w:color="E0E7ED"/>
            </w:tcBorders>
          </w:tcPr>
          <w:p>
            <w:pPr>
              <w:spacing w:after="0" w:line="20" w:lineRule="exact"/>
              <w:rPr>
                <w:sz w:val="1"/>
                <w:szCs w:val="1"/>
                <w:color w:val="auto"/>
              </w:rPr>
            </w:pPr>
          </w:p>
        </w:tc>
        <w:tc>
          <w:tcPr>
            <w:tcW w:w="156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E0E7ED"/>
          </w:tcPr>
          <w:p>
            <w:pPr>
              <w:spacing w:after="0"/>
              <w:rPr>
                <w:sz w:val="20"/>
                <w:szCs w:val="20"/>
                <w:color w:val="auto"/>
              </w:rPr>
            </w:pPr>
          </w:p>
        </w:tc>
        <w:tc>
          <w:tcPr>
            <w:tcW w:w="156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r>
      <w:tr>
        <w:trPr>
          <w:trHeight w:val="263"/>
        </w:trPr>
        <w:tc>
          <w:tcPr>
            <w:tcW w:w="6300" w:type="dxa"/>
            <w:vAlign w:val="bottom"/>
          </w:tcPr>
          <w:p>
            <w:pPr>
              <w:ind w:left="20"/>
              <w:spacing w:after="0"/>
              <w:rPr>
                <w:sz w:val="20"/>
                <w:szCs w:val="20"/>
                <w:color w:val="auto"/>
              </w:rPr>
            </w:pPr>
            <w:r>
              <w:rPr>
                <w:rFonts w:ascii="Verdana" w:cs="Verdana" w:eastAsia="Verdana" w:hAnsi="Verdana"/>
                <w:sz w:val="18"/>
                <w:szCs w:val="18"/>
                <w:b w:val="1"/>
                <w:bCs w:val="1"/>
                <w:color w:val="auto"/>
              </w:rPr>
              <w:t>Total noninterest income</w:t>
            </w:r>
          </w:p>
        </w:tc>
        <w:tc>
          <w:tcPr>
            <w:tcW w:w="1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192"/>
              <w:spacing w:after="0"/>
              <w:rPr>
                <w:sz w:val="20"/>
                <w:szCs w:val="20"/>
                <w:color w:val="auto"/>
              </w:rPr>
            </w:pPr>
            <w:r>
              <w:rPr>
                <w:rFonts w:ascii="Verdana" w:cs="Verdana" w:eastAsia="Verdana" w:hAnsi="Verdana"/>
                <w:sz w:val="18"/>
                <w:szCs w:val="18"/>
                <w:color w:val="auto"/>
              </w:rPr>
              <w:t>35,000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191"/>
              <w:spacing w:after="0"/>
              <w:rPr>
                <w:sz w:val="20"/>
                <w:szCs w:val="20"/>
                <w:color w:val="auto"/>
              </w:rPr>
            </w:pPr>
            <w:r>
              <w:rPr>
                <w:rFonts w:ascii="Verdana" w:cs="Verdana" w:eastAsia="Verdana" w:hAnsi="Verdana"/>
                <w:sz w:val="18"/>
                <w:szCs w:val="18"/>
                <w:color w:val="auto"/>
              </w:rPr>
              <w:t>31,848</w:t>
            </w:r>
          </w:p>
        </w:tc>
      </w:tr>
      <w:tr>
        <w:trPr>
          <w:trHeight w:val="277"/>
        </w:trPr>
        <w:tc>
          <w:tcPr>
            <w:tcW w:w="63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Non-GAAP adjustments:</w:t>
            </w:r>
          </w:p>
        </w:tc>
        <w:tc>
          <w:tcPr>
            <w:tcW w:w="156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r>
      <w:tr>
        <w:trPr>
          <w:trHeight w:val="263"/>
        </w:trPr>
        <w:tc>
          <w:tcPr>
            <w:tcW w:w="63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Net security (gains) losses</w:t>
            </w:r>
          </w:p>
        </w:tc>
        <w:tc>
          <w:tcPr>
            <w:tcW w:w="156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6,375</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616</w:t>
            </w:r>
          </w:p>
        </w:tc>
      </w:tr>
      <w:tr>
        <w:trPr>
          <w:trHeight w:val="270"/>
        </w:trPr>
        <w:tc>
          <w:tcPr>
            <w:tcW w:w="63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Noninterest income excluding net securities gains and losses</w:t>
            </w:r>
          </w:p>
        </w:tc>
        <w:tc>
          <w:tcPr>
            <w:tcW w:w="1560" w:type="dxa"/>
            <w:vAlign w:val="bottom"/>
            <w:shd w:val="clear" w:color="auto" w:fill="E0E7ED"/>
          </w:tcPr>
          <w:p>
            <w:pPr>
              <w:ind w:left="300"/>
              <w:spacing w:after="0"/>
              <w:rPr>
                <w:sz w:val="20"/>
                <w:szCs w:val="20"/>
                <w:color w:val="auto"/>
              </w:rPr>
            </w:pPr>
            <w:r>
              <w:rPr>
                <w:rFonts w:ascii="Verdana" w:cs="Verdana" w:eastAsia="Verdana" w:hAnsi="Verdana"/>
                <w:sz w:val="18"/>
                <w:szCs w:val="18"/>
                <w:color w:val="auto"/>
              </w:rPr>
              <w:t>[b]</w:t>
            </w:r>
          </w:p>
        </w:tc>
        <w:tc>
          <w:tcPr>
            <w:tcW w:w="360" w:type="dxa"/>
            <w:vAlign w:val="bottom"/>
            <w:shd w:val="clear" w:color="auto" w:fill="E0E7ED"/>
          </w:tcPr>
          <w:p>
            <w:pPr>
              <w:spacing w:after="0"/>
              <w:rPr>
                <w:sz w:val="23"/>
                <w:szCs w:val="23"/>
                <w:color w:val="auto"/>
              </w:rPr>
            </w:pPr>
          </w:p>
        </w:tc>
        <w:tc>
          <w:tcPr>
            <w:tcW w:w="12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41,375</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2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32,464</w:t>
            </w:r>
          </w:p>
        </w:tc>
      </w:tr>
      <w:tr>
        <w:trPr>
          <w:trHeight w:val="263"/>
        </w:trPr>
        <w:tc>
          <w:tcPr>
            <w:tcW w:w="6300" w:type="dxa"/>
            <w:vAlign w:val="bottom"/>
          </w:tcPr>
          <w:p>
            <w:pPr>
              <w:ind w:left="180"/>
              <w:spacing w:after="0"/>
              <w:rPr>
                <w:sz w:val="20"/>
                <w:szCs w:val="20"/>
                <w:color w:val="auto"/>
              </w:rPr>
            </w:pPr>
            <w:r>
              <w:rPr>
                <w:rFonts w:ascii="Verdana" w:cs="Verdana" w:eastAsia="Verdana" w:hAnsi="Verdana"/>
                <w:sz w:val="18"/>
                <w:szCs w:val="18"/>
                <w:color w:val="auto"/>
              </w:rPr>
              <w:t>Further adjustments:</w:t>
            </w:r>
          </w:p>
        </w:tc>
        <w:tc>
          <w:tcPr>
            <w:tcW w:w="1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0"/>
        </w:trPr>
        <w:tc>
          <w:tcPr>
            <w:tcW w:w="63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Gain on sale of mortgage servicing rights</w:t>
            </w:r>
          </w:p>
        </w:tc>
        <w:tc>
          <w:tcPr>
            <w:tcW w:w="156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(7,465)</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ind w:right="191"/>
              <w:spacing w:after="0"/>
              <w:rPr>
                <w:sz w:val="20"/>
                <w:szCs w:val="20"/>
                <w:color w:val="auto"/>
              </w:rPr>
            </w:pPr>
            <w:r>
              <w:rPr>
                <w:rFonts w:ascii="Verdana" w:cs="Verdana" w:eastAsia="Verdana" w:hAnsi="Verdana"/>
                <w:sz w:val="18"/>
                <w:szCs w:val="18"/>
                <w:color w:val="auto"/>
              </w:rPr>
              <w:t>—</w:t>
            </w:r>
          </w:p>
        </w:tc>
      </w:tr>
      <w:tr>
        <w:trPr>
          <w:trHeight w:val="270"/>
        </w:trPr>
        <w:tc>
          <w:tcPr>
            <w:tcW w:w="6300" w:type="dxa"/>
            <w:vAlign w:val="bottom"/>
          </w:tcPr>
          <w:p>
            <w:pPr>
              <w:ind w:left="180"/>
              <w:spacing w:after="0"/>
              <w:rPr>
                <w:sz w:val="20"/>
                <w:szCs w:val="20"/>
                <w:color w:val="auto"/>
              </w:rPr>
            </w:pPr>
            <w:r>
              <w:rPr>
                <w:rFonts w:ascii="Verdana" w:cs="Verdana" w:eastAsia="Verdana" w:hAnsi="Verdana"/>
                <w:sz w:val="18"/>
                <w:szCs w:val="18"/>
                <w:color w:val="auto"/>
              </w:rPr>
              <w:t>Adjusted noninterest income</w:t>
            </w:r>
          </w:p>
        </w:tc>
        <w:tc>
          <w:tcPr>
            <w:tcW w:w="1560" w:type="dxa"/>
            <w:vAlign w:val="bottom"/>
          </w:tcPr>
          <w:p>
            <w:pPr>
              <w:ind w:left="300"/>
              <w:spacing w:after="0"/>
              <w:rPr>
                <w:sz w:val="20"/>
                <w:szCs w:val="20"/>
                <w:color w:val="auto"/>
              </w:rPr>
            </w:pPr>
            <w:r>
              <w:rPr>
                <w:rFonts w:ascii="Verdana" w:cs="Verdana" w:eastAsia="Verdana" w:hAnsi="Verdana"/>
                <w:sz w:val="18"/>
                <w:szCs w:val="18"/>
                <w:color w:val="auto"/>
              </w:rPr>
              <w:t>[c]</w:t>
            </w:r>
          </w:p>
        </w:tc>
        <w:tc>
          <w:tcPr>
            <w:tcW w:w="3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33,910</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32,464</w:t>
            </w:r>
          </w:p>
        </w:tc>
      </w:tr>
      <w:tr>
        <w:trPr>
          <w:trHeight w:val="20"/>
        </w:trPr>
        <w:tc>
          <w:tcPr>
            <w:tcW w:w="6300" w:type="dxa"/>
            <w:vAlign w:val="bottom"/>
            <w:tcBorders>
              <w:bottom w:val="single" w:sz="8" w:color="E0E7ED"/>
            </w:tcBorders>
          </w:tcPr>
          <w:p>
            <w:pPr>
              <w:spacing w:after="0" w:line="20" w:lineRule="exact"/>
              <w:rPr>
                <w:sz w:val="1"/>
                <w:szCs w:val="1"/>
                <w:color w:val="auto"/>
              </w:rPr>
            </w:pPr>
          </w:p>
        </w:tc>
        <w:tc>
          <w:tcPr>
            <w:tcW w:w="156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E0E7ED"/>
          </w:tcPr>
          <w:p>
            <w:pPr>
              <w:spacing w:after="0"/>
              <w:rPr>
                <w:sz w:val="20"/>
                <w:szCs w:val="20"/>
                <w:color w:val="auto"/>
              </w:rPr>
            </w:pPr>
          </w:p>
        </w:tc>
        <w:tc>
          <w:tcPr>
            <w:tcW w:w="156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r>
      <w:tr>
        <w:trPr>
          <w:trHeight w:val="263"/>
        </w:trPr>
        <w:tc>
          <w:tcPr>
            <w:tcW w:w="6300" w:type="dxa"/>
            <w:vAlign w:val="bottom"/>
          </w:tcPr>
          <w:p>
            <w:pPr>
              <w:ind w:left="20"/>
              <w:spacing w:after="0"/>
              <w:rPr>
                <w:sz w:val="20"/>
                <w:szCs w:val="20"/>
                <w:color w:val="auto"/>
              </w:rPr>
            </w:pPr>
            <w:r>
              <w:rPr>
                <w:rFonts w:ascii="Verdana" w:cs="Verdana" w:eastAsia="Verdana" w:hAnsi="Verdana"/>
                <w:sz w:val="18"/>
                <w:szCs w:val="18"/>
                <w:color w:val="auto"/>
              </w:rPr>
              <w:t>Tax-equivalent revenue</w:t>
            </w:r>
          </w:p>
        </w:tc>
        <w:tc>
          <w:tcPr>
            <w:tcW w:w="1560" w:type="dxa"/>
            <w:vAlign w:val="bottom"/>
          </w:tcPr>
          <w:p>
            <w:pPr>
              <w:ind w:left="300"/>
              <w:spacing w:after="0"/>
              <w:rPr>
                <w:sz w:val="20"/>
                <w:szCs w:val="20"/>
                <w:color w:val="auto"/>
              </w:rPr>
            </w:pPr>
            <w:r>
              <w:rPr>
                <w:rFonts w:ascii="Verdana" w:cs="Verdana" w:eastAsia="Verdana" w:hAnsi="Verdana"/>
                <w:sz w:val="18"/>
                <w:szCs w:val="18"/>
                <w:color w:val="auto"/>
              </w:rPr>
              <w:t>[d = a+b]</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ind w:right="192"/>
              <w:spacing w:after="0"/>
              <w:rPr>
                <w:sz w:val="20"/>
                <w:szCs w:val="20"/>
                <w:color w:val="auto"/>
              </w:rPr>
            </w:pPr>
            <w:r>
              <w:rPr>
                <w:rFonts w:ascii="Verdana" w:cs="Verdana" w:eastAsia="Verdana" w:hAnsi="Verdana"/>
                <w:sz w:val="18"/>
                <w:szCs w:val="18"/>
                <w:color w:val="auto"/>
              </w:rPr>
              <w:t>117,591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ind w:right="191"/>
              <w:spacing w:after="0"/>
              <w:rPr>
                <w:sz w:val="20"/>
                <w:szCs w:val="20"/>
                <w:color w:val="auto"/>
              </w:rPr>
            </w:pPr>
            <w:r>
              <w:rPr>
                <w:rFonts w:ascii="Verdana" w:cs="Verdana" w:eastAsia="Verdana" w:hAnsi="Verdana"/>
                <w:sz w:val="18"/>
                <w:szCs w:val="18"/>
                <w:color w:val="auto"/>
              </w:rPr>
              <w:t>118,879</w:t>
            </w:r>
          </w:p>
        </w:tc>
      </w:tr>
      <w:tr>
        <w:trPr>
          <w:trHeight w:val="277"/>
        </w:trPr>
        <w:tc>
          <w:tcPr>
            <w:tcW w:w="63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tax-equivalent revenue</w:t>
            </w:r>
          </w:p>
        </w:tc>
        <w:tc>
          <w:tcPr>
            <w:tcW w:w="1560" w:type="dxa"/>
            <w:vAlign w:val="bottom"/>
            <w:shd w:val="clear" w:color="auto" w:fill="E0E7ED"/>
          </w:tcPr>
          <w:p>
            <w:pPr>
              <w:ind w:left="300"/>
              <w:spacing w:after="0"/>
              <w:rPr>
                <w:sz w:val="20"/>
                <w:szCs w:val="20"/>
                <w:color w:val="auto"/>
              </w:rPr>
            </w:pPr>
            <w:r>
              <w:rPr>
                <w:rFonts w:ascii="Verdana" w:cs="Verdana" w:eastAsia="Verdana" w:hAnsi="Verdana"/>
                <w:sz w:val="18"/>
                <w:szCs w:val="18"/>
                <w:color w:val="auto"/>
              </w:rPr>
              <w:t>[e = a+c]</w:t>
            </w: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110,126</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118,879</w:t>
            </w:r>
          </w:p>
        </w:tc>
      </w:tr>
      <w:tr>
        <w:trPr>
          <w:trHeight w:val="270"/>
        </w:trPr>
        <w:tc>
          <w:tcPr>
            <w:tcW w:w="63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63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noninterest expense</w:t>
            </w:r>
          </w:p>
        </w:tc>
        <w:tc>
          <w:tcPr>
            <w:tcW w:w="156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70,769</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70,403</w:t>
            </w:r>
          </w:p>
        </w:tc>
      </w:tr>
      <w:tr>
        <w:trPr>
          <w:trHeight w:val="263"/>
        </w:trPr>
        <w:tc>
          <w:tcPr>
            <w:tcW w:w="630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1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0"/>
        </w:trPr>
        <w:tc>
          <w:tcPr>
            <w:tcW w:w="63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intangible assets</w:t>
            </w:r>
          </w:p>
        </w:tc>
        <w:tc>
          <w:tcPr>
            <w:tcW w:w="1560" w:type="dxa"/>
            <w:vAlign w:val="bottom"/>
            <w:shd w:val="clear" w:color="auto" w:fill="E0E7ED"/>
          </w:tcPr>
          <w:p>
            <w:pPr>
              <w:ind w:left="300"/>
              <w:spacing w:after="0"/>
              <w:rPr>
                <w:sz w:val="20"/>
                <w:szCs w:val="20"/>
                <w:color w:val="auto"/>
              </w:rPr>
            </w:pPr>
            <w:r>
              <w:rPr>
                <w:rFonts w:ascii="Verdana" w:cs="Verdana" w:eastAsia="Verdana" w:hAnsi="Verdana"/>
                <w:sz w:val="18"/>
                <w:szCs w:val="18"/>
                <w:color w:val="auto"/>
              </w:rPr>
              <w:t>[f]</w:t>
            </w:r>
          </w:p>
        </w:tc>
        <w:tc>
          <w:tcPr>
            <w:tcW w:w="36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(2,409)</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ind w:right="131"/>
              <w:spacing w:after="0"/>
              <w:rPr>
                <w:sz w:val="20"/>
                <w:szCs w:val="20"/>
                <w:color w:val="auto"/>
              </w:rPr>
            </w:pPr>
            <w:r>
              <w:rPr>
                <w:rFonts w:ascii="Verdana" w:cs="Verdana" w:eastAsia="Verdana" w:hAnsi="Verdana"/>
                <w:sz w:val="18"/>
                <w:szCs w:val="18"/>
                <w:color w:val="auto"/>
              </w:rPr>
              <w:t>(2,729)</w:t>
            </w:r>
          </w:p>
        </w:tc>
      </w:tr>
      <w:tr>
        <w:trPr>
          <w:trHeight w:val="263"/>
        </w:trPr>
        <w:tc>
          <w:tcPr>
            <w:tcW w:w="6300" w:type="dxa"/>
            <w:vAlign w:val="bottom"/>
          </w:tcPr>
          <w:p>
            <w:pPr>
              <w:ind w:left="180"/>
              <w:spacing w:after="0"/>
              <w:rPr>
                <w:sz w:val="20"/>
                <w:szCs w:val="20"/>
                <w:color w:val="auto"/>
              </w:rPr>
            </w:pPr>
            <w:r>
              <w:rPr>
                <w:rFonts w:ascii="Verdana" w:cs="Verdana" w:eastAsia="Verdana" w:hAnsi="Verdana"/>
                <w:sz w:val="18"/>
                <w:szCs w:val="18"/>
                <w:color w:val="auto"/>
              </w:rPr>
              <w:t>Noninterest expense excluding amortization of intangible assets</w:t>
            </w:r>
          </w:p>
        </w:tc>
        <w:tc>
          <w:tcPr>
            <w:tcW w:w="1560" w:type="dxa"/>
            <w:vAlign w:val="bottom"/>
          </w:tcPr>
          <w:p>
            <w:pPr>
              <w:ind w:left="300"/>
              <w:spacing w:after="0"/>
              <w:rPr>
                <w:sz w:val="20"/>
                <w:szCs w:val="20"/>
                <w:color w:val="auto"/>
              </w:rPr>
            </w:pPr>
            <w:r>
              <w:rPr>
                <w:rFonts w:ascii="Verdana" w:cs="Verdana" w:eastAsia="Verdana" w:hAnsi="Verdana"/>
                <w:sz w:val="18"/>
                <w:szCs w:val="18"/>
                <w:color w:val="auto"/>
              </w:rPr>
              <w:t>[g]</w:t>
            </w:r>
          </w:p>
        </w:tc>
        <w:tc>
          <w:tcPr>
            <w:tcW w:w="360" w:type="dxa"/>
            <w:vAlign w:val="bottom"/>
          </w:tcPr>
          <w:p>
            <w:pPr>
              <w:spacing w:after="0"/>
              <w:rPr>
                <w:sz w:val="22"/>
                <w:szCs w:val="22"/>
                <w:color w:val="auto"/>
              </w:rPr>
            </w:pPr>
          </w:p>
        </w:tc>
        <w:tc>
          <w:tcPr>
            <w:tcW w:w="1280" w:type="dxa"/>
            <w:vAlign w:val="bottom"/>
          </w:tcPr>
          <w:p>
            <w:pPr>
              <w:jc w:val="right"/>
              <w:ind w:right="192"/>
              <w:spacing w:after="0"/>
              <w:rPr>
                <w:sz w:val="20"/>
                <w:szCs w:val="20"/>
                <w:color w:val="auto"/>
              </w:rPr>
            </w:pPr>
            <w:r>
              <w:rPr>
                <w:rFonts w:ascii="Verdana" w:cs="Verdana" w:eastAsia="Verdana" w:hAnsi="Verdana"/>
                <w:sz w:val="18"/>
                <w:szCs w:val="18"/>
                <w:color w:val="auto"/>
              </w:rPr>
              <w:t>68,360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191"/>
              <w:spacing w:after="0"/>
              <w:rPr>
                <w:sz w:val="20"/>
                <w:szCs w:val="20"/>
                <w:color w:val="auto"/>
              </w:rPr>
            </w:pPr>
            <w:r>
              <w:rPr>
                <w:rFonts w:ascii="Verdana" w:cs="Verdana" w:eastAsia="Verdana" w:hAnsi="Verdana"/>
                <w:sz w:val="18"/>
                <w:szCs w:val="18"/>
                <w:color w:val="auto"/>
              </w:rPr>
              <w:t>67,674</w:t>
            </w:r>
          </w:p>
        </w:tc>
      </w:tr>
      <w:tr>
        <w:trPr>
          <w:trHeight w:val="277"/>
        </w:trPr>
        <w:tc>
          <w:tcPr>
            <w:tcW w:w="63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Non-operating adjustments:</w:t>
            </w:r>
          </w:p>
        </w:tc>
        <w:tc>
          <w:tcPr>
            <w:tcW w:w="156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r>
      <w:tr>
        <w:trPr>
          <w:trHeight w:val="263"/>
        </w:trPr>
        <w:tc>
          <w:tcPr>
            <w:tcW w:w="6300" w:type="dxa"/>
            <w:vAlign w:val="bottom"/>
          </w:tcPr>
          <w:p>
            <w:pPr>
              <w:ind w:left="360"/>
              <w:spacing w:after="0"/>
              <w:rPr>
                <w:sz w:val="20"/>
                <w:szCs w:val="20"/>
                <w:color w:val="auto"/>
              </w:rPr>
            </w:pPr>
            <w:r>
              <w:rPr>
                <w:rFonts w:ascii="Verdana" w:cs="Verdana" w:eastAsia="Verdana" w:hAnsi="Verdana"/>
                <w:sz w:val="18"/>
                <w:szCs w:val="18"/>
                <w:color w:val="auto"/>
              </w:rPr>
              <w:t>Salaries, wages, and employee benefits</w:t>
            </w:r>
          </w:p>
        </w:tc>
        <w:tc>
          <w:tcPr>
            <w:tcW w:w="1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132"/>
              <w:spacing w:after="0"/>
              <w:rPr>
                <w:sz w:val="20"/>
                <w:szCs w:val="20"/>
                <w:color w:val="auto"/>
              </w:rPr>
            </w:pPr>
            <w:r>
              <w:rPr>
                <w:rFonts w:ascii="Verdana" w:cs="Verdana" w:eastAsia="Verdana" w:hAnsi="Verdana"/>
                <w:sz w:val="18"/>
                <w:szCs w:val="18"/>
                <w:color w:val="auto"/>
              </w:rPr>
              <w:t>(123)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191"/>
              <w:spacing w:after="0"/>
              <w:rPr>
                <w:sz w:val="20"/>
                <w:szCs w:val="20"/>
                <w:color w:val="auto"/>
              </w:rPr>
            </w:pPr>
            <w:r>
              <w:rPr>
                <w:rFonts w:ascii="Verdana" w:cs="Verdana" w:eastAsia="Verdana" w:hAnsi="Verdana"/>
                <w:sz w:val="18"/>
                <w:szCs w:val="18"/>
                <w:color w:val="auto"/>
              </w:rPr>
              <w:t>—</w:t>
            </w:r>
          </w:p>
        </w:tc>
      </w:tr>
      <w:tr>
        <w:trPr>
          <w:trHeight w:val="277"/>
        </w:trPr>
        <w:tc>
          <w:tcPr>
            <w:tcW w:w="63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Data processing</w:t>
            </w:r>
          </w:p>
        </w:tc>
        <w:tc>
          <w:tcPr>
            <w:tcW w:w="156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32"/>
              <w:spacing w:after="0"/>
              <w:rPr>
                <w:sz w:val="20"/>
                <w:szCs w:val="20"/>
                <w:color w:val="auto"/>
              </w:rPr>
            </w:pPr>
            <w:r>
              <w:rPr>
                <w:rFonts w:ascii="Verdana" w:cs="Verdana" w:eastAsia="Verdana" w:hAnsi="Verdana"/>
                <w:sz w:val="18"/>
                <w:szCs w:val="18"/>
                <w:color w:val="auto"/>
              </w:rPr>
              <w:t>(100)</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w:t>
            </w:r>
          </w:p>
        </w:tc>
      </w:tr>
      <w:tr>
        <w:trPr>
          <w:trHeight w:val="263"/>
        </w:trPr>
        <w:tc>
          <w:tcPr>
            <w:tcW w:w="630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Professional fees, occupancy, furniture and fixtures, and other</w:t>
            </w:r>
          </w:p>
        </w:tc>
        <w:tc>
          <w:tcPr>
            <w:tcW w:w="156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2"/>
              <w:spacing w:after="0"/>
              <w:rPr>
                <w:sz w:val="20"/>
                <w:szCs w:val="20"/>
                <w:color w:val="auto"/>
              </w:rPr>
            </w:pPr>
            <w:r>
              <w:rPr>
                <w:rFonts w:ascii="Verdana" w:cs="Verdana" w:eastAsia="Verdana" w:hAnsi="Verdana"/>
                <w:sz w:val="18"/>
                <w:szCs w:val="18"/>
                <w:color w:val="auto"/>
              </w:rPr>
              <w:t>(185)</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w:t>
            </w:r>
          </w:p>
        </w:tc>
      </w:tr>
      <w:tr>
        <w:trPr>
          <w:trHeight w:val="270"/>
        </w:trPr>
        <w:tc>
          <w:tcPr>
            <w:tcW w:w="63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noninterest expense</w:t>
            </w:r>
          </w:p>
        </w:tc>
        <w:tc>
          <w:tcPr>
            <w:tcW w:w="1560" w:type="dxa"/>
            <w:vAlign w:val="bottom"/>
            <w:shd w:val="clear" w:color="auto" w:fill="E0E7ED"/>
          </w:tcPr>
          <w:p>
            <w:pPr>
              <w:ind w:left="300"/>
              <w:spacing w:after="0"/>
              <w:rPr>
                <w:sz w:val="20"/>
                <w:szCs w:val="20"/>
                <w:color w:val="auto"/>
              </w:rPr>
            </w:pPr>
            <w:r>
              <w:rPr>
                <w:rFonts w:ascii="Verdana" w:cs="Verdana" w:eastAsia="Verdana" w:hAnsi="Verdana"/>
                <w:sz w:val="18"/>
                <w:szCs w:val="18"/>
                <w:color w:val="auto"/>
              </w:rPr>
              <w:t>[h]</w:t>
            </w:r>
          </w:p>
        </w:tc>
        <w:tc>
          <w:tcPr>
            <w:tcW w:w="360" w:type="dxa"/>
            <w:vAlign w:val="bottom"/>
            <w:shd w:val="clear" w:color="auto" w:fill="E0E7ED"/>
          </w:tcPr>
          <w:p>
            <w:pPr>
              <w:spacing w:after="0"/>
              <w:rPr>
                <w:sz w:val="23"/>
                <w:szCs w:val="23"/>
                <w:color w:val="auto"/>
              </w:rPr>
            </w:pPr>
          </w:p>
        </w:tc>
        <w:tc>
          <w:tcPr>
            <w:tcW w:w="12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67,952</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28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67,674</w:t>
            </w:r>
          </w:p>
        </w:tc>
      </w:tr>
      <w:tr>
        <w:trPr>
          <w:trHeight w:val="263"/>
        </w:trPr>
        <w:tc>
          <w:tcPr>
            <w:tcW w:w="6300" w:type="dxa"/>
            <w:vAlign w:val="bottom"/>
          </w:tcPr>
          <w:p>
            <w:pPr>
              <w:ind w:left="180"/>
              <w:spacing w:after="0"/>
              <w:rPr>
                <w:sz w:val="20"/>
                <w:szCs w:val="20"/>
                <w:color w:val="auto"/>
              </w:rPr>
            </w:pPr>
            <w:r>
              <w:rPr>
                <w:rFonts w:ascii="Verdana" w:cs="Verdana" w:eastAsia="Verdana" w:hAnsi="Verdana"/>
                <w:sz w:val="18"/>
                <w:szCs w:val="18"/>
                <w:color w:val="auto"/>
              </w:rPr>
              <w:t>Provision for unfunded commitments</w:t>
            </w:r>
          </w:p>
        </w:tc>
        <w:tc>
          <w:tcPr>
            <w:tcW w:w="1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192"/>
              <w:spacing w:after="0"/>
              <w:rPr>
                <w:sz w:val="20"/>
                <w:szCs w:val="20"/>
                <w:color w:val="auto"/>
              </w:rPr>
            </w:pPr>
            <w:r>
              <w:rPr>
                <w:rFonts w:ascii="Verdana" w:cs="Verdana" w:eastAsia="Verdana" w:hAnsi="Verdana"/>
                <w:sz w:val="18"/>
                <w:szCs w:val="18"/>
                <w:color w:val="auto"/>
              </w:rPr>
              <w:t>678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191"/>
              <w:spacing w:after="0"/>
              <w:rPr>
                <w:sz w:val="20"/>
                <w:szCs w:val="20"/>
                <w:color w:val="auto"/>
              </w:rPr>
            </w:pPr>
            <w:r>
              <w:rPr>
                <w:rFonts w:ascii="Verdana" w:cs="Verdana" w:eastAsia="Verdana" w:hAnsi="Verdana"/>
                <w:sz w:val="18"/>
                <w:szCs w:val="18"/>
                <w:color w:val="auto"/>
              </w:rPr>
              <w:t>635</w:t>
            </w:r>
          </w:p>
        </w:tc>
      </w:tr>
      <w:tr>
        <w:trPr>
          <w:trHeight w:val="270"/>
        </w:trPr>
        <w:tc>
          <w:tcPr>
            <w:tcW w:w="63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NMTC</w:t>
            </w:r>
          </w:p>
        </w:tc>
        <w:tc>
          <w:tcPr>
            <w:tcW w:w="156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38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360" w:type="dxa"/>
            <w:vAlign w:val="bottom"/>
            <w:shd w:val="clear" w:color="auto" w:fill="E0E7ED"/>
          </w:tcPr>
          <w:p>
            <w:pPr>
              <w:spacing w:after="0"/>
              <w:rPr>
                <w:sz w:val="23"/>
                <w:szCs w:val="23"/>
                <w:color w:val="auto"/>
              </w:rPr>
            </w:pPr>
          </w:p>
        </w:tc>
        <w:tc>
          <w:tcPr>
            <w:tcW w:w="1280" w:type="dxa"/>
            <w:vAlign w:val="bottom"/>
            <w:shd w:val="clear" w:color="auto" w:fill="E0E7ED"/>
          </w:tcPr>
          <w:p>
            <w:pPr>
              <w:jc w:val="right"/>
              <w:ind w:right="131"/>
              <w:spacing w:after="0"/>
              <w:rPr>
                <w:sz w:val="20"/>
                <w:szCs w:val="20"/>
                <w:color w:val="auto"/>
              </w:rPr>
            </w:pPr>
            <w:r>
              <w:rPr>
                <w:rFonts w:ascii="Verdana" w:cs="Verdana" w:eastAsia="Verdana" w:hAnsi="Verdana"/>
                <w:sz w:val="18"/>
                <w:szCs w:val="18"/>
                <w:color w:val="auto"/>
              </w:rPr>
              <w:t>(2,221)</w:t>
            </w:r>
          </w:p>
        </w:tc>
      </w:tr>
      <w:tr>
        <w:trPr>
          <w:trHeight w:val="270"/>
        </w:trPr>
        <w:tc>
          <w:tcPr>
            <w:tcW w:w="6300" w:type="dxa"/>
            <w:vAlign w:val="bottom"/>
          </w:tcPr>
          <w:p>
            <w:pPr>
              <w:ind w:left="20"/>
              <w:spacing w:after="0"/>
              <w:rPr>
                <w:sz w:val="20"/>
                <w:szCs w:val="20"/>
                <w:color w:val="auto"/>
              </w:rPr>
            </w:pPr>
            <w:r>
              <w:rPr>
                <w:rFonts w:ascii="Verdana" w:cs="Verdana" w:eastAsia="Verdana" w:hAnsi="Verdana"/>
                <w:sz w:val="18"/>
                <w:szCs w:val="18"/>
                <w:color w:val="auto"/>
              </w:rPr>
              <w:t>Adjusted core expense</w:t>
            </w:r>
          </w:p>
        </w:tc>
        <w:tc>
          <w:tcPr>
            <w:tcW w:w="1560" w:type="dxa"/>
            <w:vAlign w:val="bottom"/>
          </w:tcPr>
          <w:p>
            <w:pPr>
              <w:ind w:left="300"/>
              <w:spacing w:after="0"/>
              <w:rPr>
                <w:sz w:val="20"/>
                <w:szCs w:val="20"/>
                <w:color w:val="auto"/>
              </w:rPr>
            </w:pPr>
            <w:r>
              <w:rPr>
                <w:rFonts w:ascii="Verdana" w:cs="Verdana" w:eastAsia="Verdana" w:hAnsi="Verdana"/>
                <w:sz w:val="18"/>
                <w:szCs w:val="18"/>
                <w:color w:val="auto"/>
              </w:rPr>
              <w:t>[i]</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tcBorders>
              <w:top w:val="single" w:sz="8" w:color="auto"/>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68,630</w:t>
            </w:r>
          </w:p>
        </w:tc>
        <w:tc>
          <w:tcPr>
            <w:tcW w:w="10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tcBorders>
              <w:top w:val="single" w:sz="8" w:color="auto"/>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66,088</w:t>
            </w:r>
          </w:p>
        </w:tc>
      </w:tr>
      <w:tr>
        <w:trPr>
          <w:trHeight w:val="20"/>
        </w:trPr>
        <w:tc>
          <w:tcPr>
            <w:tcW w:w="6300" w:type="dxa"/>
            <w:vAlign w:val="bottom"/>
            <w:tcBorders>
              <w:bottom w:val="single" w:sz="8" w:color="E0E7ED"/>
            </w:tcBorders>
          </w:tcPr>
          <w:p>
            <w:pPr>
              <w:spacing w:after="0" w:line="20" w:lineRule="exact"/>
              <w:rPr>
                <w:sz w:val="1"/>
                <w:szCs w:val="1"/>
                <w:color w:val="auto"/>
              </w:rPr>
            </w:pPr>
          </w:p>
        </w:tc>
        <w:tc>
          <w:tcPr>
            <w:tcW w:w="156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E0E7ED"/>
          </w:tcPr>
          <w:p>
            <w:pPr>
              <w:spacing w:after="0"/>
              <w:rPr>
                <w:sz w:val="20"/>
                <w:szCs w:val="20"/>
                <w:color w:val="auto"/>
              </w:rPr>
            </w:pPr>
          </w:p>
        </w:tc>
        <w:tc>
          <w:tcPr>
            <w:tcW w:w="156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r>
      <w:tr>
        <w:trPr>
          <w:trHeight w:val="263"/>
        </w:trPr>
        <w:tc>
          <w:tcPr>
            <w:tcW w:w="6300" w:type="dxa"/>
            <w:vAlign w:val="bottom"/>
          </w:tcPr>
          <w:p>
            <w:pPr>
              <w:ind w:left="20"/>
              <w:spacing w:after="0"/>
              <w:rPr>
                <w:sz w:val="20"/>
                <w:szCs w:val="20"/>
                <w:color w:val="auto"/>
              </w:rPr>
            </w:pPr>
            <w:r>
              <w:rPr>
                <w:rFonts w:ascii="Verdana" w:cs="Verdana" w:eastAsia="Verdana" w:hAnsi="Verdana"/>
                <w:sz w:val="18"/>
                <w:szCs w:val="18"/>
                <w:color w:val="auto"/>
              </w:rPr>
              <w:t>Noninterest expense, excluding non-operating adjustments</w:t>
            </w:r>
          </w:p>
        </w:tc>
        <w:tc>
          <w:tcPr>
            <w:tcW w:w="1560" w:type="dxa"/>
            <w:vAlign w:val="bottom"/>
          </w:tcPr>
          <w:p>
            <w:pPr>
              <w:ind w:left="300"/>
              <w:spacing w:after="0"/>
              <w:rPr>
                <w:sz w:val="20"/>
                <w:szCs w:val="20"/>
                <w:color w:val="auto"/>
              </w:rPr>
            </w:pPr>
            <w:r>
              <w:rPr>
                <w:rFonts w:ascii="Verdana" w:cs="Verdana" w:eastAsia="Verdana" w:hAnsi="Verdana"/>
                <w:sz w:val="18"/>
                <w:szCs w:val="18"/>
                <w:color w:val="auto"/>
              </w:rPr>
              <w:t>[h-f]</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ind w:right="192"/>
              <w:spacing w:after="0"/>
              <w:rPr>
                <w:sz w:val="20"/>
                <w:szCs w:val="20"/>
                <w:color w:val="auto"/>
              </w:rPr>
            </w:pPr>
            <w:r>
              <w:rPr>
                <w:rFonts w:ascii="Verdana" w:cs="Verdana" w:eastAsia="Verdana" w:hAnsi="Verdana"/>
                <w:sz w:val="18"/>
                <w:szCs w:val="18"/>
                <w:color w:val="auto"/>
              </w:rPr>
              <w:t>70,361</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ind w:right="191"/>
              <w:spacing w:after="0"/>
              <w:rPr>
                <w:sz w:val="20"/>
                <w:szCs w:val="20"/>
                <w:color w:val="auto"/>
              </w:rPr>
            </w:pPr>
            <w:r>
              <w:rPr>
                <w:rFonts w:ascii="Verdana" w:cs="Verdana" w:eastAsia="Verdana" w:hAnsi="Verdana"/>
                <w:sz w:val="18"/>
                <w:szCs w:val="18"/>
                <w:color w:val="auto"/>
              </w:rPr>
              <w:t>70,403</w:t>
            </w:r>
          </w:p>
        </w:tc>
      </w:tr>
      <w:tr>
        <w:trPr>
          <w:trHeight w:val="277"/>
        </w:trPr>
        <w:tc>
          <w:tcPr>
            <w:tcW w:w="6300" w:type="dxa"/>
            <w:vAlign w:val="bottom"/>
            <w:shd w:val="clear" w:color="auto" w:fill="E0E7ED"/>
          </w:tcPr>
          <w:p>
            <w:pPr>
              <w:spacing w:after="0"/>
              <w:rPr>
                <w:sz w:val="24"/>
                <w:szCs w:val="24"/>
                <w:color w:val="auto"/>
              </w:rPr>
            </w:pPr>
          </w:p>
        </w:tc>
        <w:tc>
          <w:tcPr>
            <w:tcW w:w="156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r>
      <w:tr>
        <w:trPr>
          <w:trHeight w:val="263"/>
        </w:trPr>
        <w:tc>
          <w:tcPr>
            <w:tcW w:w="630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Efficiency ratio</w:t>
            </w:r>
          </w:p>
        </w:tc>
        <w:tc>
          <w:tcPr>
            <w:tcW w:w="1560" w:type="dxa"/>
            <w:vAlign w:val="bottom"/>
          </w:tcPr>
          <w:p>
            <w:pPr>
              <w:ind w:left="300"/>
              <w:spacing w:after="0"/>
              <w:rPr>
                <w:sz w:val="20"/>
                <w:szCs w:val="20"/>
                <w:color w:val="auto"/>
              </w:rPr>
            </w:pPr>
            <w:r>
              <w:rPr>
                <w:rFonts w:ascii="Verdana" w:cs="Verdana" w:eastAsia="Verdana" w:hAnsi="Verdana"/>
                <w:sz w:val="18"/>
                <w:szCs w:val="18"/>
                <w:color w:val="auto"/>
              </w:rPr>
              <w:t>[g÷d]</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58.13 %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56.93 %</w:t>
            </w:r>
          </w:p>
        </w:tc>
      </w:tr>
      <w:tr>
        <w:trPr>
          <w:trHeight w:val="277"/>
        </w:trPr>
        <w:tc>
          <w:tcPr>
            <w:tcW w:w="63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Efficiency ratio</w:t>
            </w:r>
          </w:p>
        </w:tc>
        <w:tc>
          <w:tcPr>
            <w:tcW w:w="1560" w:type="dxa"/>
            <w:vAlign w:val="bottom"/>
            <w:shd w:val="clear" w:color="auto" w:fill="E0E7ED"/>
          </w:tcPr>
          <w:p>
            <w:pPr>
              <w:ind w:left="300"/>
              <w:spacing w:after="0"/>
              <w:rPr>
                <w:sz w:val="20"/>
                <w:szCs w:val="20"/>
                <w:color w:val="auto"/>
              </w:rPr>
            </w:pPr>
            <w:r>
              <w:rPr>
                <w:rFonts w:ascii="Verdana" w:cs="Verdana" w:eastAsia="Verdana" w:hAnsi="Verdana"/>
                <w:sz w:val="18"/>
                <w:szCs w:val="18"/>
                <w:color w:val="auto"/>
              </w:rPr>
              <w:t>[h÷e]</w:t>
            </w: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61.70 %</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56.93 %</w:t>
            </w:r>
          </w:p>
        </w:tc>
      </w:tr>
      <w:tr>
        <w:trPr>
          <w:trHeight w:val="256"/>
        </w:trPr>
        <w:tc>
          <w:tcPr>
            <w:tcW w:w="630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Core efficiency ratio</w:t>
            </w:r>
          </w:p>
        </w:tc>
        <w:tc>
          <w:tcPr>
            <w:tcW w:w="1560" w:type="dxa"/>
            <w:vAlign w:val="bottom"/>
          </w:tcPr>
          <w:p>
            <w:pPr>
              <w:ind w:left="300"/>
              <w:spacing w:after="0"/>
              <w:rPr>
                <w:sz w:val="20"/>
                <w:szCs w:val="20"/>
                <w:color w:val="auto"/>
              </w:rPr>
            </w:pPr>
            <w:r>
              <w:rPr>
                <w:rFonts w:ascii="Verdana" w:cs="Verdana" w:eastAsia="Verdana" w:hAnsi="Verdana"/>
                <w:sz w:val="18"/>
                <w:szCs w:val="18"/>
                <w:color w:val="auto"/>
              </w:rPr>
              <w:t>[i÷e]</w:t>
            </w: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62.32 %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55.59 %</w:t>
            </w:r>
          </w:p>
        </w:tc>
      </w:tr>
    </w:tbl>
    <w:p>
      <w:pPr>
        <w:spacing w:after="0" w:line="9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26"/>
        </w:numPr>
        <w:rPr>
          <w:rFonts w:ascii="Verdana" w:cs="Verdana" w:eastAsia="Verdana" w:hAnsi="Verdana"/>
          <w:sz w:val="12"/>
          <w:szCs w:val="12"/>
          <w:color w:val="auto"/>
        </w:rPr>
      </w:pPr>
      <w:r>
        <w:rPr>
          <w:rFonts w:ascii="Verdana" w:cs="Verdana" w:eastAsia="Verdana" w:hAnsi="Verdana"/>
          <w:sz w:val="12"/>
          <w:szCs w:val="12"/>
          <w:color w:val="auto"/>
        </w:rPr>
        <w:t>The tax-equivalent adjustments were calculated using an estimated federal income tax rate of 21%, applied to non-taxable interest income on investments and loans.</w:t>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89" w:name="page90"/>
    <w:bookmarkEnd w:id="8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Tangible Book Value and Tangible Book Value Per Common Share</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4"/>
          </w:tcPr>
          <w:p>
            <w:pPr>
              <w:jc w:val="right"/>
              <w:ind w:right="20"/>
              <w:spacing w:after="0"/>
              <w:rPr>
                <w:sz w:val="20"/>
                <w:szCs w:val="20"/>
                <w:color w:val="auto"/>
              </w:rPr>
            </w:pPr>
            <w:r>
              <w:rPr>
                <w:rFonts w:ascii="Verdana" w:cs="Verdana" w:eastAsia="Verdana" w:hAnsi="Verdana"/>
                <w:sz w:val="13"/>
                <w:szCs w:val="13"/>
                <w:b w:val="1"/>
                <w:bCs w:val="1"/>
                <w:color w:val="auto"/>
              </w:rPr>
              <w:t>As of</w:t>
            </w:r>
          </w:p>
        </w:tc>
        <w:tc>
          <w:tcPr>
            <w:tcW w:w="1360" w:type="dxa"/>
            <w:vAlign w:val="bottom"/>
            <w:tcBorders>
              <w:bottom w:val="single" w:sz="8" w:color="auto"/>
            </w:tcBorders>
          </w:tcPr>
          <w:p>
            <w:pPr>
              <w:spacing w:after="0"/>
              <w:rPr>
                <w:sz w:val="15"/>
                <w:szCs w:val="15"/>
                <w:color w:val="auto"/>
              </w:rPr>
            </w:pPr>
          </w:p>
        </w:tc>
      </w:tr>
      <w:tr>
        <w:trPr>
          <w:trHeight w:val="122"/>
        </w:trPr>
        <w:tc>
          <w:tcPr>
            <w:tcW w:w="44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right"/>
              <w:ind w:right="297"/>
              <w:spacing w:after="0" w:line="122" w:lineRule="exact"/>
              <w:rPr>
                <w:sz w:val="20"/>
                <w:szCs w:val="20"/>
                <w:color w:val="auto"/>
              </w:rPr>
            </w:pPr>
            <w:r>
              <w:rPr>
                <w:rFonts w:ascii="Verdana" w:cs="Verdana" w:eastAsia="Verdana" w:hAnsi="Verdana"/>
                <w:sz w:val="13"/>
                <w:szCs w:val="13"/>
                <w:b w:val="1"/>
                <w:bCs w:val="1"/>
                <w:color w:val="auto"/>
              </w:rPr>
              <w:t>March 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jc w:val="right"/>
              <w:ind w:right="196"/>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4440" w:type="dxa"/>
            <w:vAlign w:val="bottom"/>
            <w:tcBorders>
              <w:bottom w:val="single" w:sz="8" w:color="E0E7ED"/>
            </w:tcBorders>
          </w:tcPr>
          <w:p>
            <w:pPr>
              <w:spacing w:after="0"/>
              <w:rPr>
                <w:sz w:val="14"/>
                <w:szCs w:val="14"/>
                <w:color w:val="auto"/>
              </w:rPr>
            </w:pPr>
          </w:p>
        </w:tc>
        <w:tc>
          <w:tcPr>
            <w:tcW w:w="2860" w:type="dxa"/>
            <w:vAlign w:val="bottom"/>
            <w:tcBorders>
              <w:bottom w:val="single" w:sz="8" w:color="E0E7ED"/>
            </w:tcBorders>
          </w:tcPr>
          <w:p>
            <w:pPr>
              <w:spacing w:after="0"/>
              <w:rPr>
                <w:sz w:val="14"/>
                <w:szCs w:val="14"/>
                <w:color w:val="auto"/>
              </w:rPr>
            </w:pPr>
          </w:p>
        </w:tc>
        <w:tc>
          <w:tcPr>
            <w:tcW w:w="480" w:type="dxa"/>
            <w:vAlign w:val="bottom"/>
            <w:tcBorders>
              <w:bottom w:val="single" w:sz="8" w:color="E0E7ED"/>
            </w:tcBorders>
          </w:tcPr>
          <w:p>
            <w:pPr>
              <w:spacing w:after="0"/>
              <w:rPr>
                <w:sz w:val="14"/>
                <w:szCs w:val="14"/>
                <w:color w:val="auto"/>
              </w:rPr>
            </w:pPr>
          </w:p>
        </w:tc>
        <w:tc>
          <w:tcPr>
            <w:tcW w:w="340" w:type="dxa"/>
            <w:vAlign w:val="bottom"/>
            <w:tcBorders>
              <w:bottom w:val="single" w:sz="8" w:color="E0E7ED"/>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1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420"/>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stockholders' equity</w:t>
            </w:r>
          </w:p>
        </w:tc>
        <w:tc>
          <w:tcPr>
            <w:tcW w:w="2860" w:type="dxa"/>
            <w:vAlign w:val="bottom"/>
            <w:shd w:val="clear" w:color="auto" w:fill="E0E7ED"/>
          </w:tcPr>
          <w:p>
            <w:pPr>
              <w:spacing w:after="0"/>
              <w:rPr>
                <w:sz w:val="23"/>
                <w:szCs w:val="23"/>
                <w:color w:val="auto"/>
              </w:rPr>
            </w:pPr>
          </w:p>
        </w:tc>
        <w:tc>
          <w:tcPr>
            <w:tcW w:w="48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1,282,651</w:t>
            </w:r>
          </w:p>
        </w:tc>
        <w:tc>
          <w:tcPr>
            <w:tcW w:w="320" w:type="dxa"/>
            <w:vAlign w:val="bottom"/>
            <w:gridSpan w:val="3"/>
            <w:shd w:val="clear" w:color="auto" w:fill="E0E7ED"/>
          </w:tcPr>
          <w:p>
            <w:pPr>
              <w:jc w:val="right"/>
              <w:ind w:right="20"/>
              <w:spacing w:after="0"/>
              <w:rPr>
                <w:sz w:val="20"/>
                <w:szCs w:val="20"/>
                <w:color w:val="auto"/>
              </w:rPr>
            </w:pPr>
            <w:r>
              <w:rPr>
                <w:rFonts w:ascii="Verdana" w:cs="Verdana" w:eastAsia="Verdana" w:hAnsi="Verdana"/>
                <w:sz w:val="18"/>
                <w:szCs w:val="18"/>
                <w:color w:val="auto"/>
              </w:rPr>
              <w:t>$</w:t>
            </w: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1,271,981</w:t>
            </w:r>
          </w:p>
        </w:tc>
      </w:tr>
      <w:tr>
        <w:trPr>
          <w:trHeight w:val="263"/>
        </w:trPr>
        <w:tc>
          <w:tcPr>
            <w:tcW w:w="4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Goodwill and other intangible assets, net</w:t>
            </w:r>
          </w:p>
        </w:tc>
        <w:tc>
          <w:tcPr>
            <w:tcW w:w="2860" w:type="dxa"/>
            <w:vAlign w:val="bottom"/>
            <w:tcBorders>
              <w:bottom w:val="single" w:sz="8" w:color="E0E7ED"/>
            </w:tcBorders>
          </w:tcPr>
          <w:p>
            <w:pPr>
              <w:spacing w:after="0"/>
              <w:rPr>
                <w:sz w:val="22"/>
                <w:szCs w:val="22"/>
                <w:color w:val="auto"/>
              </w:rPr>
            </w:pPr>
          </w:p>
        </w:tc>
        <w:tc>
          <w:tcPr>
            <w:tcW w:w="480" w:type="dxa"/>
            <w:vAlign w:val="bottom"/>
            <w:tcBorders>
              <w:bottom w:val="single" w:sz="8" w:color="E0E7ED"/>
            </w:tcBorders>
          </w:tcPr>
          <w:p>
            <w:pPr>
              <w:spacing w:after="0"/>
              <w:rPr>
                <w:sz w:val="22"/>
                <w:szCs w:val="22"/>
                <w:color w:val="auto"/>
              </w:rPr>
            </w:pPr>
          </w:p>
        </w:tc>
        <w:tc>
          <w:tcPr>
            <w:tcW w:w="340" w:type="dxa"/>
            <w:vAlign w:val="bottom"/>
            <w:tcBorders>
              <w:bottom w:val="single" w:sz="8" w:color="E0E7ED"/>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8"/>
                <w:szCs w:val="18"/>
                <w:color w:val="auto"/>
              </w:rPr>
              <w:t>(351,455)</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420"/>
              <w:spacing w:after="0"/>
              <w:rPr>
                <w:sz w:val="20"/>
                <w:szCs w:val="20"/>
                <w:color w:val="auto"/>
              </w:rPr>
            </w:pPr>
            <w:r>
              <w:rPr>
                <w:rFonts w:ascii="Verdana" w:cs="Verdana" w:eastAsia="Verdana" w:hAnsi="Verdana"/>
                <w:sz w:val="18"/>
                <w:szCs w:val="18"/>
                <w:color w:val="auto"/>
              </w:rPr>
              <w:t>(353,864)</w:t>
            </w:r>
          </w:p>
        </w:tc>
      </w:tr>
      <w:tr>
        <w:trPr>
          <w:trHeight w:val="29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book value</w:t>
            </w:r>
          </w:p>
        </w:tc>
        <w:tc>
          <w:tcPr>
            <w:tcW w:w="2860" w:type="dxa"/>
            <w:vAlign w:val="bottom"/>
            <w:shd w:val="clear" w:color="auto" w:fill="E0E7ED"/>
          </w:tcPr>
          <w:p>
            <w:pPr>
              <w:spacing w:after="0"/>
              <w:rPr>
                <w:sz w:val="24"/>
                <w:szCs w:val="24"/>
                <w:color w:val="auto"/>
              </w:rPr>
            </w:pPr>
          </w:p>
        </w:tc>
        <w:tc>
          <w:tcPr>
            <w:tcW w:w="82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[a]</w:t>
            </w:r>
          </w:p>
        </w:tc>
        <w:tc>
          <w:tcPr>
            <w:tcW w:w="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931,196</w:t>
            </w:r>
          </w:p>
        </w:tc>
        <w:tc>
          <w:tcPr>
            <w:tcW w:w="320" w:type="dxa"/>
            <w:vAlign w:val="bottom"/>
            <w:gridSpan w:val="3"/>
            <w:shd w:val="clear" w:color="auto" w:fill="E0E7ED"/>
          </w:tcPr>
          <w:p>
            <w:pPr>
              <w:jc w:val="right"/>
              <w:ind w:right="20"/>
              <w:spacing w:after="0"/>
              <w:rPr>
                <w:sz w:val="20"/>
                <w:szCs w:val="20"/>
                <w:color w:val="auto"/>
              </w:rPr>
            </w:pPr>
            <w:r>
              <w:rPr>
                <w:rFonts w:ascii="Verdana" w:cs="Verdana" w:eastAsia="Verdana" w:hAnsi="Verdana"/>
                <w:sz w:val="18"/>
                <w:szCs w:val="18"/>
                <w:color w:val="auto"/>
              </w:rPr>
              <w:t>$</w:t>
            </w: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918,117</w:t>
            </w:r>
          </w:p>
        </w:tc>
      </w:tr>
      <w:tr>
        <w:trPr>
          <w:trHeight w:val="20"/>
        </w:trPr>
        <w:tc>
          <w:tcPr>
            <w:tcW w:w="4440" w:type="dxa"/>
            <w:vAlign w:val="bottom"/>
            <w:tcBorders>
              <w:top w:val="single" w:sz="8" w:color="E0E7ED"/>
            </w:tcBorders>
          </w:tcPr>
          <w:p>
            <w:pPr>
              <w:spacing w:after="0" w:line="20" w:lineRule="exact"/>
              <w:rPr>
                <w:sz w:val="1"/>
                <w:szCs w:val="1"/>
                <w:color w:val="auto"/>
              </w:rPr>
            </w:pPr>
          </w:p>
        </w:tc>
        <w:tc>
          <w:tcPr>
            <w:tcW w:w="2860" w:type="dxa"/>
            <w:vAlign w:val="bottom"/>
            <w:tcBorders>
              <w:top w:val="single" w:sz="8" w:color="E0E7ED"/>
            </w:tcBorders>
          </w:tcPr>
          <w:p>
            <w:pPr>
              <w:spacing w:after="0" w:line="20" w:lineRule="exact"/>
              <w:rPr>
                <w:sz w:val="1"/>
                <w:szCs w:val="1"/>
                <w:color w:val="auto"/>
              </w:rPr>
            </w:pPr>
          </w:p>
        </w:tc>
        <w:tc>
          <w:tcPr>
            <w:tcW w:w="4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Ending number of common shares outstanding</w:t>
            </w:r>
          </w:p>
        </w:tc>
        <w:tc>
          <w:tcPr>
            <w:tcW w:w="2860" w:type="dxa"/>
            <w:vAlign w:val="bottom"/>
            <w:shd w:val="clear" w:color="auto" w:fill="E0E7ED"/>
          </w:tcPr>
          <w:p>
            <w:pPr>
              <w:spacing w:after="0"/>
              <w:rPr>
                <w:sz w:val="23"/>
                <w:szCs w:val="23"/>
                <w:color w:val="auto"/>
              </w:rPr>
            </w:pPr>
          </w:p>
        </w:tc>
        <w:tc>
          <w:tcPr>
            <w:tcW w:w="82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w:t>
            </w:r>
          </w:p>
        </w:tc>
        <w:tc>
          <w:tcPr>
            <w:tcW w:w="140" w:type="dxa"/>
            <w:vAlign w:val="bottom"/>
            <w:shd w:val="clear" w:color="auto" w:fill="E0E7ED"/>
          </w:tcPr>
          <w:p>
            <w:pPr>
              <w:spacing w:after="0"/>
              <w:rPr>
                <w:sz w:val="23"/>
                <w:szCs w:val="23"/>
                <w:color w:val="auto"/>
              </w:rPr>
            </w:pPr>
          </w:p>
        </w:tc>
        <w:tc>
          <w:tcPr>
            <w:tcW w:w="1380" w:type="dxa"/>
            <w:vAlign w:val="bottom"/>
            <w:gridSpan w:val="3"/>
            <w:shd w:val="clear" w:color="auto" w:fill="E0E7ED"/>
          </w:tcPr>
          <w:p>
            <w:pPr>
              <w:jc w:val="right"/>
              <w:spacing w:after="0"/>
              <w:rPr>
                <w:sz w:val="20"/>
                <w:szCs w:val="20"/>
                <w:color w:val="auto"/>
              </w:rPr>
            </w:pPr>
            <w:r>
              <w:rPr>
                <w:rFonts w:ascii="Verdana" w:cs="Verdana" w:eastAsia="Verdana" w:hAnsi="Verdana"/>
                <w:sz w:val="18"/>
                <w:szCs w:val="18"/>
                <w:color w:val="auto"/>
              </w:rPr>
              <w:t>55,300,008</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55,244,119</w:t>
            </w:r>
          </w:p>
        </w:tc>
      </w:tr>
      <w:tr>
        <w:trPr>
          <w:trHeight w:val="270"/>
        </w:trPr>
        <w:tc>
          <w:tcPr>
            <w:tcW w:w="44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book value per common share</w:t>
            </w:r>
          </w:p>
        </w:tc>
        <w:tc>
          <w:tcPr>
            <w:tcW w:w="2860" w:type="dxa"/>
            <w:vAlign w:val="bottom"/>
            <w:shd w:val="clear" w:color="auto" w:fill="E0E7ED"/>
          </w:tcPr>
          <w:p>
            <w:pPr>
              <w:spacing w:after="0"/>
              <w:rPr>
                <w:sz w:val="23"/>
                <w:szCs w:val="23"/>
                <w:color w:val="auto"/>
              </w:rPr>
            </w:pPr>
          </w:p>
        </w:tc>
        <w:tc>
          <w:tcPr>
            <w:tcW w:w="82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[a÷b]</w:t>
            </w:r>
          </w:p>
        </w:tc>
        <w:tc>
          <w:tcPr>
            <w:tcW w:w="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16.84</w:t>
            </w:r>
          </w:p>
        </w:tc>
        <w:tc>
          <w:tcPr>
            <w:tcW w:w="320" w:type="dxa"/>
            <w:vAlign w:val="bottom"/>
            <w:gridSpan w:val="3"/>
            <w:shd w:val="clear" w:color="auto" w:fill="E0E7ED"/>
          </w:tcPr>
          <w:p>
            <w:pPr>
              <w:jc w:val="right"/>
              <w:ind w:right="20"/>
              <w:spacing w:after="0"/>
              <w:rPr>
                <w:sz w:val="20"/>
                <w:szCs w:val="20"/>
                <w:color w:val="auto"/>
              </w:rPr>
            </w:pPr>
            <w:r>
              <w:rPr>
                <w:rFonts w:ascii="Verdana" w:cs="Verdana" w:eastAsia="Verdana" w:hAnsi="Verdana"/>
                <w:sz w:val="18"/>
                <w:szCs w:val="18"/>
                <w:color w:val="auto"/>
              </w:rPr>
              <w:t>$</w:t>
            </w:r>
          </w:p>
        </w:tc>
        <w:tc>
          <w:tcPr>
            <w:tcW w:w="13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16.62</w:t>
            </w:r>
          </w:p>
        </w:tc>
      </w:tr>
      <w:tr>
        <w:trPr>
          <w:trHeight w:val="553"/>
        </w:trPr>
        <w:tc>
          <w:tcPr>
            <w:tcW w:w="11240" w:type="dxa"/>
            <w:vAlign w:val="bottom"/>
            <w:gridSpan w:val="11"/>
          </w:tcPr>
          <w:p>
            <w:pPr>
              <w:jc w:val="center"/>
              <w:spacing w:after="0"/>
              <w:rPr>
                <w:sz w:val="20"/>
                <w:szCs w:val="20"/>
                <w:color w:val="auto"/>
              </w:rPr>
            </w:pPr>
            <w:r>
              <w:rPr>
                <w:rFonts w:ascii="Verdana" w:cs="Verdana" w:eastAsia="Verdana" w:hAnsi="Verdana"/>
                <w:sz w:val="18"/>
                <w:szCs w:val="18"/>
                <w:b w:val="1"/>
                <w:bCs w:val="1"/>
                <w:color w:val="auto"/>
                <w:w w:val="99"/>
              </w:rPr>
              <w:t>Tangible Assets, Tangible Common Equity, and Tangible Common Equity to Tangible Assets</w:t>
            </w:r>
          </w:p>
        </w:tc>
      </w:tr>
      <w:tr>
        <w:trPr>
          <w:trHeight w:val="270"/>
        </w:trPr>
        <w:tc>
          <w:tcPr>
            <w:tcW w:w="4440" w:type="dxa"/>
            <w:vAlign w:val="bottom"/>
          </w:tcPr>
          <w:p>
            <w:pPr>
              <w:spacing w:after="0"/>
              <w:rPr>
                <w:sz w:val="23"/>
                <w:szCs w:val="23"/>
                <w:color w:val="auto"/>
              </w:rPr>
            </w:pPr>
          </w:p>
        </w:tc>
        <w:tc>
          <w:tcPr>
            <w:tcW w:w="2860" w:type="dxa"/>
            <w:vAlign w:val="bottom"/>
          </w:tcPr>
          <w:p>
            <w:pPr>
              <w:jc w:val="center"/>
              <w:ind w:right="390"/>
              <w:spacing w:after="0"/>
              <w:rPr>
                <w:sz w:val="20"/>
                <w:szCs w:val="20"/>
                <w:color w:val="auto"/>
              </w:rPr>
            </w:pPr>
            <w:r>
              <w:rPr>
                <w:rFonts w:ascii="Verdana" w:cs="Verdana" w:eastAsia="Verdana" w:hAnsi="Verdana"/>
                <w:sz w:val="18"/>
                <w:szCs w:val="18"/>
                <w:i w:val="1"/>
                <w:iCs w:val="1"/>
                <w:color w:val="auto"/>
                <w:w w:val="99"/>
              </w:rPr>
              <w:t>(dollars in thousands)</w:t>
            </w: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453"/>
        </w:trPr>
        <w:tc>
          <w:tcPr>
            <w:tcW w:w="44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200"/>
              <w:spacing w:after="0"/>
              <w:rPr>
                <w:sz w:val="20"/>
                <w:szCs w:val="20"/>
                <w:color w:val="auto"/>
              </w:rPr>
            </w:pPr>
            <w:r>
              <w:rPr>
                <w:rFonts w:ascii="Verdana" w:cs="Verdana" w:eastAsia="Verdana" w:hAnsi="Verdana"/>
                <w:sz w:val="13"/>
                <w:szCs w:val="13"/>
                <w:b w:val="1"/>
                <w:bCs w:val="1"/>
                <w:color w:val="auto"/>
              </w:rPr>
              <w:t>As of</w:t>
            </w:r>
          </w:p>
        </w:tc>
        <w:tc>
          <w:tcPr>
            <w:tcW w:w="1360" w:type="dxa"/>
            <w:vAlign w:val="bottom"/>
            <w:tcBorders>
              <w:bottom w:val="single" w:sz="8" w:color="auto"/>
            </w:tcBorders>
          </w:tcPr>
          <w:p>
            <w:pPr>
              <w:spacing w:after="0"/>
              <w:rPr>
                <w:sz w:val="24"/>
                <w:szCs w:val="24"/>
                <w:color w:val="auto"/>
              </w:rPr>
            </w:pPr>
          </w:p>
        </w:tc>
      </w:tr>
      <w:tr>
        <w:trPr>
          <w:trHeight w:val="122"/>
        </w:trPr>
        <w:tc>
          <w:tcPr>
            <w:tcW w:w="44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right"/>
              <w:ind w:right="537"/>
              <w:spacing w:after="0" w:line="122" w:lineRule="exact"/>
              <w:rPr>
                <w:sz w:val="20"/>
                <w:szCs w:val="20"/>
                <w:color w:val="auto"/>
              </w:rPr>
            </w:pPr>
            <w:r>
              <w:rPr>
                <w:rFonts w:ascii="Verdana" w:cs="Verdana" w:eastAsia="Verdana" w:hAnsi="Verdana"/>
                <w:sz w:val="13"/>
                <w:szCs w:val="13"/>
                <w:b w:val="1"/>
                <w:bCs w:val="1"/>
                <w:color w:val="auto"/>
                <w:w w:val="94"/>
              </w:rPr>
              <w:t>March 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jc w:val="right"/>
              <w:ind w:right="276"/>
              <w:spacing w:after="0" w:line="122" w:lineRule="exact"/>
              <w:rPr>
                <w:sz w:val="20"/>
                <w:szCs w:val="20"/>
                <w:color w:val="auto"/>
              </w:rPr>
            </w:pPr>
            <w:r>
              <w:rPr>
                <w:rFonts w:ascii="Verdana" w:cs="Verdana" w:eastAsia="Verdana" w:hAnsi="Verdana"/>
                <w:sz w:val="13"/>
                <w:szCs w:val="13"/>
                <w:b w:val="1"/>
                <w:bCs w:val="1"/>
                <w:color w:val="auto"/>
                <w:w w:val="96"/>
              </w:rPr>
              <w:t>December 31,</w:t>
            </w:r>
          </w:p>
        </w:tc>
      </w:tr>
      <w:tr>
        <w:trPr>
          <w:trHeight w:val="170"/>
        </w:trPr>
        <w:tc>
          <w:tcPr>
            <w:tcW w:w="4440" w:type="dxa"/>
            <w:vAlign w:val="bottom"/>
            <w:tcBorders>
              <w:bottom w:val="single" w:sz="8" w:color="E0E7ED"/>
            </w:tcBorders>
          </w:tcPr>
          <w:p>
            <w:pPr>
              <w:spacing w:after="0"/>
              <w:rPr>
                <w:sz w:val="14"/>
                <w:szCs w:val="14"/>
                <w:color w:val="auto"/>
              </w:rPr>
            </w:pPr>
          </w:p>
        </w:tc>
        <w:tc>
          <w:tcPr>
            <w:tcW w:w="2860" w:type="dxa"/>
            <w:vAlign w:val="bottom"/>
            <w:tcBorders>
              <w:bottom w:val="single" w:sz="8" w:color="E0E7ED"/>
            </w:tcBorders>
          </w:tcPr>
          <w:p>
            <w:pPr>
              <w:spacing w:after="0"/>
              <w:rPr>
                <w:sz w:val="14"/>
                <w:szCs w:val="14"/>
                <w:color w:val="auto"/>
              </w:rPr>
            </w:pPr>
          </w:p>
        </w:tc>
        <w:tc>
          <w:tcPr>
            <w:tcW w:w="4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6"/>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assets</w:t>
            </w:r>
          </w:p>
        </w:tc>
        <w:tc>
          <w:tcPr>
            <w:tcW w:w="2860" w:type="dxa"/>
            <w:vAlign w:val="bottom"/>
            <w:shd w:val="clear" w:color="auto" w:fill="E0E7ED"/>
          </w:tcPr>
          <w:p>
            <w:pPr>
              <w:spacing w:after="0"/>
              <w:rPr>
                <w:sz w:val="23"/>
                <w:szCs w:val="23"/>
                <w:color w:val="auto"/>
              </w:rPr>
            </w:pPr>
          </w:p>
        </w:tc>
        <w:tc>
          <w:tcPr>
            <w:tcW w:w="820" w:type="dxa"/>
            <w:vAlign w:val="bottom"/>
            <w:gridSpan w:val="2"/>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340" w:type="dxa"/>
            <w:vAlign w:val="bottom"/>
            <w:gridSpan w:val="2"/>
            <w:shd w:val="clear" w:color="auto" w:fill="E0E7ED"/>
          </w:tcPr>
          <w:p>
            <w:pPr>
              <w:jc w:val="right"/>
              <w:ind w:right="198"/>
              <w:spacing w:after="0"/>
              <w:rPr>
                <w:sz w:val="20"/>
                <w:szCs w:val="20"/>
                <w:color w:val="auto"/>
              </w:rPr>
            </w:pPr>
            <w:r>
              <w:rPr>
                <w:rFonts w:ascii="Verdana" w:cs="Verdana" w:eastAsia="Verdana" w:hAnsi="Verdana"/>
                <w:sz w:val="18"/>
                <w:szCs w:val="18"/>
                <w:color w:val="auto"/>
                <w:w w:val="99"/>
              </w:rPr>
              <w:t>11,887,458</w:t>
            </w:r>
          </w:p>
        </w:tc>
        <w:tc>
          <w:tcPr>
            <w:tcW w:w="100" w:type="dxa"/>
            <w:vAlign w:val="bottom"/>
            <w:shd w:val="clear" w:color="auto" w:fill="E0E7ED"/>
          </w:tcPr>
          <w:p>
            <w:pPr>
              <w:spacing w:after="0"/>
              <w:rPr>
                <w:sz w:val="23"/>
                <w:szCs w:val="23"/>
                <w:color w:val="auto"/>
              </w:rPr>
            </w:pPr>
          </w:p>
        </w:tc>
        <w:tc>
          <w:tcPr>
            <w:tcW w:w="16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w w:val="86"/>
              </w:rPr>
              <w:t>$</w:t>
            </w:r>
          </w:p>
        </w:tc>
        <w:tc>
          <w:tcPr>
            <w:tcW w:w="160" w:type="dxa"/>
            <w:vAlign w:val="bottom"/>
            <w:shd w:val="clear" w:color="auto" w:fill="E0E7ED"/>
          </w:tcPr>
          <w:p>
            <w:pPr>
              <w:spacing w:after="0"/>
              <w:rPr>
                <w:sz w:val="23"/>
                <w:szCs w:val="23"/>
                <w:color w:val="auto"/>
              </w:rPr>
            </w:pPr>
          </w:p>
        </w:tc>
        <w:tc>
          <w:tcPr>
            <w:tcW w:w="136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12,283,415</w:t>
            </w:r>
          </w:p>
        </w:tc>
      </w:tr>
      <w:tr>
        <w:trPr>
          <w:trHeight w:val="263"/>
        </w:trPr>
        <w:tc>
          <w:tcPr>
            <w:tcW w:w="444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2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Goodwill and other intangible assets, net</w:t>
            </w:r>
          </w:p>
        </w:tc>
        <w:tc>
          <w:tcPr>
            <w:tcW w:w="2860" w:type="dxa"/>
            <w:vAlign w:val="bottom"/>
            <w:shd w:val="clear" w:color="auto" w:fill="E0E7ED"/>
          </w:tcPr>
          <w:p>
            <w:pPr>
              <w:spacing w:after="0"/>
              <w:rPr>
                <w:sz w:val="24"/>
                <w:szCs w:val="24"/>
                <w:color w:val="auto"/>
              </w:rPr>
            </w:pPr>
          </w:p>
        </w:tc>
        <w:tc>
          <w:tcPr>
            <w:tcW w:w="820" w:type="dxa"/>
            <w:vAlign w:val="bottom"/>
            <w:gridSpan w:val="2"/>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4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8"/>
              <w:spacing w:after="0"/>
              <w:rPr>
                <w:sz w:val="20"/>
                <w:szCs w:val="20"/>
                <w:color w:val="auto"/>
              </w:rPr>
            </w:pPr>
            <w:r>
              <w:rPr>
                <w:rFonts w:ascii="Verdana" w:cs="Verdana" w:eastAsia="Verdana" w:hAnsi="Verdana"/>
                <w:sz w:val="18"/>
                <w:szCs w:val="18"/>
                <w:color w:val="auto"/>
              </w:rPr>
              <w:t>(351,455)</w:t>
            </w:r>
          </w:p>
        </w:tc>
        <w:tc>
          <w:tcPr>
            <w:tcW w:w="100" w:type="dxa"/>
            <w:vAlign w:val="bottom"/>
            <w:shd w:val="clear" w:color="auto" w:fill="E0E7ED"/>
          </w:tcPr>
          <w:p>
            <w:pPr>
              <w:spacing w:after="0"/>
              <w:rPr>
                <w:sz w:val="24"/>
                <w:szCs w:val="24"/>
                <w:color w:val="auto"/>
              </w:rPr>
            </w:pPr>
          </w:p>
        </w:tc>
        <w:tc>
          <w:tcPr>
            <w:tcW w:w="16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w w:val="86"/>
              </w:rPr>
              <w:t>$</w:t>
            </w:r>
          </w:p>
        </w:tc>
        <w:tc>
          <w:tcPr>
            <w:tcW w:w="16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36"/>
              <w:spacing w:after="0"/>
              <w:rPr>
                <w:sz w:val="20"/>
                <w:szCs w:val="20"/>
                <w:color w:val="auto"/>
              </w:rPr>
            </w:pPr>
            <w:r>
              <w:rPr>
                <w:rFonts w:ascii="Verdana" w:cs="Verdana" w:eastAsia="Verdana" w:hAnsi="Verdana"/>
                <w:sz w:val="18"/>
                <w:szCs w:val="18"/>
                <w:color w:val="auto"/>
              </w:rPr>
              <w:t>(353,864)</w:t>
            </w:r>
          </w:p>
        </w:tc>
      </w:tr>
      <w:tr>
        <w:trPr>
          <w:trHeight w:val="264"/>
        </w:trPr>
        <w:tc>
          <w:tcPr>
            <w:tcW w:w="4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Tax effect of other intangible assets</w:t>
            </w:r>
            <w:r>
              <w:rPr>
                <w:rFonts w:ascii="Verdana" w:cs="Verdana" w:eastAsia="Verdana" w:hAnsi="Verdana"/>
                <w:sz w:val="11"/>
                <w:szCs w:val="11"/>
                <w:color w:val="auto"/>
              </w:rPr>
              <w:t>1</w:t>
            </w:r>
          </w:p>
        </w:tc>
        <w:tc>
          <w:tcPr>
            <w:tcW w:w="2860" w:type="dxa"/>
            <w:vAlign w:val="bottom"/>
            <w:tcBorders>
              <w:bottom w:val="single" w:sz="8" w:color="E0E7ED"/>
            </w:tcBorders>
          </w:tcPr>
          <w:p>
            <w:pPr>
              <w:spacing w:after="0"/>
              <w:rPr>
                <w:sz w:val="22"/>
                <w:szCs w:val="22"/>
                <w:color w:val="auto"/>
              </w:rPr>
            </w:pPr>
          </w:p>
        </w:tc>
        <w:tc>
          <w:tcPr>
            <w:tcW w:w="48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8"/>
              <w:spacing w:after="0"/>
              <w:rPr>
                <w:sz w:val="20"/>
                <w:szCs w:val="20"/>
                <w:color w:val="auto"/>
              </w:rPr>
            </w:pPr>
            <w:r>
              <w:rPr>
                <w:rFonts w:ascii="Verdana" w:cs="Verdana" w:eastAsia="Verdana" w:hAnsi="Verdana"/>
                <w:sz w:val="18"/>
                <w:szCs w:val="18"/>
                <w:color w:val="auto"/>
              </w:rPr>
              <w:t>6,434</w:t>
            </w:r>
          </w:p>
        </w:tc>
        <w:tc>
          <w:tcPr>
            <w:tcW w:w="10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Verdana" w:cs="Verdana" w:eastAsia="Verdana" w:hAnsi="Verdana"/>
                <w:sz w:val="18"/>
                <w:szCs w:val="18"/>
                <w:color w:val="auto"/>
                <w:w w:val="86"/>
              </w:rPr>
              <w:t>$</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6"/>
              <w:spacing w:after="0"/>
              <w:rPr>
                <w:sz w:val="20"/>
                <w:szCs w:val="20"/>
                <w:color w:val="auto"/>
              </w:rPr>
            </w:pPr>
            <w:r>
              <w:rPr>
                <w:rFonts w:ascii="Verdana" w:cs="Verdana" w:eastAsia="Verdana" w:hAnsi="Verdana"/>
                <w:sz w:val="18"/>
                <w:szCs w:val="18"/>
                <w:color w:val="auto"/>
              </w:rPr>
              <w:t>6,888</w:t>
            </w:r>
          </w:p>
        </w:tc>
      </w:tr>
      <w:tr>
        <w:trPr>
          <w:trHeight w:val="29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assets</w:t>
            </w:r>
            <w:r>
              <w:rPr>
                <w:rFonts w:ascii="Verdana" w:cs="Verdana" w:eastAsia="Verdana" w:hAnsi="Verdana"/>
                <w:sz w:val="11"/>
                <w:szCs w:val="11"/>
                <w:color w:val="auto"/>
              </w:rPr>
              <w:t>2</w:t>
            </w:r>
          </w:p>
        </w:tc>
        <w:tc>
          <w:tcPr>
            <w:tcW w:w="2860" w:type="dxa"/>
            <w:vAlign w:val="bottom"/>
            <w:shd w:val="clear" w:color="auto" w:fill="E0E7ED"/>
          </w:tcPr>
          <w:p>
            <w:pPr>
              <w:ind w:left="2560"/>
              <w:spacing w:after="0"/>
              <w:rPr>
                <w:sz w:val="20"/>
                <w:szCs w:val="20"/>
                <w:color w:val="auto"/>
              </w:rPr>
            </w:pPr>
            <w:r>
              <w:rPr>
                <w:rFonts w:ascii="Verdana" w:cs="Verdana" w:eastAsia="Verdana" w:hAnsi="Verdana"/>
                <w:sz w:val="18"/>
                <w:szCs w:val="18"/>
                <w:color w:val="auto"/>
              </w:rPr>
              <w:t>[a]</w:t>
            </w:r>
          </w:p>
        </w:tc>
        <w:tc>
          <w:tcPr>
            <w:tcW w:w="820" w:type="dxa"/>
            <w:vAlign w:val="bottom"/>
            <w:gridSpan w:val="2"/>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340" w:type="dxa"/>
            <w:vAlign w:val="bottom"/>
            <w:gridSpan w:val="2"/>
            <w:shd w:val="clear" w:color="auto" w:fill="E0E7ED"/>
          </w:tcPr>
          <w:p>
            <w:pPr>
              <w:jc w:val="right"/>
              <w:ind w:right="198"/>
              <w:spacing w:after="0"/>
              <w:rPr>
                <w:sz w:val="20"/>
                <w:szCs w:val="20"/>
                <w:color w:val="auto"/>
              </w:rPr>
            </w:pPr>
            <w:r>
              <w:rPr>
                <w:rFonts w:ascii="Verdana" w:cs="Verdana" w:eastAsia="Verdana" w:hAnsi="Verdana"/>
                <w:sz w:val="18"/>
                <w:szCs w:val="18"/>
                <w:color w:val="auto"/>
                <w:w w:val="99"/>
              </w:rPr>
              <w:t>11,542,437</w:t>
            </w:r>
          </w:p>
        </w:tc>
        <w:tc>
          <w:tcPr>
            <w:tcW w:w="100" w:type="dxa"/>
            <w:vAlign w:val="bottom"/>
            <w:shd w:val="clear" w:color="auto" w:fill="E0E7ED"/>
          </w:tcPr>
          <w:p>
            <w:pPr>
              <w:spacing w:after="0"/>
              <w:rPr>
                <w:sz w:val="24"/>
                <w:szCs w:val="24"/>
                <w:color w:val="auto"/>
              </w:rPr>
            </w:pPr>
          </w:p>
        </w:tc>
        <w:tc>
          <w:tcPr>
            <w:tcW w:w="16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w w:val="86"/>
              </w:rPr>
              <w:t>$</w:t>
            </w:r>
          </w:p>
        </w:tc>
        <w:tc>
          <w:tcPr>
            <w:tcW w:w="16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11,936,439</w:t>
            </w:r>
          </w:p>
        </w:tc>
      </w:tr>
      <w:tr>
        <w:trPr>
          <w:trHeight w:val="20"/>
        </w:trPr>
        <w:tc>
          <w:tcPr>
            <w:tcW w:w="4440" w:type="dxa"/>
            <w:vAlign w:val="bottom"/>
            <w:tcBorders>
              <w:top w:val="single" w:sz="8" w:color="E0E7ED"/>
            </w:tcBorders>
          </w:tcPr>
          <w:p>
            <w:pPr>
              <w:spacing w:after="0" w:line="20" w:lineRule="exact"/>
              <w:rPr>
                <w:sz w:val="1"/>
                <w:szCs w:val="1"/>
                <w:color w:val="auto"/>
              </w:rPr>
            </w:pPr>
          </w:p>
        </w:tc>
        <w:tc>
          <w:tcPr>
            <w:tcW w:w="2860" w:type="dxa"/>
            <w:vAlign w:val="bottom"/>
            <w:tcBorders>
              <w:top w:val="single" w:sz="8" w:color="E0E7ED"/>
            </w:tcBorders>
          </w:tcPr>
          <w:p>
            <w:pPr>
              <w:spacing w:after="0" w:line="20" w:lineRule="exact"/>
              <w:rPr>
                <w:sz w:val="1"/>
                <w:szCs w:val="1"/>
                <w:color w:val="auto"/>
              </w:rPr>
            </w:pPr>
          </w:p>
        </w:tc>
        <w:tc>
          <w:tcPr>
            <w:tcW w:w="4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stockholders' equity</w:t>
            </w:r>
          </w:p>
        </w:tc>
        <w:tc>
          <w:tcPr>
            <w:tcW w:w="2860" w:type="dxa"/>
            <w:vAlign w:val="bottom"/>
            <w:shd w:val="clear" w:color="auto" w:fill="E0E7ED"/>
          </w:tcPr>
          <w:p>
            <w:pPr>
              <w:spacing w:after="0"/>
              <w:rPr>
                <w:sz w:val="23"/>
                <w:szCs w:val="23"/>
                <w:color w:val="auto"/>
              </w:rPr>
            </w:pPr>
          </w:p>
        </w:tc>
        <w:tc>
          <w:tcPr>
            <w:tcW w:w="820" w:type="dxa"/>
            <w:vAlign w:val="bottom"/>
            <w:gridSpan w:val="2"/>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340" w:type="dxa"/>
            <w:vAlign w:val="bottom"/>
            <w:gridSpan w:val="2"/>
            <w:shd w:val="clear" w:color="auto" w:fill="E0E7ED"/>
          </w:tcPr>
          <w:p>
            <w:pPr>
              <w:jc w:val="right"/>
              <w:ind w:right="198"/>
              <w:spacing w:after="0"/>
              <w:rPr>
                <w:sz w:val="20"/>
                <w:szCs w:val="20"/>
                <w:color w:val="auto"/>
              </w:rPr>
            </w:pPr>
            <w:r>
              <w:rPr>
                <w:rFonts w:ascii="Verdana" w:cs="Verdana" w:eastAsia="Verdana" w:hAnsi="Verdana"/>
                <w:sz w:val="18"/>
                <w:szCs w:val="18"/>
                <w:color w:val="auto"/>
              </w:rPr>
              <w:t>1,282,651</w:t>
            </w:r>
          </w:p>
        </w:tc>
        <w:tc>
          <w:tcPr>
            <w:tcW w:w="100" w:type="dxa"/>
            <w:vAlign w:val="bottom"/>
            <w:shd w:val="clear" w:color="auto" w:fill="E0E7ED"/>
          </w:tcPr>
          <w:p>
            <w:pPr>
              <w:spacing w:after="0"/>
              <w:rPr>
                <w:sz w:val="23"/>
                <w:szCs w:val="23"/>
                <w:color w:val="auto"/>
              </w:rPr>
            </w:pPr>
          </w:p>
        </w:tc>
        <w:tc>
          <w:tcPr>
            <w:tcW w:w="16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w w:val="86"/>
              </w:rPr>
              <w:t>$</w:t>
            </w:r>
          </w:p>
        </w:tc>
        <w:tc>
          <w:tcPr>
            <w:tcW w:w="160" w:type="dxa"/>
            <w:vAlign w:val="bottom"/>
            <w:shd w:val="clear" w:color="auto" w:fill="E0E7ED"/>
          </w:tcPr>
          <w:p>
            <w:pPr>
              <w:spacing w:after="0"/>
              <w:rPr>
                <w:sz w:val="23"/>
                <w:szCs w:val="23"/>
                <w:color w:val="auto"/>
              </w:rPr>
            </w:pPr>
          </w:p>
        </w:tc>
        <w:tc>
          <w:tcPr>
            <w:tcW w:w="136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1,271,981</w:t>
            </w:r>
          </w:p>
        </w:tc>
      </w:tr>
      <w:tr>
        <w:trPr>
          <w:trHeight w:val="263"/>
        </w:trPr>
        <w:tc>
          <w:tcPr>
            <w:tcW w:w="444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2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Goodwill and other intangible assets, net</w:t>
            </w:r>
          </w:p>
        </w:tc>
        <w:tc>
          <w:tcPr>
            <w:tcW w:w="2860" w:type="dxa"/>
            <w:vAlign w:val="bottom"/>
            <w:shd w:val="clear" w:color="auto" w:fill="E0E7ED"/>
          </w:tcPr>
          <w:p>
            <w:pPr>
              <w:spacing w:after="0"/>
              <w:rPr>
                <w:sz w:val="24"/>
                <w:szCs w:val="24"/>
                <w:color w:val="auto"/>
              </w:rPr>
            </w:pPr>
          </w:p>
        </w:tc>
        <w:tc>
          <w:tcPr>
            <w:tcW w:w="48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8"/>
              <w:spacing w:after="0"/>
              <w:rPr>
                <w:sz w:val="20"/>
                <w:szCs w:val="20"/>
                <w:color w:val="auto"/>
              </w:rPr>
            </w:pPr>
            <w:r>
              <w:rPr>
                <w:rFonts w:ascii="Verdana" w:cs="Verdana" w:eastAsia="Verdana" w:hAnsi="Verdana"/>
                <w:sz w:val="18"/>
                <w:szCs w:val="18"/>
                <w:color w:val="auto"/>
              </w:rPr>
              <w:t>(351,455)</w:t>
            </w:r>
          </w:p>
        </w:tc>
        <w:tc>
          <w:tcPr>
            <w:tcW w:w="10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36"/>
              <w:spacing w:after="0"/>
              <w:rPr>
                <w:sz w:val="20"/>
                <w:szCs w:val="20"/>
                <w:color w:val="auto"/>
              </w:rPr>
            </w:pPr>
            <w:r>
              <w:rPr>
                <w:rFonts w:ascii="Verdana" w:cs="Verdana" w:eastAsia="Verdana" w:hAnsi="Verdana"/>
                <w:sz w:val="18"/>
                <w:szCs w:val="18"/>
                <w:color w:val="auto"/>
              </w:rPr>
              <w:t>(353,864)</w:t>
            </w:r>
          </w:p>
        </w:tc>
      </w:tr>
      <w:tr>
        <w:trPr>
          <w:trHeight w:val="263"/>
        </w:trPr>
        <w:tc>
          <w:tcPr>
            <w:tcW w:w="4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Tax effect of other intangible assets</w:t>
            </w:r>
            <w:r>
              <w:rPr>
                <w:rFonts w:ascii="Verdana" w:cs="Verdana" w:eastAsia="Verdana" w:hAnsi="Verdana"/>
                <w:sz w:val="11"/>
                <w:szCs w:val="11"/>
                <w:color w:val="auto"/>
              </w:rPr>
              <w:t>1</w:t>
            </w:r>
          </w:p>
        </w:tc>
        <w:tc>
          <w:tcPr>
            <w:tcW w:w="2860" w:type="dxa"/>
            <w:vAlign w:val="bottom"/>
            <w:tcBorders>
              <w:bottom w:val="single" w:sz="8" w:color="E0E7ED"/>
            </w:tcBorders>
          </w:tcPr>
          <w:p>
            <w:pPr>
              <w:spacing w:after="0"/>
              <w:rPr>
                <w:sz w:val="22"/>
                <w:szCs w:val="22"/>
                <w:color w:val="auto"/>
              </w:rPr>
            </w:pPr>
          </w:p>
        </w:tc>
        <w:tc>
          <w:tcPr>
            <w:tcW w:w="48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8"/>
              <w:spacing w:after="0"/>
              <w:rPr>
                <w:sz w:val="20"/>
                <w:szCs w:val="20"/>
                <w:color w:val="auto"/>
              </w:rPr>
            </w:pPr>
            <w:r>
              <w:rPr>
                <w:rFonts w:ascii="Verdana" w:cs="Verdana" w:eastAsia="Verdana" w:hAnsi="Verdana"/>
                <w:sz w:val="18"/>
                <w:szCs w:val="18"/>
                <w:color w:val="auto"/>
              </w:rPr>
              <w:t>6,434</w:t>
            </w:r>
          </w:p>
        </w:tc>
        <w:tc>
          <w:tcPr>
            <w:tcW w:w="100" w:type="dxa"/>
            <w:vAlign w:val="bottom"/>
            <w:tcBorders>
              <w:bottom w:val="single" w:sz="8" w:color="E0E7ED"/>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6"/>
              <w:spacing w:after="0"/>
              <w:rPr>
                <w:sz w:val="20"/>
                <w:szCs w:val="20"/>
                <w:color w:val="auto"/>
              </w:rPr>
            </w:pPr>
            <w:r>
              <w:rPr>
                <w:rFonts w:ascii="Verdana" w:cs="Verdana" w:eastAsia="Verdana" w:hAnsi="Verdana"/>
                <w:sz w:val="18"/>
                <w:szCs w:val="18"/>
                <w:color w:val="auto"/>
              </w:rPr>
              <w:t>6,888</w:t>
            </w:r>
          </w:p>
        </w:tc>
      </w:tr>
      <w:tr>
        <w:trPr>
          <w:trHeight w:val="29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common equity</w:t>
            </w:r>
            <w:r>
              <w:rPr>
                <w:rFonts w:ascii="Verdana" w:cs="Verdana" w:eastAsia="Verdana" w:hAnsi="Verdana"/>
                <w:sz w:val="11"/>
                <w:szCs w:val="11"/>
                <w:color w:val="auto"/>
              </w:rPr>
              <w:t>2</w:t>
            </w:r>
          </w:p>
        </w:tc>
        <w:tc>
          <w:tcPr>
            <w:tcW w:w="2860" w:type="dxa"/>
            <w:vAlign w:val="bottom"/>
            <w:shd w:val="clear" w:color="auto" w:fill="E0E7ED"/>
          </w:tcPr>
          <w:p>
            <w:pPr>
              <w:ind w:left="2560"/>
              <w:spacing w:after="0"/>
              <w:rPr>
                <w:sz w:val="20"/>
                <w:szCs w:val="20"/>
                <w:color w:val="auto"/>
              </w:rPr>
            </w:pPr>
            <w:r>
              <w:rPr>
                <w:rFonts w:ascii="Verdana" w:cs="Verdana" w:eastAsia="Verdana" w:hAnsi="Verdana"/>
                <w:sz w:val="18"/>
                <w:szCs w:val="18"/>
                <w:color w:val="auto"/>
              </w:rPr>
              <w:t>[b]</w:t>
            </w:r>
          </w:p>
        </w:tc>
        <w:tc>
          <w:tcPr>
            <w:tcW w:w="820" w:type="dxa"/>
            <w:vAlign w:val="bottom"/>
            <w:gridSpan w:val="2"/>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4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98"/>
              <w:spacing w:after="0"/>
              <w:rPr>
                <w:sz w:val="20"/>
                <w:szCs w:val="20"/>
                <w:color w:val="auto"/>
              </w:rPr>
            </w:pPr>
            <w:r>
              <w:rPr>
                <w:rFonts w:ascii="Verdana" w:cs="Verdana" w:eastAsia="Verdana" w:hAnsi="Verdana"/>
                <w:sz w:val="18"/>
                <w:szCs w:val="18"/>
                <w:color w:val="auto"/>
              </w:rPr>
              <w:t>937,630</w:t>
            </w:r>
          </w:p>
        </w:tc>
        <w:tc>
          <w:tcPr>
            <w:tcW w:w="100" w:type="dxa"/>
            <w:vAlign w:val="bottom"/>
            <w:shd w:val="clear" w:color="auto" w:fill="E0E7ED"/>
          </w:tcPr>
          <w:p>
            <w:pPr>
              <w:spacing w:after="0"/>
              <w:rPr>
                <w:sz w:val="24"/>
                <w:szCs w:val="24"/>
                <w:color w:val="auto"/>
              </w:rPr>
            </w:pPr>
          </w:p>
        </w:tc>
        <w:tc>
          <w:tcPr>
            <w:tcW w:w="16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w w:val="86"/>
              </w:rPr>
              <w:t>$</w:t>
            </w:r>
          </w:p>
        </w:tc>
        <w:tc>
          <w:tcPr>
            <w:tcW w:w="16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925,005</w:t>
            </w:r>
          </w:p>
        </w:tc>
      </w:tr>
      <w:tr>
        <w:trPr>
          <w:trHeight w:val="20"/>
        </w:trPr>
        <w:tc>
          <w:tcPr>
            <w:tcW w:w="4440" w:type="dxa"/>
            <w:vAlign w:val="bottom"/>
            <w:tcBorders>
              <w:top w:val="single" w:sz="8" w:color="E0E7ED"/>
            </w:tcBorders>
          </w:tcPr>
          <w:p>
            <w:pPr>
              <w:spacing w:after="0" w:line="20" w:lineRule="exact"/>
              <w:rPr>
                <w:sz w:val="1"/>
                <w:szCs w:val="1"/>
                <w:color w:val="auto"/>
              </w:rPr>
            </w:pPr>
          </w:p>
        </w:tc>
        <w:tc>
          <w:tcPr>
            <w:tcW w:w="3340" w:type="dxa"/>
            <w:vAlign w:val="bottom"/>
            <w:tcBorders>
              <w:top w:val="single" w:sz="8" w:color="E0E7ED"/>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common equity to tangible assets</w:t>
            </w:r>
            <w:r>
              <w:rPr>
                <w:rFonts w:ascii="Verdana" w:cs="Verdana" w:eastAsia="Verdana" w:hAnsi="Verdana"/>
                <w:sz w:val="11"/>
                <w:szCs w:val="11"/>
                <w:color w:val="auto"/>
              </w:rPr>
              <w:t>2</w:t>
            </w:r>
          </w:p>
        </w:tc>
        <w:tc>
          <w:tcPr>
            <w:tcW w:w="3680" w:type="dxa"/>
            <w:vAlign w:val="bottom"/>
            <w:gridSpan w:val="3"/>
            <w:shd w:val="clear" w:color="auto" w:fill="E0E7ED"/>
          </w:tcPr>
          <w:p>
            <w:pPr>
              <w:ind w:left="2560"/>
              <w:spacing w:after="0"/>
              <w:rPr>
                <w:sz w:val="20"/>
                <w:szCs w:val="20"/>
                <w:color w:val="auto"/>
              </w:rPr>
            </w:pPr>
            <w:r>
              <w:rPr>
                <w:rFonts w:ascii="Verdana" w:cs="Verdana" w:eastAsia="Verdana" w:hAnsi="Verdana"/>
                <w:sz w:val="18"/>
                <w:szCs w:val="18"/>
                <w:color w:val="auto"/>
              </w:rPr>
              <w:t>[b÷a]</w:t>
            </w:r>
          </w:p>
        </w:tc>
        <w:tc>
          <w:tcPr>
            <w:tcW w:w="140" w:type="dxa"/>
            <w:vAlign w:val="bottom"/>
            <w:shd w:val="clear" w:color="auto" w:fill="E0E7ED"/>
          </w:tcPr>
          <w:p>
            <w:pPr>
              <w:spacing w:after="0"/>
              <w:rPr>
                <w:sz w:val="23"/>
                <w:szCs w:val="23"/>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8.12 %</w:t>
            </w:r>
          </w:p>
        </w:tc>
        <w:tc>
          <w:tcPr>
            <w:tcW w:w="10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7.75 %</w:t>
            </w:r>
          </w:p>
        </w:tc>
      </w:tr>
      <w:tr>
        <w:trPr>
          <w:trHeight w:val="238"/>
        </w:trPr>
        <w:tc>
          <w:tcPr>
            <w:tcW w:w="4440" w:type="dxa"/>
            <w:vAlign w:val="bottom"/>
          </w:tcPr>
          <w:p>
            <w:pPr>
              <w:spacing w:after="0"/>
              <w:rPr>
                <w:sz w:val="20"/>
                <w:szCs w:val="20"/>
                <w:color w:val="auto"/>
              </w:rPr>
            </w:pPr>
            <w:r>
              <w:rPr>
                <w:rFonts w:ascii="Verdana" w:cs="Verdana" w:eastAsia="Verdana" w:hAnsi="Verdana"/>
                <w:sz w:val="13"/>
                <w:szCs w:val="13"/>
                <w:color w:val="auto"/>
              </w:rPr>
              <w:t>___________________________________________</w:t>
            </w:r>
          </w:p>
        </w:tc>
        <w:tc>
          <w:tcPr>
            <w:tcW w:w="2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ind w:left="480" w:hanging="310"/>
        <w:spacing w:after="0" w:line="225" w:lineRule="auto"/>
        <w:tabs>
          <w:tab w:leader="none" w:pos="480" w:val="left"/>
        </w:tabs>
        <w:numPr>
          <w:ilvl w:val="0"/>
          <w:numId w:val="27"/>
        </w:numPr>
        <w:rPr>
          <w:rFonts w:ascii="Verdana" w:cs="Verdana" w:eastAsia="Verdana" w:hAnsi="Verdana"/>
          <w:sz w:val="13"/>
          <w:szCs w:val="13"/>
          <w:color w:val="auto"/>
        </w:rPr>
      </w:pPr>
      <w:r>
        <w:rPr>
          <w:rFonts w:ascii="Verdana" w:cs="Verdana" w:eastAsia="Verdana" w:hAnsi="Verdana"/>
          <w:sz w:val="13"/>
          <w:szCs w:val="13"/>
          <w:color w:val="auto"/>
        </w:rPr>
        <w:t>Net of estimated deferred tax liability, calculated using the estimated statutory tax rate of 28%.</w:t>
      </w:r>
    </w:p>
    <w:p>
      <w:pPr>
        <w:ind w:left="480" w:hanging="310"/>
        <w:spacing w:after="0"/>
        <w:tabs>
          <w:tab w:leader="none" w:pos="480" w:val="left"/>
        </w:tabs>
        <w:numPr>
          <w:ilvl w:val="0"/>
          <w:numId w:val="27"/>
        </w:numPr>
        <w:rPr>
          <w:rFonts w:ascii="Verdana" w:cs="Verdana" w:eastAsia="Verdana" w:hAnsi="Verdana"/>
          <w:sz w:val="13"/>
          <w:szCs w:val="13"/>
          <w:color w:val="auto"/>
        </w:rPr>
      </w:pPr>
      <w:r>
        <w:rPr>
          <w:rFonts w:ascii="Verdana" w:cs="Verdana" w:eastAsia="Verdana" w:hAnsi="Verdana"/>
          <w:sz w:val="13"/>
          <w:szCs w:val="13"/>
          <w:color w:val="auto"/>
        </w:rPr>
        <w:t>Tax-effected measure.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0" w:name="page91"/>
    <w:bookmarkEnd w:id="9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Core Deposits, Core Deposits to Total Deposits, and Portfolio Loans to Core Deposits</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Verdana" w:cs="Verdana" w:eastAsia="Verdana" w:hAnsi="Verdana"/>
                <w:sz w:val="13"/>
                <w:szCs w:val="13"/>
                <w:b w:val="1"/>
                <w:bCs w:val="1"/>
                <w:color w:val="auto"/>
              </w:rPr>
              <w:t>As of</w:t>
            </w:r>
          </w:p>
        </w:tc>
        <w:tc>
          <w:tcPr>
            <w:tcW w:w="1440" w:type="dxa"/>
            <w:vAlign w:val="bottom"/>
            <w:tcBorders>
              <w:bottom w:val="single" w:sz="8" w:color="auto"/>
            </w:tcBorders>
          </w:tcPr>
          <w:p>
            <w:pPr>
              <w:spacing w:after="0"/>
              <w:rPr>
                <w:sz w:val="15"/>
                <w:szCs w:val="15"/>
                <w:color w:val="auto"/>
              </w:rPr>
            </w:pPr>
          </w:p>
        </w:tc>
      </w:tr>
      <w:tr>
        <w:trPr>
          <w:trHeight w:val="122"/>
        </w:trPr>
        <w:tc>
          <w:tcPr>
            <w:tcW w:w="44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March 31,</w:t>
            </w:r>
          </w:p>
        </w:tc>
        <w:tc>
          <w:tcPr>
            <w:tcW w:w="240" w:type="dxa"/>
            <w:vAlign w:val="bottom"/>
          </w:tcPr>
          <w:p>
            <w:pPr>
              <w:spacing w:after="0"/>
              <w:rPr>
                <w:sz w:val="10"/>
                <w:szCs w:val="10"/>
                <w:color w:val="auto"/>
              </w:rPr>
            </w:pPr>
          </w:p>
        </w:tc>
        <w:tc>
          <w:tcPr>
            <w:tcW w:w="1440" w:type="dxa"/>
            <w:vAlign w:val="bottom"/>
          </w:tcPr>
          <w:p>
            <w:pPr>
              <w:jc w:val="right"/>
              <w:ind w:right="276"/>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4440" w:type="dxa"/>
            <w:vAlign w:val="bottom"/>
            <w:tcBorders>
              <w:bottom w:val="single" w:sz="8" w:color="E0E7ED"/>
            </w:tcBorders>
          </w:tcPr>
          <w:p>
            <w:pPr>
              <w:spacing w:after="0"/>
              <w:rPr>
                <w:sz w:val="14"/>
                <w:szCs w:val="14"/>
                <w:color w:val="auto"/>
              </w:rPr>
            </w:pPr>
          </w:p>
        </w:tc>
        <w:tc>
          <w:tcPr>
            <w:tcW w:w="334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76"/>
              <w:spacing w:after="0"/>
              <w:rPr>
                <w:sz w:val="20"/>
                <w:szCs w:val="20"/>
                <w:color w:val="auto"/>
              </w:rPr>
            </w:pPr>
            <w:r>
              <w:rPr>
                <w:rFonts w:ascii="Verdana" w:cs="Verdana" w:eastAsia="Verdana" w:hAnsi="Verdana"/>
                <w:sz w:val="13"/>
                <w:szCs w:val="13"/>
                <w:b w:val="1"/>
                <w:bCs w:val="1"/>
                <w:color w:val="auto"/>
              </w:rPr>
              <w:t>2023</w:t>
            </w:r>
          </w:p>
        </w:tc>
      </w:tr>
      <w:tr>
        <w:trPr>
          <w:trHeight w:val="267"/>
        </w:trPr>
        <w:tc>
          <w:tcPr>
            <w:tcW w:w="44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Portfolio loans</w:t>
            </w:r>
          </w:p>
        </w:tc>
        <w:tc>
          <w:tcPr>
            <w:tcW w:w="3340" w:type="dxa"/>
            <w:vAlign w:val="bottom"/>
            <w:tcBorders>
              <w:bottom w:val="single" w:sz="8" w:color="E0E7ED"/>
            </w:tcBorders>
            <w:shd w:val="clear" w:color="auto" w:fill="E0E7ED"/>
          </w:tcPr>
          <w:p>
            <w:pPr>
              <w:ind w:left="2560"/>
              <w:spacing w:after="0"/>
              <w:rPr>
                <w:sz w:val="20"/>
                <w:szCs w:val="20"/>
                <w:color w:val="auto"/>
              </w:rPr>
            </w:pPr>
            <w:r>
              <w:rPr>
                <w:rFonts w:ascii="Verdana" w:cs="Verdana" w:eastAsia="Verdana" w:hAnsi="Verdana"/>
                <w:sz w:val="18"/>
                <w:szCs w:val="18"/>
                <w:color w:val="auto"/>
              </w:rPr>
              <w:t>[a]</w:t>
            </w:r>
          </w:p>
        </w:tc>
        <w:tc>
          <w:tcPr>
            <w:tcW w:w="30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380" w:type="dxa"/>
            <w:vAlign w:val="bottom"/>
            <w:tcBorders>
              <w:bottom w:val="single" w:sz="8" w:color="auto"/>
            </w:tcBorders>
            <w:shd w:val="clear" w:color="auto" w:fill="E0E7ED"/>
          </w:tcPr>
          <w:p>
            <w:pPr>
              <w:jc w:val="right"/>
              <w:ind w:right="198"/>
              <w:spacing w:after="0"/>
              <w:rPr>
                <w:sz w:val="20"/>
                <w:szCs w:val="20"/>
                <w:color w:val="auto"/>
              </w:rPr>
            </w:pPr>
            <w:r>
              <w:rPr>
                <w:rFonts w:ascii="Verdana" w:cs="Verdana" w:eastAsia="Verdana" w:hAnsi="Verdana"/>
                <w:sz w:val="18"/>
                <w:szCs w:val="18"/>
                <w:color w:val="auto"/>
              </w:rPr>
              <w:t>7,588,077</w:t>
            </w:r>
          </w:p>
        </w:tc>
        <w:tc>
          <w:tcPr>
            <w:tcW w:w="100" w:type="dxa"/>
            <w:vAlign w:val="bottom"/>
            <w:tcBorders>
              <w:bottom w:val="single" w:sz="8" w:color="E0E7ED"/>
            </w:tcBorders>
            <w:shd w:val="clear" w:color="auto" w:fill="E0E7ED"/>
          </w:tcPr>
          <w:p>
            <w:pPr>
              <w:spacing w:after="0"/>
              <w:rPr>
                <w:sz w:val="22"/>
                <w:szCs w:val="22"/>
                <w:color w:val="auto"/>
              </w:rPr>
            </w:pPr>
          </w:p>
        </w:tc>
        <w:tc>
          <w:tcPr>
            <w:tcW w:w="24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440" w:type="dxa"/>
            <w:vAlign w:val="bottom"/>
            <w:tcBorders>
              <w:bottom w:val="single" w:sz="8" w:color="auto"/>
            </w:tcBorders>
            <w:shd w:val="clear" w:color="auto" w:fill="E0E7ED"/>
          </w:tcPr>
          <w:p>
            <w:pPr>
              <w:jc w:val="right"/>
              <w:ind w:right="196"/>
              <w:spacing w:after="0"/>
              <w:rPr>
                <w:sz w:val="20"/>
                <w:szCs w:val="20"/>
                <w:color w:val="auto"/>
              </w:rPr>
            </w:pPr>
            <w:r>
              <w:rPr>
                <w:rFonts w:ascii="Verdana" w:cs="Verdana" w:eastAsia="Verdana" w:hAnsi="Verdana"/>
                <w:sz w:val="18"/>
                <w:szCs w:val="18"/>
                <w:color w:val="auto"/>
              </w:rPr>
              <w:t>7,651,034</w:t>
            </w:r>
          </w:p>
        </w:tc>
      </w:tr>
      <w:tr>
        <w:trPr>
          <w:trHeight w:val="20"/>
        </w:trPr>
        <w:tc>
          <w:tcPr>
            <w:tcW w:w="4440" w:type="dxa"/>
            <w:vAlign w:val="bottom"/>
            <w:tcBorders>
              <w:top w:val="single" w:sz="8" w:color="E0E7ED"/>
            </w:tcBorders>
          </w:tcPr>
          <w:p>
            <w:pPr>
              <w:spacing w:after="0" w:line="20" w:lineRule="exact"/>
              <w:rPr>
                <w:sz w:val="1"/>
                <w:szCs w:val="1"/>
                <w:color w:val="auto"/>
              </w:rPr>
            </w:pPr>
          </w:p>
        </w:tc>
        <w:tc>
          <w:tcPr>
            <w:tcW w:w="334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3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44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deposits</w:t>
            </w:r>
          </w:p>
        </w:tc>
        <w:tc>
          <w:tcPr>
            <w:tcW w:w="3340" w:type="dxa"/>
            <w:vAlign w:val="bottom"/>
            <w:shd w:val="clear" w:color="auto" w:fill="E0E7ED"/>
          </w:tcPr>
          <w:p>
            <w:pPr>
              <w:ind w:left="2560"/>
              <w:spacing w:after="0"/>
              <w:rPr>
                <w:sz w:val="20"/>
                <w:szCs w:val="20"/>
                <w:color w:val="auto"/>
              </w:rPr>
            </w:pPr>
            <w:r>
              <w:rPr>
                <w:rFonts w:ascii="Verdana" w:cs="Verdana" w:eastAsia="Verdana" w:hAnsi="Verdana"/>
                <w:sz w:val="18"/>
                <w:szCs w:val="18"/>
                <w:color w:val="auto"/>
              </w:rPr>
              <w:t>[b]</w:t>
            </w: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380" w:type="dxa"/>
            <w:vAlign w:val="bottom"/>
            <w:shd w:val="clear" w:color="auto" w:fill="E0E7ED"/>
          </w:tcPr>
          <w:p>
            <w:pPr>
              <w:jc w:val="right"/>
              <w:ind w:right="198"/>
              <w:spacing w:after="0"/>
              <w:rPr>
                <w:sz w:val="20"/>
                <w:szCs w:val="20"/>
                <w:color w:val="auto"/>
              </w:rPr>
            </w:pPr>
            <w:r>
              <w:rPr>
                <w:rFonts w:ascii="Verdana" w:cs="Verdana" w:eastAsia="Verdana" w:hAnsi="Verdana"/>
                <w:sz w:val="18"/>
                <w:szCs w:val="18"/>
                <w:color w:val="auto"/>
              </w:rPr>
              <w:t>9,960,191</w:t>
            </w: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44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10,291,156</w:t>
            </w:r>
          </w:p>
        </w:tc>
      </w:tr>
      <w:tr>
        <w:trPr>
          <w:trHeight w:val="263"/>
        </w:trPr>
        <w:tc>
          <w:tcPr>
            <w:tcW w:w="444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3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7"/>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Brokered transaction accounts</w:t>
            </w:r>
          </w:p>
        </w:tc>
        <w:tc>
          <w:tcPr>
            <w:tcW w:w="334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80" w:type="dxa"/>
            <w:vAlign w:val="bottom"/>
            <w:shd w:val="clear" w:color="auto" w:fill="E0E7ED"/>
          </w:tcPr>
          <w:p>
            <w:pPr>
              <w:jc w:val="right"/>
              <w:ind w:right="138"/>
              <w:spacing w:after="0"/>
              <w:rPr>
                <w:sz w:val="20"/>
                <w:szCs w:val="20"/>
                <w:color w:val="auto"/>
              </w:rPr>
            </w:pPr>
            <w:r>
              <w:rPr>
                <w:rFonts w:ascii="Verdana" w:cs="Verdana" w:eastAsia="Verdana" w:hAnsi="Verdana"/>
                <w:sz w:val="18"/>
                <w:szCs w:val="18"/>
                <w:color w:val="auto"/>
              </w:rPr>
              <w:t>(6,001)</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36"/>
              <w:spacing w:after="0"/>
              <w:rPr>
                <w:sz w:val="20"/>
                <w:szCs w:val="20"/>
                <w:color w:val="auto"/>
              </w:rPr>
            </w:pPr>
            <w:r>
              <w:rPr>
                <w:rFonts w:ascii="Verdana" w:cs="Verdana" w:eastAsia="Verdana" w:hAnsi="Verdana"/>
                <w:sz w:val="18"/>
                <w:szCs w:val="18"/>
                <w:color w:val="auto"/>
              </w:rPr>
              <w:t>(6,001)</w:t>
            </w:r>
          </w:p>
        </w:tc>
      </w:tr>
      <w:tr>
        <w:trPr>
          <w:trHeight w:val="263"/>
        </w:trPr>
        <w:tc>
          <w:tcPr>
            <w:tcW w:w="4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Time deposits of $250,000 or more</w:t>
            </w:r>
          </w:p>
        </w:tc>
        <w:tc>
          <w:tcPr>
            <w:tcW w:w="334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38"/>
              <w:spacing w:after="0"/>
              <w:rPr>
                <w:sz w:val="20"/>
                <w:szCs w:val="20"/>
                <w:color w:val="auto"/>
              </w:rPr>
            </w:pPr>
            <w:r>
              <w:rPr>
                <w:rFonts w:ascii="Verdana" w:cs="Verdana" w:eastAsia="Verdana" w:hAnsi="Verdana"/>
                <w:sz w:val="18"/>
                <w:szCs w:val="18"/>
                <w:color w:val="auto"/>
              </w:rPr>
              <w:t>(326,795)</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6"/>
              <w:spacing w:after="0"/>
              <w:rPr>
                <w:sz w:val="20"/>
                <w:szCs w:val="20"/>
                <w:color w:val="auto"/>
              </w:rPr>
            </w:pPr>
            <w:r>
              <w:rPr>
                <w:rFonts w:ascii="Verdana" w:cs="Verdana" w:eastAsia="Verdana" w:hAnsi="Verdana"/>
                <w:sz w:val="18"/>
                <w:szCs w:val="18"/>
                <w:color w:val="auto"/>
              </w:rPr>
              <w:t>(386,286)</w:t>
            </w:r>
          </w:p>
        </w:tc>
      </w:tr>
      <w:tr>
        <w:trPr>
          <w:trHeight w:val="295"/>
        </w:trPr>
        <w:tc>
          <w:tcPr>
            <w:tcW w:w="44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Core deposits</w:t>
            </w:r>
          </w:p>
        </w:tc>
        <w:tc>
          <w:tcPr>
            <w:tcW w:w="3340" w:type="dxa"/>
            <w:vAlign w:val="bottom"/>
            <w:tcBorders>
              <w:bottom w:val="single" w:sz="8" w:color="E0E7ED"/>
            </w:tcBorders>
            <w:shd w:val="clear" w:color="auto" w:fill="E0E7ED"/>
          </w:tcPr>
          <w:p>
            <w:pPr>
              <w:ind w:left="2560"/>
              <w:spacing w:after="0"/>
              <w:rPr>
                <w:sz w:val="20"/>
                <w:szCs w:val="20"/>
                <w:color w:val="auto"/>
              </w:rPr>
            </w:pPr>
            <w:r>
              <w:rPr>
                <w:rFonts w:ascii="Verdana" w:cs="Verdana" w:eastAsia="Verdana" w:hAnsi="Verdana"/>
                <w:sz w:val="18"/>
                <w:szCs w:val="18"/>
                <w:color w:val="auto"/>
              </w:rPr>
              <w:t>[c]</w:t>
            </w:r>
          </w:p>
        </w:tc>
        <w:tc>
          <w:tcPr>
            <w:tcW w:w="30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380" w:type="dxa"/>
            <w:vAlign w:val="bottom"/>
            <w:tcBorders>
              <w:bottom w:val="single" w:sz="8" w:color="auto"/>
            </w:tcBorders>
            <w:shd w:val="clear" w:color="auto" w:fill="E0E7ED"/>
          </w:tcPr>
          <w:p>
            <w:pPr>
              <w:jc w:val="right"/>
              <w:ind w:right="198"/>
              <w:spacing w:after="0"/>
              <w:rPr>
                <w:sz w:val="20"/>
                <w:szCs w:val="20"/>
                <w:color w:val="auto"/>
              </w:rPr>
            </w:pPr>
            <w:r>
              <w:rPr>
                <w:rFonts w:ascii="Verdana" w:cs="Verdana" w:eastAsia="Verdana" w:hAnsi="Verdana"/>
                <w:sz w:val="18"/>
                <w:szCs w:val="18"/>
                <w:color w:val="auto"/>
              </w:rPr>
              <w:t>9,627,395</w:t>
            </w:r>
          </w:p>
        </w:tc>
        <w:tc>
          <w:tcPr>
            <w:tcW w:w="10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440" w:type="dxa"/>
            <w:vAlign w:val="bottom"/>
            <w:tcBorders>
              <w:bottom w:val="single" w:sz="8" w:color="auto"/>
            </w:tcBorders>
            <w:shd w:val="clear" w:color="auto" w:fill="E0E7ED"/>
          </w:tcPr>
          <w:p>
            <w:pPr>
              <w:jc w:val="right"/>
              <w:ind w:right="196"/>
              <w:spacing w:after="0"/>
              <w:rPr>
                <w:sz w:val="20"/>
                <w:szCs w:val="20"/>
                <w:color w:val="auto"/>
              </w:rPr>
            </w:pPr>
            <w:r>
              <w:rPr>
                <w:rFonts w:ascii="Verdana" w:cs="Verdana" w:eastAsia="Verdana" w:hAnsi="Verdana"/>
                <w:sz w:val="18"/>
                <w:szCs w:val="18"/>
                <w:color w:val="auto"/>
              </w:rPr>
              <w:t>9,898,869</w:t>
            </w:r>
          </w:p>
        </w:tc>
      </w:tr>
      <w:tr>
        <w:trPr>
          <w:trHeight w:val="20"/>
        </w:trPr>
        <w:tc>
          <w:tcPr>
            <w:tcW w:w="4440" w:type="dxa"/>
            <w:vAlign w:val="bottom"/>
            <w:tcBorders>
              <w:top w:val="single" w:sz="8" w:color="E0E7ED"/>
            </w:tcBorders>
          </w:tcPr>
          <w:p>
            <w:pPr>
              <w:spacing w:after="0" w:line="20" w:lineRule="exact"/>
              <w:rPr>
                <w:sz w:val="1"/>
                <w:szCs w:val="1"/>
                <w:color w:val="auto"/>
              </w:rPr>
            </w:pPr>
          </w:p>
        </w:tc>
        <w:tc>
          <w:tcPr>
            <w:tcW w:w="334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3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44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RATIOS</w:t>
            </w:r>
          </w:p>
        </w:tc>
        <w:tc>
          <w:tcPr>
            <w:tcW w:w="334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3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r>
      <w:tr>
        <w:trPr>
          <w:trHeight w:val="263"/>
        </w:trPr>
        <w:tc>
          <w:tcPr>
            <w:tcW w:w="4440" w:type="dxa"/>
            <w:vAlign w:val="bottom"/>
          </w:tcPr>
          <w:p>
            <w:pPr>
              <w:ind w:left="20"/>
              <w:spacing w:after="0"/>
              <w:rPr>
                <w:sz w:val="20"/>
                <w:szCs w:val="20"/>
                <w:color w:val="auto"/>
              </w:rPr>
            </w:pPr>
            <w:r>
              <w:rPr>
                <w:rFonts w:ascii="Verdana" w:cs="Verdana" w:eastAsia="Verdana" w:hAnsi="Verdana"/>
                <w:sz w:val="18"/>
                <w:szCs w:val="18"/>
                <w:color w:val="auto"/>
              </w:rPr>
              <w:t>Core deposits to total deposits</w:t>
            </w:r>
          </w:p>
        </w:tc>
        <w:tc>
          <w:tcPr>
            <w:tcW w:w="3340" w:type="dxa"/>
            <w:vAlign w:val="bottom"/>
          </w:tcPr>
          <w:p>
            <w:pPr>
              <w:ind w:left="2560"/>
              <w:spacing w:after="0"/>
              <w:rPr>
                <w:sz w:val="20"/>
                <w:szCs w:val="20"/>
                <w:color w:val="auto"/>
              </w:rPr>
            </w:pPr>
            <w:r>
              <w:rPr>
                <w:rFonts w:ascii="Verdana" w:cs="Verdana" w:eastAsia="Verdana" w:hAnsi="Verdana"/>
                <w:sz w:val="18"/>
                <w:szCs w:val="18"/>
                <w:color w:val="auto"/>
              </w:rPr>
              <w:t>[c÷b]</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96.66 %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96.19 %</w:t>
            </w:r>
          </w:p>
        </w:tc>
      </w:tr>
      <w:tr>
        <w:trPr>
          <w:trHeight w:val="277"/>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Portfolio loans to core deposits</w:t>
            </w:r>
          </w:p>
        </w:tc>
        <w:tc>
          <w:tcPr>
            <w:tcW w:w="3340" w:type="dxa"/>
            <w:vAlign w:val="bottom"/>
            <w:shd w:val="clear" w:color="auto" w:fill="E0E7ED"/>
          </w:tcPr>
          <w:p>
            <w:pPr>
              <w:ind w:left="2560"/>
              <w:spacing w:after="0"/>
              <w:rPr>
                <w:sz w:val="20"/>
                <w:szCs w:val="20"/>
                <w:color w:val="auto"/>
              </w:rPr>
            </w:pPr>
            <w:r>
              <w:rPr>
                <w:rFonts w:ascii="Verdana" w:cs="Verdana" w:eastAsia="Verdana" w:hAnsi="Verdana"/>
                <w:sz w:val="18"/>
                <w:szCs w:val="18"/>
                <w:color w:val="auto"/>
              </w:rPr>
              <w:t>[a÷c]</w:t>
            </w:r>
          </w:p>
        </w:tc>
        <w:tc>
          <w:tcPr>
            <w:tcW w:w="300" w:type="dxa"/>
            <w:vAlign w:val="bottom"/>
            <w:shd w:val="clear" w:color="auto" w:fill="E0E7ED"/>
          </w:tcPr>
          <w:p>
            <w:pPr>
              <w:spacing w:after="0"/>
              <w:rPr>
                <w:sz w:val="24"/>
                <w:szCs w:val="24"/>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78.82 %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77.29 %</w:t>
            </w:r>
          </w:p>
        </w:tc>
      </w:tr>
      <w:tr>
        <w:trPr>
          <w:trHeight w:val="918"/>
        </w:trPr>
        <w:tc>
          <w:tcPr>
            <w:tcW w:w="4440" w:type="dxa"/>
            <w:vAlign w:val="bottom"/>
          </w:tcPr>
          <w:p>
            <w:pPr>
              <w:spacing w:after="0"/>
              <w:rPr>
                <w:sz w:val="24"/>
                <w:szCs w:val="24"/>
                <w:color w:val="auto"/>
              </w:rPr>
            </w:pPr>
          </w:p>
        </w:tc>
        <w:tc>
          <w:tcPr>
            <w:tcW w:w="3340" w:type="dxa"/>
            <w:vAlign w:val="bottom"/>
          </w:tcPr>
          <w:p>
            <w:pPr>
              <w:ind w:left="1060"/>
              <w:spacing w:after="0"/>
              <w:rPr>
                <w:sz w:val="20"/>
                <w:szCs w:val="20"/>
                <w:color w:val="auto"/>
              </w:rPr>
            </w:pPr>
            <w:r>
              <w:rPr>
                <w:rFonts w:ascii="Verdana" w:cs="Verdana" w:eastAsia="Verdana" w:hAnsi="Verdana"/>
                <w:sz w:val="18"/>
                <w:szCs w:val="18"/>
                <w:color w:val="auto"/>
              </w:rPr>
              <w:t>91</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7"/>
        </w:trPr>
        <w:tc>
          <w:tcPr>
            <w:tcW w:w="444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1" w:name="page92"/>
    <w:bookmarkEnd w:id="9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FORWARD-LOOKING STATEMENTS</w:t>
      </w:r>
    </w:p>
    <w:p>
      <w:pPr>
        <w:spacing w:after="0" w:line="159" w:lineRule="exact"/>
        <w:rPr>
          <w:sz w:val="20"/>
          <w:szCs w:val="20"/>
          <w:color w:val="auto"/>
        </w:rPr>
      </w:pPr>
    </w:p>
    <w:p>
      <w:pPr>
        <w:jc w:val="both"/>
        <w:spacing w:after="0" w:line="222" w:lineRule="auto"/>
        <w:rPr>
          <w:sz w:val="20"/>
          <w:szCs w:val="20"/>
          <w:color w:val="auto"/>
        </w:rPr>
      </w:pPr>
      <w:r>
        <w:rPr>
          <w:rFonts w:ascii="Verdana" w:cs="Verdana" w:eastAsia="Verdana" w:hAnsi="Verdana"/>
          <w:sz w:val="18"/>
          <w:szCs w:val="18"/>
          <w:color w:val="auto"/>
        </w:rPr>
        <w:t>Statements made in this Quarterly Report, other than those concerning historical financial information, may be considered forward-looking statements within the meaning of the Private Securities Litigation Reform Act of 1995 with respect to Busey’s financial condition, results of operations, plans, objectives, future performance, and business. Forward-looking statements, which may be based upon beliefs, expectations, and assumptions of Busey’s management, and on information currently available to management, are generally identifiable by the use of words such as “believe,” “expect,” “anticipate,” “plan,” “intend,” “estimate,” “may,” “will,” “would,” “could,” “should,” or other similar expressions. Additionally, all</w:t>
      </w:r>
    </w:p>
    <w:p>
      <w:pPr>
        <w:spacing w:after="0" w:line="1" w:lineRule="exact"/>
        <w:rPr>
          <w:sz w:val="20"/>
          <w:szCs w:val="20"/>
          <w:color w:val="auto"/>
        </w:rPr>
      </w:pPr>
    </w:p>
    <w:p>
      <w:pPr>
        <w:jc w:val="both"/>
        <w:spacing w:after="0" w:line="214" w:lineRule="auto"/>
        <w:rPr>
          <w:sz w:val="20"/>
          <w:szCs w:val="20"/>
          <w:color w:val="auto"/>
        </w:rPr>
      </w:pPr>
      <w:r>
        <w:rPr>
          <w:rFonts w:ascii="Verdana" w:cs="Verdana" w:eastAsia="Verdana" w:hAnsi="Verdana"/>
          <w:sz w:val="18"/>
          <w:szCs w:val="18"/>
          <w:color w:val="auto"/>
        </w:rPr>
        <w:t>statements in this Quarterly Report, including forward-looking statements, speak only as of the date they are made, and Busey undertakes no obligation to update any statement in light of new information or future events. A number of factors,</w:t>
      </w:r>
    </w:p>
    <w:p>
      <w:pPr>
        <w:spacing w:after="0" w:line="1" w:lineRule="exact"/>
        <w:rPr>
          <w:sz w:val="20"/>
          <w:szCs w:val="20"/>
          <w:color w:val="auto"/>
        </w:rPr>
      </w:pPr>
    </w:p>
    <w:p>
      <w:pPr>
        <w:jc w:val="both"/>
        <w:spacing w:after="0" w:line="220" w:lineRule="auto"/>
        <w:rPr>
          <w:sz w:val="20"/>
          <w:szCs w:val="20"/>
          <w:color w:val="auto"/>
        </w:rPr>
      </w:pPr>
      <w:r>
        <w:rPr>
          <w:rFonts w:ascii="Verdana" w:cs="Verdana" w:eastAsia="Verdana" w:hAnsi="Verdana"/>
          <w:sz w:val="18"/>
          <w:szCs w:val="18"/>
          <w:color w:val="auto"/>
        </w:rPr>
        <w:t>many of which are beyond the ability of Busey to control or predict, could cause actual results to differ materially from those in any forward-looking statements. These factors include, among others, the following: (1) the strength of the local, state, national, and international economy (including effects of inflationary pressures and supply chain constraints); (2) the economic impact of any future terrorist threats or attacks, widespread disease or pandemics, or other adverse external events that could cause economic deterioration or instability in credit markets (including Russia’s invasion of Ukraine and the Israeli-Palestinian conflict); (3) changes in state and federal laws, regulations, and governmental policies concerning Busey's general business (including changes in response to the failures of other banks or as a result of the upcoming 2024 presidential election); (4) changes in accounting policies and practices; (5) changes in interest rates and prepayment rates of Busey’s assets (including the impact of the significant rate increases by the Federal Reserve since 2022) (6) increased competition in the financial services sector (including from non-bank competitors such as credit unions and fintech companies) and the inability to attract new customers; (7) changes in technology and the ability to develop and maintain secure and reliable electronic systems; (8) the loss of key executives or associates; (9) changes in consumer spending;</w:t>
      </w:r>
    </w:p>
    <w:p>
      <w:pPr>
        <w:spacing w:after="0" w:line="10" w:lineRule="exact"/>
        <w:rPr>
          <w:sz w:val="20"/>
          <w:szCs w:val="20"/>
          <w:color w:val="auto"/>
        </w:rPr>
      </w:pPr>
    </w:p>
    <w:p>
      <w:pPr>
        <w:jc w:val="both"/>
        <w:ind w:firstLine="8"/>
        <w:spacing w:after="0" w:line="222" w:lineRule="auto"/>
        <w:tabs>
          <w:tab w:leader="none" w:pos="473" w:val="left"/>
        </w:tabs>
        <w:numPr>
          <w:ilvl w:val="0"/>
          <w:numId w:val="28"/>
        </w:numPr>
        <w:rPr>
          <w:rFonts w:ascii="Verdana" w:cs="Verdana" w:eastAsia="Verdana" w:hAnsi="Verdana"/>
          <w:sz w:val="18"/>
          <w:szCs w:val="18"/>
          <w:color w:val="auto"/>
        </w:rPr>
      </w:pPr>
      <w:r>
        <w:rPr>
          <w:rFonts w:ascii="Verdana" w:cs="Verdana" w:eastAsia="Verdana" w:hAnsi="Verdana"/>
          <w:sz w:val="18"/>
          <w:szCs w:val="18"/>
          <w:color w:val="auto"/>
        </w:rPr>
        <w:t>unexpected results of acquisitions (including the acquisition of M&amp;M); (11) unexpected outcomes of existing or new litigation, investigations, or inquiries involving Busey (including with respect to Busey’s Illinois franchise taxes);</w:t>
      </w:r>
    </w:p>
    <w:p>
      <w:pPr>
        <w:jc w:val="both"/>
        <w:ind w:firstLine="8"/>
        <w:spacing w:after="0" w:line="226" w:lineRule="auto"/>
        <w:tabs>
          <w:tab w:leader="none" w:pos="491" w:val="left"/>
        </w:tabs>
        <w:numPr>
          <w:ilvl w:val="0"/>
          <w:numId w:val="29"/>
        </w:numPr>
        <w:rPr>
          <w:rFonts w:ascii="Verdana" w:cs="Verdana" w:eastAsia="Verdana" w:hAnsi="Verdana"/>
          <w:sz w:val="18"/>
          <w:szCs w:val="18"/>
          <w:color w:val="auto"/>
        </w:rPr>
      </w:pPr>
      <w:r>
        <w:rPr>
          <w:rFonts w:ascii="Verdana" w:cs="Verdana" w:eastAsia="Verdana" w:hAnsi="Verdana"/>
          <w:sz w:val="18"/>
          <w:szCs w:val="18"/>
          <w:color w:val="auto"/>
        </w:rPr>
        <w:t>fluctuations in the value of securities held in Busey’s securities portfolio; (13) concentrations within Busey’s loan portfolio, large loans to certain borrowers, and large deposits from certain clients; (14) the concentration of large deposits from certain clients who have balances above current FDIC insurance limits and may withdraw deposits to diversify their exposure; (15) the level of non-performing assets on Busey’s balance sheets; (16) interruptions involving information technology and communications systems or third-party servicers; (17) breaches or failures of information security controls or cybersecurity-related incidents; and (18) the economic impact of exceptional weather occurrences such as tornadoes, hurricanes, floods, blizzards, and droughts. These risks and uncertainties should be considered in evaluating forward-looking statements and undue reliance should not be placed on such statements.</w:t>
      </w:r>
    </w:p>
    <w:p>
      <w:pPr>
        <w:spacing w:after="0" w:line="161"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Additional information concerning Busey and its business, including additional factors that could materially affect Busey’s financial results, is included in Busey’s filings with the Securities and Exchange Commission.</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CRITICAL ACCOUNTING ESTIMATES</w:t>
      </w:r>
    </w:p>
    <w:p>
      <w:pPr>
        <w:spacing w:after="0" w:line="186" w:lineRule="exact"/>
        <w:rPr>
          <w:sz w:val="20"/>
          <w:szCs w:val="20"/>
          <w:color w:val="auto"/>
        </w:rPr>
      </w:pPr>
    </w:p>
    <w:p>
      <w:pPr>
        <w:jc w:val="both"/>
        <w:spacing w:after="0" w:line="236" w:lineRule="auto"/>
        <w:rPr>
          <w:rFonts w:ascii="Verdana" w:cs="Verdana" w:eastAsia="Verdana" w:hAnsi="Verdana"/>
          <w:sz w:val="18"/>
          <w:szCs w:val="18"/>
          <w:color w:val="auto"/>
        </w:rPr>
      </w:pPr>
      <w:r>
        <w:rPr>
          <w:rFonts w:ascii="Verdana" w:cs="Verdana" w:eastAsia="Verdana" w:hAnsi="Verdana"/>
          <w:sz w:val="18"/>
          <w:szCs w:val="18"/>
          <w:color w:val="auto"/>
        </w:rPr>
        <w:t xml:space="preserve">Busey has established various accounting policies that govern the application of GAAP in the preparation of its unaudited consolidated financial statements. Significant accounting policies are described in </w:t>
      </w:r>
      <w:r>
        <w:rPr>
          <w:rFonts w:ascii="Verdana" w:cs="Verdana" w:eastAsia="Verdana" w:hAnsi="Verdana"/>
          <w:sz w:val="18"/>
          <w:szCs w:val="18"/>
          <w:i w:val="1"/>
          <w:iCs w:val="1"/>
          <w:color w:val="auto"/>
        </w:rPr>
        <w:t>“</w:t>
      </w:r>
      <w:hyperlink r:id="rId144">
        <w:r>
          <w:rPr>
            <w:rFonts w:ascii="Verdana" w:cs="Verdana" w:eastAsia="Verdana" w:hAnsi="Verdana"/>
            <w:sz w:val="18"/>
            <w:szCs w:val="18"/>
            <w:i w:val="1"/>
            <w:iCs w:val="1"/>
            <w:u w:val="single" w:color="auto"/>
            <w:color w:val="0000FF"/>
          </w:rPr>
          <w:t>Note 1. Significant Accounting Policies</w:t>
        </w:r>
      </w:hyperlink>
      <w:r>
        <w:rPr>
          <w:rFonts w:ascii="Verdana" w:cs="Verdana" w:eastAsia="Verdana" w:hAnsi="Verdana"/>
          <w:sz w:val="18"/>
          <w:szCs w:val="18"/>
          <w:i w:val="1"/>
          <w:iCs w:val="1"/>
          <w:color w:val="auto"/>
        </w:rPr>
        <w:t>”</w:t>
      </w:r>
    </w:p>
    <w:p>
      <w:pPr>
        <w:spacing w:after="0" w:line="2" w:lineRule="exact"/>
        <w:rPr>
          <w:sz w:val="20"/>
          <w:szCs w:val="20"/>
          <w:color w:val="auto"/>
        </w:rPr>
      </w:pPr>
    </w:p>
    <w:p>
      <w:pPr>
        <w:spacing w:after="0"/>
        <w:rPr>
          <w:rFonts w:ascii="Verdana" w:cs="Verdana" w:eastAsia="Verdana" w:hAnsi="Verdana"/>
          <w:sz w:val="18"/>
          <w:szCs w:val="18"/>
          <w:color w:val="auto"/>
        </w:rPr>
      </w:pPr>
      <w:r>
        <w:rPr>
          <w:rFonts w:ascii="Verdana" w:cs="Verdana" w:eastAsia="Verdana" w:hAnsi="Verdana"/>
          <w:sz w:val="18"/>
          <w:szCs w:val="18"/>
          <w:color w:val="auto"/>
        </w:rPr>
        <w:t xml:space="preserve">of </w:t>
      </w:r>
      <w:hyperlink r:id="rId24">
        <w:r>
          <w:rPr>
            <w:rFonts w:ascii="Verdana" w:cs="Verdana" w:eastAsia="Verdana" w:hAnsi="Verdana"/>
            <w:sz w:val="18"/>
            <w:szCs w:val="18"/>
            <w:u w:val="single" w:color="auto"/>
            <w:color w:val="0000FF"/>
          </w:rPr>
          <w:t>Busey’s 2023 Annual Report</w:t>
        </w:r>
      </w:hyperlink>
      <w:r>
        <w:rPr>
          <w:rFonts w:ascii="Verdana" w:cs="Verdana" w:eastAsia="Verdana" w:hAnsi="Verdana"/>
          <w:sz w:val="18"/>
          <w:szCs w:val="18"/>
          <w:color w:val="auto"/>
        </w:rPr>
        <w:t>.</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Critical accounting estimates are those that are critical to the portrayal and understanding of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our critical accounting estimates. Management has reviewed these critical accounting estimates and related disclosures with our Audit Committee. The following accounting policies could be deemed critical:</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2" w:name="page93"/>
    <w:bookmarkEnd w:id="9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Fair Value of Debt Securities Available for Sale</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Fair values of debt securities available for sale are measurements from an independent 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Different fair value estimates could result from the use of different judgments and estimates to determine the fair values of securities.</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Realized securities gains or losses are reported in the Consolidated Statements of Income (Unaudited). The cost of securities sold is based on the specific identification method.</w:t>
      </w:r>
    </w:p>
    <w:p>
      <w:pPr>
        <w:spacing w:after="0" w:line="158"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 debt security available for sale is impaired if the fair value of the security declines below its amortized cost basis. To determine the appropriate accounting, we must first determine if we intend to sell the security or if it is more likely than not that we will be required to sell the security before the fair value increases to at least the amortized cost basis. If either of those selling events is expected, we will write down the amortized cost basis of the security to its fair value. This is achieved by writing off any previously recorded allowance related to the debt security, if applicable, and recognizing any incremental impairment through earnings. If we do not intend to sell the security, nor believe it more likely than not that we will be required to sell the security before the fair value recovers to the amortized cost basis, we must determine whether any of the decline in fair value has resulted from a credit loss, or if it is entirely the result of noncredit factors.</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color w:val="auto"/>
        </w:rPr>
        <w:t>We consider the following factors in assessing whether the decline is due to a credit loss:</w:t>
      </w:r>
    </w:p>
    <w:p>
      <w:pPr>
        <w:spacing w:after="0" w:line="173" w:lineRule="exact"/>
        <w:rPr>
          <w:sz w:val="20"/>
          <w:szCs w:val="20"/>
          <w:color w:val="auto"/>
        </w:rPr>
      </w:pPr>
    </w:p>
    <w:p>
      <w:pPr>
        <w:ind w:left="640" w:hanging="308"/>
        <w:spacing w:after="0"/>
        <w:tabs>
          <w:tab w:leader="none" w:pos="640" w:val="left"/>
        </w:tabs>
        <w:numPr>
          <w:ilvl w:val="0"/>
          <w:numId w:val="30"/>
        </w:numPr>
        <w:rPr>
          <w:rFonts w:ascii="Verdana" w:cs="Verdana" w:eastAsia="Verdana" w:hAnsi="Verdana"/>
          <w:sz w:val="18"/>
          <w:szCs w:val="18"/>
          <w:color w:val="auto"/>
        </w:rPr>
      </w:pPr>
      <w:r>
        <w:rPr>
          <w:rFonts w:ascii="Verdana" w:cs="Verdana" w:eastAsia="Verdana" w:hAnsi="Verdana"/>
          <w:sz w:val="18"/>
          <w:szCs w:val="18"/>
          <w:color w:val="auto"/>
        </w:rPr>
        <w:t>Extent to which the fair value is less than the amortized cost basis;</w:t>
      </w:r>
    </w:p>
    <w:p>
      <w:pPr>
        <w:spacing w:after="0" w:line="186"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30"/>
        </w:numPr>
        <w:rPr>
          <w:rFonts w:ascii="Verdana" w:cs="Verdana" w:eastAsia="Verdana" w:hAnsi="Verdana"/>
          <w:sz w:val="18"/>
          <w:szCs w:val="18"/>
          <w:color w:val="auto"/>
        </w:rPr>
      </w:pPr>
      <w:r>
        <w:rPr>
          <w:rFonts w:ascii="Verdana" w:cs="Verdana" w:eastAsia="Verdana" w:hAnsi="Verdana"/>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153" w:lineRule="exact"/>
        <w:rPr>
          <w:rFonts w:ascii="Verdana" w:cs="Verdana" w:eastAsia="Verdana" w:hAnsi="Verdana"/>
          <w:sz w:val="18"/>
          <w:szCs w:val="18"/>
          <w:color w:val="auto"/>
        </w:rPr>
      </w:pPr>
    </w:p>
    <w:p>
      <w:pPr>
        <w:ind w:left="660" w:hanging="328"/>
        <w:spacing w:after="0" w:line="254" w:lineRule="auto"/>
        <w:tabs>
          <w:tab w:leader="none" w:pos="650" w:val="left"/>
        </w:tabs>
        <w:numPr>
          <w:ilvl w:val="0"/>
          <w:numId w:val="30"/>
        </w:numPr>
        <w:rPr>
          <w:rFonts w:ascii="Verdana" w:cs="Verdana" w:eastAsia="Verdana" w:hAnsi="Verdana"/>
          <w:sz w:val="18"/>
          <w:szCs w:val="18"/>
          <w:color w:val="auto"/>
        </w:rPr>
      </w:pPr>
      <w:r>
        <w:rPr>
          <w:rFonts w:ascii="Verdana" w:cs="Verdana" w:eastAsia="Verdana" w:hAnsi="Verdana"/>
          <w:sz w:val="18"/>
          <w:szCs w:val="18"/>
          <w:color w:val="auto"/>
        </w:rPr>
        <w:t>payment structure of the debt security and the likelihood of the issuer being able to make payments that increase in the future;</w:t>
      </w:r>
    </w:p>
    <w:p>
      <w:pPr>
        <w:spacing w:after="0" w:line="144" w:lineRule="exact"/>
        <w:rPr>
          <w:rFonts w:ascii="Verdana" w:cs="Verdana" w:eastAsia="Verdana" w:hAnsi="Verdana"/>
          <w:sz w:val="18"/>
          <w:szCs w:val="18"/>
          <w:color w:val="auto"/>
        </w:rPr>
      </w:pPr>
    </w:p>
    <w:p>
      <w:pPr>
        <w:ind w:left="640" w:hanging="308"/>
        <w:spacing w:after="0"/>
        <w:tabs>
          <w:tab w:leader="none" w:pos="640" w:val="left"/>
        </w:tabs>
        <w:numPr>
          <w:ilvl w:val="0"/>
          <w:numId w:val="30"/>
        </w:numPr>
        <w:rPr>
          <w:rFonts w:ascii="Verdana" w:cs="Verdana" w:eastAsia="Verdana" w:hAnsi="Verdana"/>
          <w:sz w:val="18"/>
          <w:szCs w:val="18"/>
          <w:color w:val="auto"/>
        </w:rPr>
      </w:pPr>
      <w:r>
        <w:rPr>
          <w:rFonts w:ascii="Verdana" w:cs="Verdana" w:eastAsia="Verdana" w:hAnsi="Verdana"/>
          <w:sz w:val="18"/>
          <w:szCs w:val="18"/>
          <w:color w:val="auto"/>
        </w:rPr>
        <w:t>failure of the issuer of the security to make scheduled interest or principal payments; and</w:t>
      </w:r>
    </w:p>
    <w:p>
      <w:pPr>
        <w:spacing w:after="0" w:line="186" w:lineRule="exact"/>
        <w:rPr>
          <w:rFonts w:ascii="Verdana" w:cs="Verdana" w:eastAsia="Verdana" w:hAnsi="Verdana"/>
          <w:sz w:val="18"/>
          <w:szCs w:val="18"/>
          <w:color w:val="auto"/>
        </w:rPr>
      </w:pPr>
    </w:p>
    <w:p>
      <w:pPr>
        <w:ind w:left="640" w:hanging="308"/>
        <w:spacing w:after="0"/>
        <w:tabs>
          <w:tab w:leader="none" w:pos="640" w:val="left"/>
        </w:tabs>
        <w:numPr>
          <w:ilvl w:val="0"/>
          <w:numId w:val="30"/>
        </w:numPr>
        <w:rPr>
          <w:rFonts w:ascii="Verdana" w:cs="Verdana" w:eastAsia="Verdana" w:hAnsi="Verdana"/>
          <w:sz w:val="18"/>
          <w:szCs w:val="18"/>
          <w:color w:val="auto"/>
        </w:rPr>
      </w:pPr>
      <w:r>
        <w:rPr>
          <w:rFonts w:ascii="Verdana" w:cs="Verdana" w:eastAsia="Verdana" w:hAnsi="Verdana"/>
          <w:sz w:val="18"/>
          <w:szCs w:val="18"/>
          <w:color w:val="auto"/>
        </w:rPr>
        <w:t>any changes to the rating of the security by a rating agency.</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Impairment related to a credit loss must be measured using the discounted cash flow method. Credit loss recognition is limited to the fair value of the security. Impairment is recognized by establishing an allowance for the debt security through the provision for credit losses. Impairment related to noncredit factors is recognized in AOCI, net of applicable taxes.</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Fair Value of Assets Acquired and Liabilities Assumed in Business Combinations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Topic 820 </w:t>
      </w:r>
      <w:r>
        <w:rPr>
          <w:rFonts w:ascii="Verdana" w:cs="Verdana" w:eastAsia="Verdana" w:hAnsi="Verdana"/>
          <w:sz w:val="18"/>
          <w:szCs w:val="18"/>
          <w:i w:val="1"/>
          <w:iCs w:val="1"/>
          <w:color w:val="auto"/>
        </w:rPr>
        <w:t>“Fair Value Measurement”</w:t>
      </w:r>
      <w:r>
        <w:rPr>
          <w:rFonts w:ascii="Verdana" w:cs="Verdana" w:eastAsia="Verdana" w:hAnsi="Verdana"/>
          <w:sz w:val="18"/>
          <w:szCs w:val="18"/>
          <w:color w:val="auto"/>
        </w:rPr>
        <w:t xml:space="preserve"> as “the price that would be received to sell an asset or paid to transfer a liability in an orderly transaction between market participants at the measurement date.”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3" w:name="page94"/>
    <w:bookmarkEnd w:id="9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The fair value of a loan portfolio acquired in a business combination generally requires greater levels of management estimates and judgment than other assets acquired or liabilities assumed. Acquired loans are within the scope of ASC Topic 326 </w:t>
      </w:r>
      <w:r>
        <w:rPr>
          <w:rFonts w:ascii="Verdana" w:cs="Verdana" w:eastAsia="Verdana" w:hAnsi="Verdana"/>
          <w:sz w:val="18"/>
          <w:szCs w:val="18"/>
          <w:i w:val="1"/>
          <w:iCs w:val="1"/>
          <w:color w:val="auto"/>
        </w:rPr>
        <w:t>“Financial Instruments-Credit Losses.”</w:t>
      </w:r>
      <w:r>
        <w:rPr>
          <w:rFonts w:ascii="Verdana" w:cs="Verdana" w:eastAsia="Verdana" w:hAnsi="Verdana"/>
          <w:sz w:val="18"/>
          <w:szCs w:val="18"/>
          <w:color w:val="auto"/>
        </w:rPr>
        <w:t xml:space="preserve"> However, the offset to record the allowance on acquired loans at the date of acquisition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Goodwill</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Goodwill represents the excess of purchase price over the fair value of net assets acquired using the acquisition method of accounting. Determining the fair value often involves estimates based on third-party valuations, such as appraisals, or internal valuations based on discounted cash flow analyses or other valuation techniques. Goodwill is not amortized. Instead, we assess the potential for impairment on an annual basis or more frequently if events and circumstances indicate that goodwill might be impaired.</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Income Taxes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estimates income tax expense based on amounts expected to be owed to federal and state tax jurisdictions. Estimated income tax expense is reported in the Consolidated Statements of Income (Unaudited). Accrued and deferred taxes, as reported in other assets or other liabilities in the Consolidated Balance Sheets (Unaudited),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Allowance for Credit Losses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calculates the ACL at each reporting date. We recognize an allowance for the lifetime expected credit losses for the amount we do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Busey may not be able to make or obtain such forecasts for the entire life of the financial assets and requires a reversion to historical credit loss information.</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In determining the ACL, management relies predominantly on a disciplined credit review and approval process that extends to the full range of Busey’s credit exposure. The ACL must be determined on a collective (pool) basis when similar risk characteristics exist. On a case-by-case basis, we may conclude that a loan should be evaluated on an individual basis based on disparate risk characteristics.</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Loans deemed uncollectible are charged against and reduce the ACL. A provision for credit losses is charged to current expense and acts to replenish the ACL in order to maintain the ACL at a level that management deems adequate. Determining the ACL involves significant judgments and assumptions by management. Because of the nature of the judgments and assumptions made by management, actual results may differ from these judgments and assumptions.</w:t>
      </w:r>
    </w:p>
    <w:p>
      <w:pPr>
        <w:spacing w:after="0" w:line="17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3. QUANTITATIVE AND QUALITATIVE DISCLOSURES ABOUT MARKET RISK</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Busey as other types of market risk, such as foreign currency exchange rate risk and commodity price risk, have minimal impact or do not arise in the normal course of Busey’s business activities.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4" w:name="page95"/>
    <w:bookmarkEnd w:id="9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Busey has an asset-liability committee, whose policy is to meet at least quarterly, to review current market conditions and to structure the Consolidated Balance Sheets (Unaudited) to optimize stability in net interest income in consideration of projected future changes in interest rates.</w:t>
      </w:r>
    </w:p>
    <w:p>
      <w:pPr>
        <w:spacing w:after="0" w:line="15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+/-300, and +/-400 basis points.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157"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Busey’s interest rate risk resulting from immediate and sustained changes in interest rates, expressed as a change in net interest income as a percentage of the net interest income calculated in the constant base model,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00" w:type="dxa"/>
            <w:vAlign w:val="bottom"/>
          </w:tcPr>
          <w:p>
            <w:pPr>
              <w:spacing w:after="0"/>
              <w:rPr>
                <w:sz w:val="15"/>
                <w:szCs w:val="15"/>
                <w:color w:val="auto"/>
              </w:rPr>
            </w:pPr>
          </w:p>
        </w:tc>
        <w:tc>
          <w:tcPr>
            <w:tcW w:w="3540" w:type="dxa"/>
            <w:vAlign w:val="bottom"/>
            <w:gridSpan w:val="4"/>
          </w:tcPr>
          <w:p>
            <w:pPr>
              <w:ind w:left="620"/>
              <w:spacing w:after="0"/>
              <w:rPr>
                <w:sz w:val="20"/>
                <w:szCs w:val="20"/>
                <w:color w:val="auto"/>
              </w:rPr>
            </w:pPr>
            <w:r>
              <w:rPr>
                <w:rFonts w:ascii="Verdana" w:cs="Verdana" w:eastAsia="Verdana" w:hAnsi="Verdana"/>
                <w:sz w:val="13"/>
                <w:szCs w:val="13"/>
                <w:b w:val="1"/>
                <w:bCs w:val="1"/>
                <w:color w:val="auto"/>
              </w:rPr>
              <w:t>Year-One: Basis Point Changes</w:t>
            </w:r>
          </w:p>
        </w:tc>
        <w:tc>
          <w:tcPr>
            <w:tcW w:w="3500" w:type="dxa"/>
            <w:vAlign w:val="bottom"/>
            <w:gridSpan w:val="3"/>
          </w:tcPr>
          <w:p>
            <w:pPr>
              <w:jc w:val="right"/>
              <w:ind w:right="553"/>
              <w:spacing w:after="0"/>
              <w:rPr>
                <w:sz w:val="20"/>
                <w:szCs w:val="20"/>
                <w:color w:val="auto"/>
              </w:rPr>
            </w:pPr>
            <w:r>
              <w:rPr>
                <w:rFonts w:ascii="Verdana" w:cs="Verdana" w:eastAsia="Verdana" w:hAnsi="Verdana"/>
                <w:sz w:val="13"/>
                <w:szCs w:val="13"/>
                <w:b w:val="1"/>
                <w:bCs w:val="1"/>
                <w:color w:val="auto"/>
              </w:rPr>
              <w:t>Year-Two: Basis Point Changes</w:t>
            </w:r>
          </w:p>
        </w:tc>
      </w:tr>
      <w:tr>
        <w:trPr>
          <w:trHeight w:val="170"/>
        </w:trPr>
        <w:tc>
          <w:tcPr>
            <w:tcW w:w="4200" w:type="dxa"/>
            <w:vAlign w:val="bottom"/>
          </w:tcPr>
          <w:p>
            <w:pPr>
              <w:spacing w:after="0"/>
              <w:rPr>
                <w:sz w:val="14"/>
                <w:szCs w:val="14"/>
                <w:color w:val="auto"/>
              </w:rPr>
            </w:pPr>
          </w:p>
        </w:tc>
        <w:tc>
          <w:tcPr>
            <w:tcW w:w="1760" w:type="dxa"/>
            <w:vAlign w:val="bottom"/>
            <w:tcBorders>
              <w:top w:val="single" w:sz="8" w:color="auto"/>
            </w:tcBorders>
            <w:gridSpan w:val="2"/>
          </w:tcPr>
          <w:p>
            <w:pPr>
              <w:ind w:left="280"/>
              <w:spacing w:after="0"/>
              <w:rPr>
                <w:sz w:val="20"/>
                <w:szCs w:val="20"/>
                <w:color w:val="auto"/>
              </w:rPr>
            </w:pPr>
            <w:r>
              <w:rPr>
                <w:rFonts w:ascii="Verdana" w:cs="Verdana" w:eastAsia="Verdana" w:hAnsi="Verdana"/>
                <w:sz w:val="13"/>
                <w:szCs w:val="13"/>
                <w:b w:val="1"/>
                <w:bCs w:val="1"/>
                <w:color w:val="auto"/>
              </w:rPr>
              <w:t>March 31, 2024</w:t>
            </w:r>
          </w:p>
        </w:tc>
        <w:tc>
          <w:tcPr>
            <w:tcW w:w="1680" w:type="dxa"/>
            <w:vAlign w:val="bottom"/>
            <w:tcBorders>
              <w:top w:val="single" w:sz="8" w:color="auto"/>
            </w:tcBorders>
          </w:tcPr>
          <w:p>
            <w:pPr>
              <w:jc w:val="right"/>
              <w:ind w:right="53"/>
              <w:spacing w:after="0"/>
              <w:rPr>
                <w:sz w:val="20"/>
                <w:szCs w:val="20"/>
                <w:color w:val="auto"/>
              </w:rPr>
            </w:pPr>
            <w:r>
              <w:rPr>
                <w:rFonts w:ascii="Verdana" w:cs="Verdana" w:eastAsia="Verdana" w:hAnsi="Verdana"/>
                <w:sz w:val="13"/>
                <w:szCs w:val="13"/>
                <w:b w:val="1"/>
                <w:bCs w:val="1"/>
                <w:color w:val="auto"/>
              </w:rPr>
              <w:t>December 31, 2023</w:t>
            </w:r>
          </w:p>
        </w:tc>
        <w:tc>
          <w:tcPr>
            <w:tcW w:w="100" w:type="dxa"/>
            <w:vAlign w:val="bottom"/>
          </w:tcPr>
          <w:p>
            <w:pPr>
              <w:spacing w:after="0"/>
              <w:rPr>
                <w:sz w:val="14"/>
                <w:szCs w:val="14"/>
                <w:color w:val="auto"/>
              </w:rPr>
            </w:pPr>
          </w:p>
        </w:tc>
        <w:tc>
          <w:tcPr>
            <w:tcW w:w="1800" w:type="dxa"/>
            <w:vAlign w:val="bottom"/>
            <w:tcBorders>
              <w:top w:val="single" w:sz="8" w:color="auto"/>
            </w:tcBorders>
            <w:gridSpan w:val="2"/>
          </w:tcPr>
          <w:p>
            <w:pPr>
              <w:ind w:left="300"/>
              <w:spacing w:after="0"/>
              <w:rPr>
                <w:sz w:val="20"/>
                <w:szCs w:val="20"/>
                <w:color w:val="auto"/>
              </w:rPr>
            </w:pPr>
            <w:r>
              <w:rPr>
                <w:rFonts w:ascii="Verdana" w:cs="Verdana" w:eastAsia="Verdana" w:hAnsi="Verdana"/>
                <w:sz w:val="13"/>
                <w:szCs w:val="13"/>
                <w:b w:val="1"/>
                <w:bCs w:val="1"/>
                <w:color w:val="auto"/>
              </w:rPr>
              <w:t>March 31, 2024</w:t>
            </w:r>
          </w:p>
        </w:tc>
        <w:tc>
          <w:tcPr>
            <w:tcW w:w="1700" w:type="dxa"/>
            <w:vAlign w:val="bottom"/>
            <w:tcBorders>
              <w:top w:val="single" w:sz="8" w:color="auto"/>
            </w:tcBorders>
          </w:tcPr>
          <w:p>
            <w:pPr>
              <w:jc w:val="right"/>
              <w:ind w:right="73"/>
              <w:spacing w:after="0"/>
              <w:rPr>
                <w:sz w:val="20"/>
                <w:szCs w:val="20"/>
                <w:color w:val="auto"/>
              </w:rPr>
            </w:pPr>
            <w:r>
              <w:rPr>
                <w:rFonts w:ascii="Verdana" w:cs="Verdana" w:eastAsia="Verdana" w:hAnsi="Verdana"/>
                <w:sz w:val="13"/>
                <w:szCs w:val="13"/>
                <w:b w:val="1"/>
                <w:bCs w:val="1"/>
                <w:color w:val="auto"/>
              </w:rPr>
              <w:t>December 31, 2023</w:t>
            </w:r>
          </w:p>
        </w:tc>
      </w:tr>
      <w:tr>
        <w:trPr>
          <w:trHeight w:val="269"/>
        </w:trPr>
        <w:tc>
          <w:tcPr>
            <w:tcW w:w="42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+400</w:t>
            </w:r>
          </w:p>
        </w:tc>
        <w:tc>
          <w:tcPr>
            <w:tcW w:w="16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8.57 %</w:t>
            </w:r>
          </w:p>
        </w:tc>
        <w:tc>
          <w:tcPr>
            <w:tcW w:w="100" w:type="dxa"/>
            <w:vAlign w:val="bottom"/>
            <w:tcBorders>
              <w:top w:val="single" w:sz="8" w:color="E0E7ED"/>
            </w:tcBorders>
            <w:shd w:val="clear" w:color="auto" w:fill="E0E7ED"/>
          </w:tcPr>
          <w:p>
            <w:pPr>
              <w:spacing w:after="0"/>
              <w:rPr>
                <w:sz w:val="23"/>
                <w:szCs w:val="23"/>
                <w:color w:val="auto"/>
              </w:rPr>
            </w:pPr>
          </w:p>
        </w:tc>
        <w:tc>
          <w:tcPr>
            <w:tcW w:w="16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7.38 %</w:t>
            </w:r>
          </w:p>
        </w:tc>
        <w:tc>
          <w:tcPr>
            <w:tcW w:w="100" w:type="dxa"/>
            <w:vAlign w:val="bottom"/>
            <w:tcBorders>
              <w:top w:val="single" w:sz="8" w:color="E0E7ED"/>
            </w:tcBorders>
            <w:shd w:val="clear" w:color="auto" w:fill="E0E7ED"/>
          </w:tcPr>
          <w:p>
            <w:pPr>
              <w:spacing w:after="0"/>
              <w:rPr>
                <w:sz w:val="23"/>
                <w:szCs w:val="23"/>
                <w:color w:val="auto"/>
              </w:rPr>
            </w:pPr>
          </w:p>
        </w:tc>
        <w:tc>
          <w:tcPr>
            <w:tcW w:w="17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9.20 %</w:t>
            </w:r>
          </w:p>
        </w:tc>
        <w:tc>
          <w:tcPr>
            <w:tcW w:w="100" w:type="dxa"/>
            <w:vAlign w:val="bottom"/>
            <w:tcBorders>
              <w:top w:val="single" w:sz="8" w:color="E0E7ED"/>
            </w:tcBorders>
            <w:shd w:val="clear" w:color="auto" w:fill="E0E7ED"/>
          </w:tcPr>
          <w:p>
            <w:pPr>
              <w:spacing w:after="0"/>
              <w:rPr>
                <w:sz w:val="23"/>
                <w:szCs w:val="23"/>
                <w:color w:val="auto"/>
              </w:rPr>
            </w:pPr>
          </w:p>
        </w:tc>
        <w:tc>
          <w:tcPr>
            <w:tcW w:w="17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8.55 %</w:t>
            </w:r>
          </w:p>
        </w:tc>
      </w:tr>
      <w:tr>
        <w:trPr>
          <w:trHeight w:val="263"/>
        </w:trPr>
        <w:tc>
          <w:tcPr>
            <w:tcW w:w="4200" w:type="dxa"/>
            <w:vAlign w:val="bottom"/>
          </w:tcPr>
          <w:p>
            <w:pPr>
              <w:ind w:left="20"/>
              <w:spacing w:after="0"/>
              <w:rPr>
                <w:sz w:val="20"/>
                <w:szCs w:val="20"/>
                <w:color w:val="auto"/>
              </w:rPr>
            </w:pPr>
            <w:r>
              <w:rPr>
                <w:rFonts w:ascii="Verdana" w:cs="Verdana" w:eastAsia="Verdana" w:hAnsi="Verdana"/>
                <w:sz w:val="18"/>
                <w:szCs w:val="18"/>
                <w:color w:val="auto"/>
              </w:rPr>
              <w:t>+300</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6.38 %</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Verdana" w:cs="Verdana" w:eastAsia="Verdana" w:hAnsi="Verdana"/>
                <w:sz w:val="18"/>
                <w:szCs w:val="18"/>
                <w:color w:val="auto"/>
              </w:rPr>
              <w:t>5.49 %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6.81 %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6.34 %</w:t>
            </w:r>
          </w:p>
        </w:tc>
      </w:tr>
      <w:tr>
        <w:trPr>
          <w:trHeight w:val="277"/>
        </w:trPr>
        <w:tc>
          <w:tcPr>
            <w:tcW w:w="42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+200</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4.22 %</w:t>
            </w:r>
          </w:p>
        </w:tc>
        <w:tc>
          <w:tcPr>
            <w:tcW w:w="100" w:type="dxa"/>
            <w:vAlign w:val="bottom"/>
            <w:shd w:val="clear" w:color="auto" w:fill="E0E7ED"/>
          </w:tcPr>
          <w:p>
            <w:pPr>
              <w:spacing w:after="0"/>
              <w:rPr>
                <w:sz w:val="24"/>
                <w:szCs w:val="24"/>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3.64 %</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4.49 %</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4.20 %</w:t>
            </w:r>
          </w:p>
        </w:tc>
      </w:tr>
      <w:tr>
        <w:trPr>
          <w:trHeight w:val="263"/>
        </w:trPr>
        <w:tc>
          <w:tcPr>
            <w:tcW w:w="4200" w:type="dxa"/>
            <w:vAlign w:val="bottom"/>
          </w:tcPr>
          <w:p>
            <w:pPr>
              <w:ind w:left="20"/>
              <w:spacing w:after="0"/>
              <w:rPr>
                <w:sz w:val="20"/>
                <w:szCs w:val="20"/>
                <w:color w:val="auto"/>
              </w:rPr>
            </w:pPr>
            <w:r>
              <w:rPr>
                <w:rFonts w:ascii="Verdana" w:cs="Verdana" w:eastAsia="Verdana" w:hAnsi="Verdana"/>
                <w:sz w:val="18"/>
                <w:szCs w:val="18"/>
                <w:color w:val="auto"/>
              </w:rPr>
              <w:t>+100</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2.10 %</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Verdana" w:cs="Verdana" w:eastAsia="Verdana" w:hAnsi="Verdana"/>
                <w:sz w:val="18"/>
                <w:szCs w:val="18"/>
                <w:color w:val="auto"/>
              </w:rPr>
              <w:t>1.81 %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2.24 %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2.10 %</w:t>
            </w:r>
          </w:p>
        </w:tc>
      </w:tr>
      <w:tr>
        <w:trPr>
          <w:trHeight w:val="277"/>
        </w:trPr>
        <w:tc>
          <w:tcPr>
            <w:tcW w:w="42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- 100</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(1.90)%</w:t>
            </w:r>
          </w:p>
        </w:tc>
        <w:tc>
          <w:tcPr>
            <w:tcW w:w="100" w:type="dxa"/>
            <w:vAlign w:val="bottom"/>
            <w:shd w:val="clear" w:color="auto" w:fill="E0E7ED"/>
          </w:tcPr>
          <w:p>
            <w:pPr>
              <w:spacing w:after="0"/>
              <w:rPr>
                <w:sz w:val="24"/>
                <w:szCs w:val="24"/>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(1.91)%</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(2.89)%</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(2.98)%</w:t>
            </w:r>
          </w:p>
        </w:tc>
      </w:tr>
      <w:tr>
        <w:trPr>
          <w:trHeight w:val="263"/>
        </w:trPr>
        <w:tc>
          <w:tcPr>
            <w:tcW w:w="4200" w:type="dxa"/>
            <w:vAlign w:val="bottom"/>
          </w:tcPr>
          <w:p>
            <w:pPr>
              <w:ind w:left="20"/>
              <w:spacing w:after="0"/>
              <w:rPr>
                <w:sz w:val="20"/>
                <w:szCs w:val="20"/>
                <w:color w:val="auto"/>
              </w:rPr>
            </w:pPr>
            <w:r>
              <w:rPr>
                <w:rFonts w:ascii="Verdana" w:cs="Verdana" w:eastAsia="Verdana" w:hAnsi="Verdana"/>
                <w:sz w:val="18"/>
                <w:szCs w:val="18"/>
                <w:color w:val="auto"/>
              </w:rPr>
              <w:t>-200</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(3.85)%</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Verdana" w:cs="Verdana" w:eastAsia="Verdana" w:hAnsi="Verdana"/>
                <w:sz w:val="18"/>
                <w:szCs w:val="18"/>
                <w:color w:val="auto"/>
              </w:rPr>
              <w:t>(3.86)%</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(5.94)%</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(6.12)%</w:t>
            </w:r>
          </w:p>
        </w:tc>
      </w:tr>
      <w:tr>
        <w:trPr>
          <w:trHeight w:val="277"/>
        </w:trPr>
        <w:tc>
          <w:tcPr>
            <w:tcW w:w="42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-300</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(5.69)%</w:t>
            </w:r>
          </w:p>
        </w:tc>
        <w:tc>
          <w:tcPr>
            <w:tcW w:w="100" w:type="dxa"/>
            <w:vAlign w:val="bottom"/>
            <w:shd w:val="clear" w:color="auto" w:fill="E0E7ED"/>
          </w:tcPr>
          <w:p>
            <w:pPr>
              <w:spacing w:after="0"/>
              <w:rPr>
                <w:sz w:val="24"/>
                <w:szCs w:val="24"/>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(5.60)%</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(9.06)%</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(9.17)%</w:t>
            </w:r>
          </w:p>
        </w:tc>
      </w:tr>
      <w:tr>
        <w:trPr>
          <w:trHeight w:val="257"/>
        </w:trPr>
        <w:tc>
          <w:tcPr>
            <w:tcW w:w="4200" w:type="dxa"/>
            <w:vAlign w:val="bottom"/>
          </w:tcPr>
          <w:p>
            <w:pPr>
              <w:ind w:left="20"/>
              <w:spacing w:after="0"/>
              <w:rPr>
                <w:sz w:val="20"/>
                <w:szCs w:val="20"/>
                <w:color w:val="auto"/>
              </w:rPr>
            </w:pPr>
            <w:r>
              <w:rPr>
                <w:rFonts w:ascii="Verdana" w:cs="Verdana" w:eastAsia="Verdana" w:hAnsi="Verdana"/>
                <w:sz w:val="18"/>
                <w:szCs w:val="18"/>
                <w:color w:val="auto"/>
              </w:rPr>
              <w:t>-400</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(7.21)%</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Verdana" w:cs="Verdana" w:eastAsia="Verdana" w:hAnsi="Verdana"/>
                <w:sz w:val="18"/>
                <w:szCs w:val="18"/>
                <w:color w:val="auto"/>
              </w:rPr>
              <w:t>(6.91)%</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(12.06)%</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(11.36)%</w:t>
            </w:r>
          </w:p>
        </w:tc>
      </w:tr>
    </w:tbl>
    <w:p>
      <w:pPr>
        <w:spacing w:after="0" w:line="278"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Interest rate risk is monitored and managed within approved policy limits and any temporary exceptions to policy in periods of rapid rate movement are approved and documented.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71" w:lineRule="exact"/>
        <w:rPr>
          <w:sz w:val="20"/>
          <w:szCs w:val="20"/>
          <w:color w:val="auto"/>
        </w:rPr>
      </w:pPr>
    </w:p>
    <w:p>
      <w:pPr>
        <w:ind w:right="3680" w:firstLine="3689"/>
        <w:spacing w:after="0" w:line="429" w:lineRule="auto"/>
        <w:rPr>
          <w:sz w:val="20"/>
          <w:szCs w:val="20"/>
          <w:color w:val="auto"/>
        </w:rPr>
      </w:pPr>
      <w:r>
        <w:rPr>
          <w:rFonts w:ascii="Verdana" w:cs="Verdana" w:eastAsia="Verdana" w:hAnsi="Verdana"/>
          <w:sz w:val="18"/>
          <w:szCs w:val="18"/>
          <w:b w:val="1"/>
          <w:bCs w:val="1"/>
          <w:color w:val="auto"/>
        </w:rPr>
        <w:t>ITEM 4. CONTROLS AND PROCEDURES EVALUATION OF DISCLOSURE CONTROLS AND PROCEDURES</w:t>
      </w:r>
    </w:p>
    <w:p>
      <w:pPr>
        <w:spacing w:after="0" w:line="1"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An evaluation of our disclosure controls and procedures, as defined in Rule 13a-15(e) under the Exchange Act, was carried out as of March 31, 2024, under the supervision and with the participation of our Chief Executive Officer, Chief Financial Officer, and several other members of our senior management. Based on this evaluation, our Chief Executive Officer and Chief Financial Officer concluded that, as of March 31, 2024, our disclosure controls and procedures were effective in ensuring that the information we are required to disclose in the reports we file or submit under the Exchange Act was</w:t>
      </w:r>
    </w:p>
    <w:p>
      <w:pPr>
        <w:spacing w:after="0" w:line="4" w:lineRule="exact"/>
        <w:rPr>
          <w:sz w:val="20"/>
          <w:szCs w:val="20"/>
          <w:color w:val="auto"/>
        </w:rPr>
      </w:pPr>
    </w:p>
    <w:p>
      <w:pPr>
        <w:jc w:val="both"/>
        <w:ind w:firstLine="8"/>
        <w:spacing w:after="0" w:line="245" w:lineRule="auto"/>
        <w:tabs>
          <w:tab w:leader="none" w:pos="352" w:val="left"/>
        </w:tabs>
        <w:numPr>
          <w:ilvl w:val="0"/>
          <w:numId w:val="31"/>
        </w:numPr>
        <w:rPr>
          <w:rFonts w:ascii="Verdana" w:cs="Verdana" w:eastAsia="Verdana" w:hAnsi="Verdana"/>
          <w:sz w:val="18"/>
          <w:szCs w:val="18"/>
          <w:color w:val="auto"/>
        </w:rPr>
      </w:pPr>
      <w:r>
        <w:rPr>
          <w:rFonts w:ascii="Verdana" w:cs="Verdana" w:eastAsia="Verdana" w:hAnsi="Verdana"/>
          <w:sz w:val="18"/>
          <w:szCs w:val="18"/>
          <w:color w:val="auto"/>
        </w:rPr>
        <w:t>accumulated and communicated to our management (including the Chief Executive Officer and Chief Financial Officer) to allow timely decisions regarding required disclosure, and (2) recorded, processed, summarized, and reported within the time periods specified in the SEC’s rules and forms.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5" w:name="page96"/>
    <w:bookmarkEnd w:id="9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CHANGES IN INTERNAL CONTROL OVER FINANCIAL REPORTING</w:t>
      </w:r>
    </w:p>
    <w:p>
      <w:pPr>
        <w:spacing w:after="0" w:line="17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During the three months ended March 31, 2024, no change occurred in our internal control over financial reporting that has materially affected, or is reasonably likely to materially affect, our internal control over financial reporting.</w:t>
      </w:r>
    </w:p>
    <w:p>
      <w:pPr>
        <w:spacing w:after="0" w:line="144"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PART II—OTHER INFORMATION</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1. LEGAL PROCEEDINGS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 part of the ordinary course of business, First Busey Corporation and its subsidiaries are parties to litigation that is incidental to their regular business activities.</w:t>
      </w:r>
    </w:p>
    <w:p>
      <w:pPr>
        <w:spacing w:after="0" w:line="14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There is no material pending litigation, other than ordinary routine litigation incidental to its business, in which First Busey Corporation or any of its subsidiaries is involved or of which any of their property is the subject. Furthermore, there is no pending legal proceeding that is adverse to Busey in which any director, officer, or affiliate of Busey, or any associate of any such director or officer, is a party, or has a material interest.</w:t>
      </w:r>
    </w:p>
    <w:p>
      <w:pPr>
        <w:spacing w:after="0" w:line="171" w:lineRule="exact"/>
        <w:rPr>
          <w:sz w:val="20"/>
          <w:szCs w:val="20"/>
          <w:color w:val="auto"/>
        </w:rPr>
      </w:pPr>
    </w:p>
    <w:p>
      <w:pPr>
        <w:ind w:left="4400"/>
        <w:spacing w:after="0"/>
        <w:rPr>
          <w:sz w:val="20"/>
          <w:szCs w:val="20"/>
          <w:color w:val="auto"/>
        </w:rPr>
      </w:pPr>
      <w:r>
        <w:rPr>
          <w:rFonts w:ascii="Verdana" w:cs="Verdana" w:eastAsia="Verdana" w:hAnsi="Verdana"/>
          <w:sz w:val="18"/>
          <w:szCs w:val="18"/>
          <w:b w:val="1"/>
          <w:bCs w:val="1"/>
          <w:color w:val="auto"/>
        </w:rPr>
        <w:t>ITEM 1A. RISK FACTORS</w:t>
      </w:r>
    </w:p>
    <w:p>
      <w:pPr>
        <w:spacing w:after="0" w:line="173" w:lineRule="exact"/>
        <w:rPr>
          <w:sz w:val="20"/>
          <w:szCs w:val="20"/>
          <w:color w:val="auto"/>
        </w:rPr>
      </w:pPr>
    </w:p>
    <w:p>
      <w:pPr>
        <w:spacing w:after="0"/>
        <w:rPr>
          <w:rFonts w:ascii="Verdana" w:cs="Verdana" w:eastAsia="Verdana" w:hAnsi="Verdana"/>
          <w:sz w:val="18"/>
          <w:szCs w:val="18"/>
          <w:color w:val="auto"/>
        </w:rPr>
      </w:pPr>
      <w:r>
        <w:rPr>
          <w:rFonts w:ascii="Verdana" w:cs="Verdana" w:eastAsia="Verdana" w:hAnsi="Verdana"/>
          <w:sz w:val="18"/>
          <w:szCs w:val="18"/>
          <w:color w:val="auto"/>
        </w:rPr>
        <w:t xml:space="preserve">There have been no material changes to the risk factors disclosed in </w:t>
      </w:r>
      <w:hyperlink r:id="rId149">
        <w:r>
          <w:rPr>
            <w:rFonts w:ascii="Verdana" w:cs="Verdana" w:eastAsia="Verdana" w:hAnsi="Verdana"/>
            <w:sz w:val="18"/>
            <w:szCs w:val="18"/>
            <w:i w:val="1"/>
            <w:iCs w:val="1"/>
            <w:u w:val="single" w:color="auto"/>
            <w:color w:val="0000FF"/>
          </w:rPr>
          <w:t>Part I—Item 1A</w:t>
        </w:r>
        <w:r>
          <w:rPr>
            <w:rFonts w:ascii="Verdana" w:cs="Verdana" w:eastAsia="Verdana" w:hAnsi="Verdana"/>
            <w:sz w:val="18"/>
            <w:szCs w:val="18"/>
            <w:u w:val="single" w:color="auto"/>
            <w:color w:val="auto"/>
          </w:rPr>
          <w:t xml:space="preserve"> </w:t>
        </w:r>
      </w:hyperlink>
      <w:r>
        <w:rPr>
          <w:rFonts w:ascii="Verdana" w:cs="Verdana" w:eastAsia="Verdana" w:hAnsi="Verdana"/>
          <w:sz w:val="18"/>
          <w:szCs w:val="18"/>
          <w:color w:val="auto"/>
        </w:rPr>
        <w:t xml:space="preserve">of </w:t>
      </w:r>
      <w:hyperlink r:id="rId24">
        <w:r>
          <w:rPr>
            <w:rFonts w:ascii="Verdana" w:cs="Verdana" w:eastAsia="Verdana" w:hAnsi="Verdana"/>
            <w:sz w:val="18"/>
            <w:szCs w:val="18"/>
            <w:u w:val="single" w:color="auto"/>
            <w:color w:val="0000FF"/>
          </w:rPr>
          <w:t>Busey’s 2023 Annual Report</w:t>
        </w:r>
      </w:hyperlink>
      <w:r>
        <w:rPr>
          <w:rFonts w:ascii="Verdana" w:cs="Verdana" w:eastAsia="Verdana" w:hAnsi="Verdana"/>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Verdana" w:cs="Verdana" w:eastAsia="Verdana" w:hAnsi="Verdana"/>
          <w:sz w:val="18"/>
          <w:szCs w:val="18"/>
          <w:b w:val="1"/>
          <w:bCs w:val="1"/>
          <w:color w:val="auto"/>
        </w:rPr>
        <w:t>ITEM 2. UNREGISTERED SALES OF EQUITY SECURITIES, USE OF PROCEEDS, AND ISSUER PURCHASES OF</w:t>
      </w:r>
    </w:p>
    <w:p>
      <w:pPr>
        <w:jc w:val="center"/>
        <w:spacing w:after="0"/>
        <w:rPr>
          <w:sz w:val="20"/>
          <w:szCs w:val="20"/>
          <w:color w:val="auto"/>
        </w:rPr>
      </w:pPr>
      <w:r>
        <w:rPr>
          <w:rFonts w:ascii="Verdana" w:cs="Verdana" w:eastAsia="Verdana" w:hAnsi="Verdana"/>
          <w:sz w:val="18"/>
          <w:szCs w:val="18"/>
          <w:b w:val="1"/>
          <w:bCs w:val="1"/>
          <w:color w:val="auto"/>
        </w:rPr>
        <w:t>EQUITY SECURITIES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STOCK REPURCHASE PLAN</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On February 3, 2015, Busey’s board of directors authorized the Company to repurchase up to an aggregate of 666,667 shares of its common stock. The repurchase plan has no expiration date, and has been amended to increase the number of shares available for repurchase as follows:</w:t>
      </w:r>
    </w:p>
    <w:p>
      <w:pPr>
        <w:spacing w:after="0" w:line="154" w:lineRule="exact"/>
        <w:rPr>
          <w:sz w:val="20"/>
          <w:szCs w:val="20"/>
          <w:color w:val="auto"/>
        </w:rPr>
      </w:pPr>
    </w:p>
    <w:p>
      <w:pPr>
        <w:ind w:left="660" w:right="20" w:hanging="328"/>
        <w:spacing w:after="0" w:line="254" w:lineRule="auto"/>
        <w:tabs>
          <w:tab w:leader="none" w:pos="650" w:val="left"/>
        </w:tabs>
        <w:numPr>
          <w:ilvl w:val="0"/>
          <w:numId w:val="32"/>
        </w:numPr>
        <w:rPr>
          <w:rFonts w:ascii="Verdana" w:cs="Verdana" w:eastAsia="Verdana" w:hAnsi="Verdana"/>
          <w:sz w:val="18"/>
          <w:szCs w:val="18"/>
          <w:color w:val="auto"/>
        </w:rPr>
      </w:pPr>
      <w:r>
        <w:rPr>
          <w:rFonts w:ascii="Verdana" w:cs="Verdana" w:eastAsia="Verdana" w:hAnsi="Verdana"/>
          <w:sz w:val="18"/>
          <w:szCs w:val="18"/>
          <w:color w:val="auto"/>
        </w:rPr>
        <w:t>On May 22, 2019, Busey’s board of directors approved an amendment to increase the authorized shares under the repurchase plan by 1,000,000 shares.</w:t>
      </w:r>
    </w:p>
    <w:p>
      <w:pPr>
        <w:spacing w:after="0" w:line="157" w:lineRule="exact"/>
        <w:rPr>
          <w:rFonts w:ascii="Verdana" w:cs="Verdana" w:eastAsia="Verdana" w:hAnsi="Verdana"/>
          <w:sz w:val="18"/>
          <w:szCs w:val="18"/>
          <w:color w:val="auto"/>
        </w:rPr>
      </w:pPr>
    </w:p>
    <w:p>
      <w:pPr>
        <w:ind w:left="660" w:hanging="328"/>
        <w:spacing w:after="0" w:line="254" w:lineRule="auto"/>
        <w:tabs>
          <w:tab w:leader="none" w:pos="650" w:val="left"/>
        </w:tabs>
        <w:numPr>
          <w:ilvl w:val="0"/>
          <w:numId w:val="32"/>
        </w:numPr>
        <w:rPr>
          <w:rFonts w:ascii="Verdana" w:cs="Verdana" w:eastAsia="Verdana" w:hAnsi="Verdana"/>
          <w:sz w:val="18"/>
          <w:szCs w:val="18"/>
          <w:color w:val="auto"/>
        </w:rPr>
      </w:pPr>
      <w:r>
        <w:rPr>
          <w:rFonts w:ascii="Verdana" w:cs="Verdana" w:eastAsia="Verdana" w:hAnsi="Verdana"/>
          <w:sz w:val="18"/>
          <w:szCs w:val="18"/>
          <w:color w:val="auto"/>
        </w:rPr>
        <w:t>On February 5, 2020, Busey’s board of directors approved an amendment to increase the authorized shares under the repurchase plan by an additional 2,000,000 shares.</w:t>
      </w:r>
    </w:p>
    <w:p>
      <w:pPr>
        <w:spacing w:after="0" w:line="144" w:lineRule="exact"/>
        <w:rPr>
          <w:rFonts w:ascii="Verdana" w:cs="Verdana" w:eastAsia="Verdana" w:hAnsi="Verdana"/>
          <w:sz w:val="18"/>
          <w:szCs w:val="18"/>
          <w:color w:val="auto"/>
        </w:rPr>
      </w:pPr>
    </w:p>
    <w:p>
      <w:pPr>
        <w:ind w:left="660" w:right="20" w:hanging="328"/>
        <w:spacing w:after="0" w:line="254" w:lineRule="auto"/>
        <w:tabs>
          <w:tab w:leader="none" w:pos="650" w:val="left"/>
        </w:tabs>
        <w:numPr>
          <w:ilvl w:val="0"/>
          <w:numId w:val="32"/>
        </w:numPr>
        <w:rPr>
          <w:rFonts w:ascii="Verdana" w:cs="Verdana" w:eastAsia="Verdana" w:hAnsi="Verdana"/>
          <w:sz w:val="18"/>
          <w:szCs w:val="18"/>
          <w:color w:val="auto"/>
        </w:rPr>
      </w:pPr>
      <w:r>
        <w:rPr>
          <w:rFonts w:ascii="Verdana" w:cs="Verdana" w:eastAsia="Verdana" w:hAnsi="Verdana"/>
          <w:sz w:val="18"/>
          <w:szCs w:val="18"/>
          <w:color w:val="auto"/>
        </w:rPr>
        <w:t>On May 24, 2023, Busey’s board of directors approved an amendment to increase the authorized shares under the repurchase plan by an additional 2,000,000 shares.</w:t>
      </w:r>
    </w:p>
    <w:p>
      <w:pPr>
        <w:spacing w:after="0" w:line="14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During the first quarter of 2024, Busey purchased no shares under the repurchase plan. As of March 31, 2024, the Company had 1,919,275 shares that may still be purchased under the plan.</w:t>
      </w:r>
    </w:p>
    <w:p>
      <w:pPr>
        <w:spacing w:after="0" w:line="158"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3. DEFAULTS UPON SENIOR SECURITIES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None.</w:t>
      </w:r>
    </w:p>
    <w:p>
      <w:pPr>
        <w:spacing w:after="0" w:line="17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4. MINE SAFETY DISCLOSURES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color w:val="auto"/>
        </w:rPr>
        <w:t>Not Applicable.</w:t>
      </w:r>
    </w:p>
    <w:p>
      <w:pPr>
        <w:spacing w:after="0" w:line="17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5. OTHER INFORMATION</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During the fiscal quarter ended March 31, 2024, none of Busey’s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6" w:name="page97"/>
    <w:bookmarkEnd w:id="9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Verdana" w:cs="Verdana" w:eastAsia="Verdana" w:hAnsi="Verdana"/>
          <w:sz w:val="18"/>
          <w:szCs w:val="18"/>
          <w:b w:val="1"/>
          <w:bCs w:val="1"/>
          <w:color w:val="auto"/>
        </w:rPr>
        <w:t>ITEM 6.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580" w:type="dxa"/>
            <w:vAlign w:val="bottom"/>
            <w:gridSpan w:val="2"/>
          </w:tcPr>
          <w:p>
            <w:pPr>
              <w:ind w:left="500"/>
              <w:spacing w:after="0"/>
              <w:rPr>
                <w:sz w:val="20"/>
                <w:szCs w:val="20"/>
                <w:color w:val="auto"/>
              </w:rPr>
            </w:pPr>
            <w:r>
              <w:rPr>
                <w:rFonts w:ascii="Verdana" w:cs="Verdana" w:eastAsia="Verdana" w:hAnsi="Verdana"/>
                <w:sz w:val="13"/>
                <w:szCs w:val="13"/>
                <w:b w:val="1"/>
                <w:bCs w:val="1"/>
                <w:color w:val="auto"/>
              </w:rPr>
              <w:t>Exhibit</w:t>
            </w:r>
          </w:p>
        </w:tc>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100" w:type="dxa"/>
            <w:vAlign w:val="bottom"/>
            <w:gridSpan w:val="7"/>
            <w:vMerge w:val="restart"/>
          </w:tcPr>
          <w:p>
            <w:pPr>
              <w:ind w:left="60"/>
              <w:spacing w:after="0"/>
              <w:rPr>
                <w:sz w:val="20"/>
                <w:szCs w:val="20"/>
                <w:color w:val="auto"/>
              </w:rPr>
            </w:pPr>
            <w:r>
              <w:rPr>
                <w:rFonts w:ascii="Verdana" w:cs="Verdana" w:eastAsia="Verdana" w:hAnsi="Verdana"/>
                <w:sz w:val="13"/>
                <w:szCs w:val="13"/>
                <w:b w:val="1"/>
                <w:bCs w:val="1"/>
                <w:color w:val="auto"/>
              </w:rPr>
              <w:t>Description of Exhibit</w:t>
            </w:r>
          </w:p>
        </w:tc>
        <w:tc>
          <w:tcPr>
            <w:tcW w:w="940" w:type="dxa"/>
            <w:vAlign w:val="bottom"/>
          </w:tcPr>
          <w:p>
            <w:pPr>
              <w:jc w:val="center"/>
              <w:ind w:left="198"/>
              <w:spacing w:after="0"/>
              <w:rPr>
                <w:sz w:val="20"/>
                <w:szCs w:val="20"/>
                <w:color w:val="auto"/>
              </w:rPr>
            </w:pPr>
            <w:r>
              <w:rPr>
                <w:rFonts w:ascii="Verdana" w:cs="Verdana" w:eastAsia="Verdana" w:hAnsi="Verdana"/>
                <w:sz w:val="13"/>
                <w:szCs w:val="13"/>
                <w:b w:val="1"/>
                <w:bCs w:val="1"/>
                <w:color w:val="auto"/>
                <w:w w:val="96"/>
              </w:rPr>
              <w:t>Filed</w:t>
            </w:r>
          </w:p>
        </w:tc>
        <w:tc>
          <w:tcPr>
            <w:tcW w:w="0" w:type="dxa"/>
            <w:vAlign w:val="bottom"/>
          </w:tcPr>
          <w:p>
            <w:pPr>
              <w:spacing w:after="0"/>
              <w:rPr>
                <w:sz w:val="1"/>
                <w:szCs w:val="1"/>
                <w:color w:val="auto"/>
              </w:rPr>
            </w:pPr>
          </w:p>
        </w:tc>
      </w:tr>
      <w:tr>
        <w:trPr>
          <w:trHeight w:val="169"/>
        </w:trPr>
        <w:tc>
          <w:tcPr>
            <w:tcW w:w="1580" w:type="dxa"/>
            <w:vAlign w:val="bottom"/>
            <w:gridSpan w:val="2"/>
          </w:tcPr>
          <w:p>
            <w:pPr>
              <w:ind w:left="460"/>
              <w:spacing w:after="0"/>
              <w:rPr>
                <w:sz w:val="20"/>
                <w:szCs w:val="20"/>
                <w:color w:val="auto"/>
              </w:rPr>
            </w:pPr>
            <w:r>
              <w:rPr>
                <w:rFonts w:ascii="Verdana" w:cs="Verdana" w:eastAsia="Verdana" w:hAnsi="Verdana"/>
                <w:sz w:val="13"/>
                <w:szCs w:val="13"/>
                <w:b w:val="1"/>
                <w:bCs w:val="1"/>
                <w:color w:val="auto"/>
              </w:rPr>
              <w:t>Number</w:t>
            </w: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100" w:type="dxa"/>
            <w:vAlign w:val="bottom"/>
            <w:gridSpan w:val="7"/>
            <w:vMerge w:val="continue"/>
          </w:tcPr>
          <w:p>
            <w:pPr>
              <w:spacing w:after="0"/>
              <w:rPr>
                <w:sz w:val="14"/>
                <w:szCs w:val="14"/>
                <w:color w:val="auto"/>
              </w:rPr>
            </w:pPr>
          </w:p>
        </w:tc>
        <w:tc>
          <w:tcPr>
            <w:tcW w:w="940" w:type="dxa"/>
            <w:vAlign w:val="bottom"/>
          </w:tcPr>
          <w:p>
            <w:pPr>
              <w:jc w:val="center"/>
              <w:ind w:left="198"/>
              <w:spacing w:after="0"/>
              <w:rPr>
                <w:sz w:val="20"/>
                <w:szCs w:val="20"/>
                <w:color w:val="auto"/>
              </w:rPr>
            </w:pPr>
            <w:r>
              <w:rPr>
                <w:rFonts w:ascii="Verdana" w:cs="Verdana" w:eastAsia="Verdana" w:hAnsi="Verdana"/>
                <w:sz w:val="13"/>
                <w:szCs w:val="13"/>
                <w:b w:val="1"/>
                <w:bCs w:val="1"/>
                <w:color w:val="auto"/>
                <w:w w:val="98"/>
              </w:rPr>
              <w:t>Herewith</w:t>
            </w:r>
          </w:p>
        </w:tc>
        <w:tc>
          <w:tcPr>
            <w:tcW w:w="0" w:type="dxa"/>
            <w:vAlign w:val="bottom"/>
          </w:tcPr>
          <w:p>
            <w:pPr>
              <w:spacing w:after="0"/>
              <w:rPr>
                <w:sz w:val="1"/>
                <w:szCs w:val="1"/>
                <w:color w:val="auto"/>
              </w:rPr>
            </w:pPr>
          </w:p>
        </w:tc>
      </w:tr>
      <w:tr>
        <w:trPr>
          <w:trHeight w:val="216"/>
        </w:trPr>
        <w:tc>
          <w:tcPr>
            <w:tcW w:w="1480" w:type="dxa"/>
            <w:vAlign w:val="bottom"/>
            <w:tcBorders>
              <w:top w:val="single" w:sz="8" w:color="auto"/>
            </w:tcBorders>
          </w:tcPr>
          <w:p>
            <w:pPr>
              <w:ind w:left="20"/>
              <w:spacing w:after="0" w:line="216" w:lineRule="exact"/>
              <w:rPr>
                <w:sz w:val="20"/>
                <w:szCs w:val="20"/>
                <w:color w:val="auto"/>
              </w:rPr>
            </w:pPr>
            <w:r>
              <w:rPr>
                <w:rFonts w:ascii="Verdana" w:cs="Verdana" w:eastAsia="Verdana" w:hAnsi="Verdana"/>
                <w:sz w:val="18"/>
                <w:szCs w:val="18"/>
                <w:color w:val="auto"/>
              </w:rPr>
              <w:t>10.1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520" w:type="dxa"/>
            <w:vAlign w:val="bottom"/>
            <w:tcBorders>
              <w:top w:val="single" w:sz="8" w:color="auto"/>
            </w:tcBorders>
            <w:gridSpan w:val="8"/>
          </w:tcPr>
          <w:p>
            <w:pPr>
              <w:spacing w:after="0" w:line="216" w:lineRule="exact"/>
              <w:rPr>
                <w:sz w:val="20"/>
                <w:szCs w:val="20"/>
                <w:color w:val="auto"/>
              </w:rPr>
            </w:pPr>
            <w:r>
              <w:rPr>
                <w:rFonts w:ascii="Verdana" w:cs="Verdana" w:eastAsia="Verdana" w:hAnsi="Verdana"/>
                <w:sz w:val="18"/>
                <w:szCs w:val="18"/>
                <w:color w:val="0000FF"/>
              </w:rPr>
              <w:t>Employment Agreement, by and among First Busey Corporation, Busey Bank, and Monica L.</w:t>
            </w:r>
          </w:p>
        </w:tc>
        <w:tc>
          <w:tcPr>
            <w:tcW w:w="940" w:type="dxa"/>
            <w:vAlign w:val="bottom"/>
          </w:tcPr>
          <w:p>
            <w:pPr>
              <w:jc w:val="center"/>
              <w:ind w:left="178"/>
              <w:spacing w:after="0" w:line="216" w:lineRule="exact"/>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top w:val="single" w:sz="8" w:color="0000FF"/>
              <w:bottom w:val="single" w:sz="8" w:color="0000FF"/>
            </w:tcBorders>
          </w:tcPr>
          <w:p>
            <w:pPr>
              <w:spacing w:after="0" w:line="196" w:lineRule="exact"/>
              <w:rPr>
                <w:sz w:val="20"/>
                <w:szCs w:val="20"/>
                <w:color w:val="auto"/>
              </w:rPr>
            </w:pPr>
            <w:r>
              <w:rPr>
                <w:rFonts w:ascii="Verdana" w:cs="Verdana" w:eastAsia="Verdana" w:hAnsi="Verdana"/>
                <w:sz w:val="18"/>
                <w:szCs w:val="18"/>
                <w:color w:val="0000FF"/>
                <w:w w:val="99"/>
              </w:rPr>
              <w:t>Bowe, effective as of January 1, 2020</w:t>
            </w:r>
          </w:p>
        </w:tc>
        <w:tc>
          <w:tcPr>
            <w:tcW w:w="4940" w:type="dxa"/>
            <w:vAlign w:val="bottom"/>
            <w:tcBorders>
              <w:top w:val="single" w:sz="8" w:color="0000FF"/>
            </w:tcBorders>
            <w:gridSpan w:val="6"/>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80" w:type="dxa"/>
            <w:vAlign w:val="bottom"/>
          </w:tcPr>
          <w:p>
            <w:pPr>
              <w:ind w:left="20"/>
              <w:spacing w:after="0"/>
              <w:rPr>
                <w:sz w:val="20"/>
                <w:szCs w:val="20"/>
                <w:color w:val="auto"/>
              </w:rPr>
            </w:pPr>
            <w:r>
              <w:rPr>
                <w:rFonts w:ascii="Verdana" w:cs="Verdana" w:eastAsia="Verdana" w:hAnsi="Verdana"/>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60" w:type="dxa"/>
            <w:vAlign w:val="bottom"/>
            <w:tcBorders>
              <w:bottom w:val="single" w:sz="8" w:color="0000FF"/>
            </w:tcBorders>
            <w:gridSpan w:val="5"/>
          </w:tcPr>
          <w:p>
            <w:pPr>
              <w:spacing w:after="0"/>
              <w:rPr>
                <w:sz w:val="20"/>
                <w:szCs w:val="20"/>
                <w:color w:val="auto"/>
              </w:rPr>
            </w:pPr>
            <w:r>
              <w:rPr>
                <w:rFonts w:ascii="Verdana" w:cs="Verdana" w:eastAsia="Verdana" w:hAnsi="Verdana"/>
                <w:sz w:val="18"/>
                <w:szCs w:val="18"/>
                <w:color w:val="0000FF"/>
                <w:w w:val="99"/>
              </w:rPr>
              <w:t>Certification of Principal Executive Officer, pursuant to Rule 13a-14(a) and Rule 15d-14(a)</w:t>
            </w:r>
          </w:p>
        </w:tc>
        <w:tc>
          <w:tcPr>
            <w:tcW w:w="360" w:type="dxa"/>
            <w:vAlign w:val="bottom"/>
            <w:gridSpan w:val="3"/>
          </w:tcPr>
          <w:p>
            <w:pPr>
              <w:spacing w:after="0"/>
              <w:rPr>
                <w:sz w:val="24"/>
                <w:szCs w:val="24"/>
                <w:color w:val="auto"/>
              </w:rPr>
            </w:pPr>
          </w:p>
        </w:tc>
        <w:tc>
          <w:tcPr>
            <w:tcW w:w="940" w:type="dxa"/>
            <w:vAlign w:val="bottom"/>
          </w:tcPr>
          <w:p>
            <w:pPr>
              <w:jc w:val="center"/>
              <w:ind w:left="178"/>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412"/>
        </w:trPr>
        <w:tc>
          <w:tcPr>
            <w:tcW w:w="1480" w:type="dxa"/>
            <w:vAlign w:val="bottom"/>
          </w:tcPr>
          <w:p>
            <w:pPr>
              <w:ind w:left="20"/>
              <w:spacing w:after="0"/>
              <w:rPr>
                <w:sz w:val="20"/>
                <w:szCs w:val="20"/>
                <w:color w:val="auto"/>
              </w:rPr>
            </w:pPr>
            <w:r>
              <w:rPr>
                <w:rFonts w:ascii="Verdana" w:cs="Verdana" w:eastAsia="Verdana" w:hAnsi="Verdana"/>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tcBorders>
              <w:bottom w:val="single" w:sz="8" w:color="0000FF"/>
            </w:tcBorders>
            <w:gridSpan w:val="4"/>
          </w:tcPr>
          <w:p>
            <w:pPr>
              <w:spacing w:after="0"/>
              <w:rPr>
                <w:sz w:val="20"/>
                <w:szCs w:val="20"/>
                <w:color w:val="auto"/>
              </w:rPr>
            </w:pPr>
            <w:r>
              <w:rPr>
                <w:rFonts w:ascii="Verdana" w:cs="Verdana" w:eastAsia="Verdana" w:hAnsi="Verdana"/>
                <w:sz w:val="18"/>
                <w:szCs w:val="18"/>
                <w:color w:val="0000FF"/>
                <w:w w:val="99"/>
              </w:rPr>
              <w:t>Certification of Principal Financial Officer, pursuant to Rule 13a-14(a) and Rule 15d-14(a)</w:t>
            </w:r>
          </w:p>
        </w:tc>
        <w:tc>
          <w:tcPr>
            <w:tcW w:w="440" w:type="dxa"/>
            <w:vAlign w:val="bottom"/>
            <w:gridSpan w:val="4"/>
          </w:tcPr>
          <w:p>
            <w:pPr>
              <w:spacing w:after="0"/>
              <w:rPr>
                <w:sz w:val="24"/>
                <w:szCs w:val="24"/>
                <w:color w:val="auto"/>
              </w:rPr>
            </w:pPr>
          </w:p>
        </w:tc>
        <w:tc>
          <w:tcPr>
            <w:tcW w:w="940" w:type="dxa"/>
            <w:vAlign w:val="bottom"/>
          </w:tcPr>
          <w:p>
            <w:pPr>
              <w:jc w:val="center"/>
              <w:ind w:left="178"/>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412"/>
        </w:trPr>
        <w:tc>
          <w:tcPr>
            <w:tcW w:w="1480" w:type="dxa"/>
            <w:vAlign w:val="bottom"/>
          </w:tcPr>
          <w:p>
            <w:pPr>
              <w:ind w:left="20"/>
              <w:spacing w:after="0"/>
              <w:rPr>
                <w:sz w:val="20"/>
                <w:szCs w:val="20"/>
                <w:color w:val="auto"/>
              </w:rPr>
            </w:pPr>
            <w:r>
              <w:rPr>
                <w:rFonts w:ascii="Verdana" w:cs="Verdana" w:eastAsia="Verdana" w:hAnsi="Verdana"/>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40" w:type="dxa"/>
            <w:vAlign w:val="bottom"/>
            <w:tcBorders>
              <w:bottom w:val="single" w:sz="8" w:color="0000FF"/>
            </w:tcBorders>
            <w:gridSpan w:val="6"/>
          </w:tcPr>
          <w:p>
            <w:pPr>
              <w:spacing w:after="0"/>
              <w:rPr>
                <w:sz w:val="20"/>
                <w:szCs w:val="20"/>
                <w:color w:val="auto"/>
              </w:rPr>
            </w:pPr>
            <w:r>
              <w:rPr>
                <w:rFonts w:ascii="Verdana" w:cs="Verdana" w:eastAsia="Verdana" w:hAnsi="Verdana"/>
                <w:sz w:val="18"/>
                <w:szCs w:val="18"/>
                <w:color w:val="0000FF"/>
                <w:w w:val="99"/>
              </w:rPr>
              <w:t>Certification pursuant to 18 U.S.C. Section 1350, as adopted pursuant to Section 906 of the</w:t>
            </w:r>
          </w:p>
        </w:tc>
        <w:tc>
          <w:tcPr>
            <w:tcW w:w="180" w:type="dxa"/>
            <w:vAlign w:val="bottom"/>
            <w:gridSpan w:val="2"/>
          </w:tcPr>
          <w:p>
            <w:pPr>
              <w:spacing w:after="0"/>
              <w:rPr>
                <w:sz w:val="24"/>
                <w:szCs w:val="24"/>
                <w:color w:val="auto"/>
              </w:rPr>
            </w:pPr>
          </w:p>
        </w:tc>
        <w:tc>
          <w:tcPr>
            <w:tcW w:w="940" w:type="dxa"/>
            <w:vAlign w:val="bottom"/>
          </w:tcPr>
          <w:p>
            <w:pPr>
              <w:jc w:val="center"/>
              <w:ind w:left="178"/>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0" w:type="dxa"/>
            <w:vAlign w:val="bottom"/>
            <w:tcBorders>
              <w:bottom w:val="single" w:sz="8" w:color="0000FF"/>
            </w:tcBorders>
            <w:gridSpan w:val="3"/>
          </w:tcPr>
          <w:p>
            <w:pPr>
              <w:spacing w:after="0" w:line="196" w:lineRule="exact"/>
              <w:rPr>
                <w:sz w:val="20"/>
                <w:szCs w:val="20"/>
                <w:color w:val="auto"/>
              </w:rPr>
            </w:pPr>
            <w:r>
              <w:rPr>
                <w:rFonts w:ascii="Verdana" w:cs="Verdana" w:eastAsia="Verdana" w:hAnsi="Verdana"/>
                <w:sz w:val="18"/>
                <w:szCs w:val="18"/>
                <w:color w:val="0000FF"/>
                <w:w w:val="99"/>
              </w:rPr>
              <w:t>Sarbanes-Oxley Act of 2002, from First Busey’s Chief Executive Officer</w:t>
            </w:r>
          </w:p>
        </w:tc>
        <w:tc>
          <w:tcPr>
            <w:tcW w:w="212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80" w:type="dxa"/>
            <w:vAlign w:val="bottom"/>
          </w:tcPr>
          <w:p>
            <w:pPr>
              <w:ind w:left="20"/>
              <w:spacing w:after="0"/>
              <w:rPr>
                <w:sz w:val="20"/>
                <w:szCs w:val="20"/>
                <w:color w:val="auto"/>
              </w:rPr>
            </w:pPr>
            <w:r>
              <w:rPr>
                <w:rFonts w:ascii="Verdana" w:cs="Verdana" w:eastAsia="Verdana" w:hAnsi="Verdana"/>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40" w:type="dxa"/>
            <w:vAlign w:val="bottom"/>
            <w:tcBorders>
              <w:bottom w:val="single" w:sz="8" w:color="0000FF"/>
            </w:tcBorders>
            <w:gridSpan w:val="6"/>
          </w:tcPr>
          <w:p>
            <w:pPr>
              <w:spacing w:after="0"/>
              <w:rPr>
                <w:sz w:val="20"/>
                <w:szCs w:val="20"/>
                <w:color w:val="auto"/>
              </w:rPr>
            </w:pPr>
            <w:r>
              <w:rPr>
                <w:rFonts w:ascii="Verdana" w:cs="Verdana" w:eastAsia="Verdana" w:hAnsi="Verdana"/>
                <w:sz w:val="18"/>
                <w:szCs w:val="18"/>
                <w:color w:val="0000FF"/>
                <w:w w:val="99"/>
              </w:rPr>
              <w:t>Certification pursuant to 18 U.S.C. Section 1350, as adopted pursuant to Section 906 of the</w:t>
            </w:r>
          </w:p>
        </w:tc>
        <w:tc>
          <w:tcPr>
            <w:tcW w:w="180" w:type="dxa"/>
            <w:vAlign w:val="bottom"/>
            <w:gridSpan w:val="2"/>
          </w:tcPr>
          <w:p>
            <w:pPr>
              <w:spacing w:after="0"/>
              <w:rPr>
                <w:sz w:val="24"/>
                <w:szCs w:val="24"/>
                <w:color w:val="auto"/>
              </w:rPr>
            </w:pPr>
          </w:p>
        </w:tc>
        <w:tc>
          <w:tcPr>
            <w:tcW w:w="940" w:type="dxa"/>
            <w:vAlign w:val="bottom"/>
          </w:tcPr>
          <w:p>
            <w:pPr>
              <w:jc w:val="center"/>
              <w:ind w:left="178"/>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20" w:type="dxa"/>
            <w:vAlign w:val="bottom"/>
            <w:gridSpan w:val="8"/>
          </w:tcPr>
          <w:p>
            <w:pPr>
              <w:spacing w:after="0" w:line="196" w:lineRule="exact"/>
              <w:rPr>
                <w:sz w:val="20"/>
                <w:szCs w:val="20"/>
                <w:color w:val="auto"/>
              </w:rPr>
            </w:pPr>
            <w:r>
              <w:rPr>
                <w:rFonts w:ascii="Verdana" w:cs="Verdana" w:eastAsia="Verdana" w:hAnsi="Verdana"/>
                <w:sz w:val="18"/>
                <w:szCs w:val="18"/>
                <w:color w:val="0000FF"/>
              </w:rPr>
              <w:t>Sarbanes-Oxley Act of 2002, from First Busey’s Chief Financial Officer</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101.INS</w:t>
            </w:r>
          </w:p>
        </w:tc>
        <w:tc>
          <w:tcPr>
            <w:tcW w:w="20" w:type="dxa"/>
            <w:vAlign w:val="bottom"/>
          </w:tcPr>
          <w:p>
            <w:pPr>
              <w:spacing w:after="0"/>
              <w:rPr>
                <w:sz w:val="24"/>
                <w:szCs w:val="24"/>
                <w:color w:val="auto"/>
              </w:rPr>
            </w:pPr>
          </w:p>
        </w:tc>
        <w:tc>
          <w:tcPr>
            <w:tcW w:w="6320" w:type="dxa"/>
            <w:vAlign w:val="bottom"/>
            <w:tcBorders>
              <w:top w:val="single" w:sz="8" w:color="0000FF"/>
            </w:tcBorders>
            <w:gridSpan w:val="2"/>
          </w:tcPr>
          <w:p>
            <w:pPr>
              <w:spacing w:after="0"/>
              <w:rPr>
                <w:sz w:val="20"/>
                <w:szCs w:val="20"/>
                <w:color w:val="auto"/>
              </w:rPr>
            </w:pPr>
            <w:r>
              <w:rPr>
                <w:rFonts w:ascii="Verdana" w:cs="Verdana" w:eastAsia="Verdana" w:hAnsi="Verdana"/>
                <w:sz w:val="18"/>
                <w:szCs w:val="18"/>
                <w:color w:val="auto"/>
              </w:rPr>
              <w:t>iXBRL Instance Document</w:t>
            </w:r>
          </w:p>
        </w:tc>
        <w:tc>
          <w:tcPr>
            <w:tcW w:w="2200" w:type="dxa"/>
            <w:vAlign w:val="bottom"/>
            <w:gridSpan w:val="6"/>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101.SCH</w:t>
            </w:r>
          </w:p>
        </w:tc>
        <w:tc>
          <w:tcPr>
            <w:tcW w:w="20" w:type="dxa"/>
            <w:vAlign w:val="bottom"/>
          </w:tcPr>
          <w:p>
            <w:pPr>
              <w:spacing w:after="0"/>
              <w:rPr>
                <w:sz w:val="24"/>
                <w:szCs w:val="24"/>
                <w:color w:val="auto"/>
              </w:rPr>
            </w:pPr>
          </w:p>
        </w:tc>
        <w:tc>
          <w:tcPr>
            <w:tcW w:w="8520" w:type="dxa"/>
            <w:vAlign w:val="bottom"/>
            <w:gridSpan w:val="8"/>
          </w:tcPr>
          <w:p>
            <w:pPr>
              <w:spacing w:after="0"/>
              <w:rPr>
                <w:sz w:val="20"/>
                <w:szCs w:val="20"/>
                <w:color w:val="auto"/>
              </w:rPr>
            </w:pPr>
            <w:r>
              <w:rPr>
                <w:rFonts w:ascii="Verdana" w:cs="Verdana" w:eastAsia="Verdana" w:hAnsi="Verdana"/>
                <w:sz w:val="18"/>
                <w:szCs w:val="18"/>
                <w:color w:val="auto"/>
              </w:rPr>
              <w:t>iXBRL Taxonomy Extension Schema</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101.CAL</w:t>
            </w:r>
          </w:p>
        </w:tc>
        <w:tc>
          <w:tcPr>
            <w:tcW w:w="20" w:type="dxa"/>
            <w:vAlign w:val="bottom"/>
          </w:tcPr>
          <w:p>
            <w:pPr>
              <w:spacing w:after="0"/>
              <w:rPr>
                <w:sz w:val="24"/>
                <w:szCs w:val="24"/>
                <w:color w:val="auto"/>
              </w:rPr>
            </w:pPr>
          </w:p>
        </w:tc>
        <w:tc>
          <w:tcPr>
            <w:tcW w:w="8520" w:type="dxa"/>
            <w:vAlign w:val="bottom"/>
            <w:gridSpan w:val="8"/>
          </w:tcPr>
          <w:p>
            <w:pPr>
              <w:spacing w:after="0"/>
              <w:rPr>
                <w:sz w:val="20"/>
                <w:szCs w:val="20"/>
                <w:color w:val="auto"/>
              </w:rPr>
            </w:pPr>
            <w:r>
              <w:rPr>
                <w:rFonts w:ascii="Verdana" w:cs="Verdana" w:eastAsia="Verdana" w:hAnsi="Verdana"/>
                <w:sz w:val="18"/>
                <w:szCs w:val="18"/>
                <w:color w:val="auto"/>
              </w:rPr>
              <w:t>iXBRL Taxonomy Extension Calculation Linkbase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101.LAB</w:t>
            </w:r>
          </w:p>
        </w:tc>
        <w:tc>
          <w:tcPr>
            <w:tcW w:w="20" w:type="dxa"/>
            <w:vAlign w:val="bottom"/>
          </w:tcPr>
          <w:p>
            <w:pPr>
              <w:spacing w:after="0"/>
              <w:rPr>
                <w:sz w:val="24"/>
                <w:szCs w:val="24"/>
                <w:color w:val="auto"/>
              </w:rPr>
            </w:pPr>
          </w:p>
        </w:tc>
        <w:tc>
          <w:tcPr>
            <w:tcW w:w="8520" w:type="dxa"/>
            <w:vAlign w:val="bottom"/>
            <w:gridSpan w:val="8"/>
          </w:tcPr>
          <w:p>
            <w:pPr>
              <w:spacing w:after="0"/>
              <w:rPr>
                <w:sz w:val="20"/>
                <w:szCs w:val="20"/>
                <w:color w:val="auto"/>
              </w:rPr>
            </w:pPr>
            <w:r>
              <w:rPr>
                <w:rFonts w:ascii="Verdana" w:cs="Verdana" w:eastAsia="Verdana" w:hAnsi="Verdana"/>
                <w:sz w:val="18"/>
                <w:szCs w:val="18"/>
                <w:color w:val="auto"/>
              </w:rPr>
              <w:t>iXBRL Taxonomy Extension Label Linkbase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101.PRE</w:t>
            </w:r>
          </w:p>
        </w:tc>
        <w:tc>
          <w:tcPr>
            <w:tcW w:w="20" w:type="dxa"/>
            <w:vAlign w:val="bottom"/>
          </w:tcPr>
          <w:p>
            <w:pPr>
              <w:spacing w:after="0"/>
              <w:rPr>
                <w:sz w:val="24"/>
                <w:szCs w:val="24"/>
                <w:color w:val="auto"/>
              </w:rPr>
            </w:pPr>
          </w:p>
        </w:tc>
        <w:tc>
          <w:tcPr>
            <w:tcW w:w="8520" w:type="dxa"/>
            <w:vAlign w:val="bottom"/>
            <w:gridSpan w:val="8"/>
          </w:tcPr>
          <w:p>
            <w:pPr>
              <w:spacing w:after="0"/>
              <w:rPr>
                <w:sz w:val="20"/>
                <w:szCs w:val="20"/>
                <w:color w:val="auto"/>
              </w:rPr>
            </w:pPr>
            <w:r>
              <w:rPr>
                <w:rFonts w:ascii="Verdana" w:cs="Verdana" w:eastAsia="Verdana" w:hAnsi="Verdana"/>
                <w:sz w:val="18"/>
                <w:szCs w:val="18"/>
                <w:color w:val="auto"/>
              </w:rPr>
              <w:t>iXBRL Taxonomy Extension Presentation Linkbase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101.DEF</w:t>
            </w:r>
          </w:p>
        </w:tc>
        <w:tc>
          <w:tcPr>
            <w:tcW w:w="20" w:type="dxa"/>
            <w:vAlign w:val="bottom"/>
          </w:tcPr>
          <w:p>
            <w:pPr>
              <w:spacing w:after="0"/>
              <w:rPr>
                <w:sz w:val="24"/>
                <w:szCs w:val="24"/>
                <w:color w:val="auto"/>
              </w:rPr>
            </w:pPr>
          </w:p>
        </w:tc>
        <w:tc>
          <w:tcPr>
            <w:tcW w:w="8520" w:type="dxa"/>
            <w:vAlign w:val="bottom"/>
            <w:gridSpan w:val="8"/>
          </w:tcPr>
          <w:p>
            <w:pPr>
              <w:spacing w:after="0"/>
              <w:rPr>
                <w:sz w:val="20"/>
                <w:szCs w:val="20"/>
                <w:color w:val="auto"/>
              </w:rPr>
            </w:pPr>
            <w:r>
              <w:rPr>
                <w:rFonts w:ascii="Verdana" w:cs="Verdana" w:eastAsia="Verdana" w:hAnsi="Verdana"/>
                <w:sz w:val="18"/>
                <w:szCs w:val="18"/>
                <w:color w:val="auto"/>
              </w:rPr>
              <w:t>iXBRL Taxonomy Extension Definition Linkbase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00" w:right="1800" w:hanging="1574"/>
        <w:spacing w:after="0" w:line="254" w:lineRule="auto"/>
        <w:tabs>
          <w:tab w:leader="none" w:pos="1600" w:val="left"/>
        </w:tabs>
        <w:numPr>
          <w:ilvl w:val="0"/>
          <w:numId w:val="33"/>
        </w:numPr>
        <w:rPr>
          <w:rFonts w:ascii="Verdana" w:cs="Verdana" w:eastAsia="Verdana" w:hAnsi="Verdana"/>
          <w:sz w:val="18"/>
          <w:szCs w:val="18"/>
          <w:color w:val="auto"/>
        </w:rPr>
      </w:pPr>
      <w:r>
        <w:rPr>
          <w:rFonts w:ascii="Verdana" w:cs="Verdana" w:eastAsia="Verdana" w:hAnsi="Verdana"/>
          <w:sz w:val="18"/>
          <w:szCs w:val="18"/>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Verdana" w:cs="Verdana" w:eastAsia="Verdana" w:hAnsi="Verdana"/>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10" w:right="519" w:bottom="1440" w:gutter="0" w:footer="0" w:header="0"/>
        </w:sectPr>
      </w:pPr>
    </w:p>
    <w:bookmarkStart w:id="97" w:name="page98"/>
    <w:bookmarkEnd w:id="9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b w:val="1"/>
          <w:bCs w:val="1"/>
          <w:color w:val="auto"/>
        </w:rPr>
        <w:t>SIGNATURES</w:t>
      </w:r>
    </w:p>
    <w:p>
      <w:pPr>
        <w:spacing w:after="0" w:line="17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Pursuant to the requirements of the Exchange Act, the Registrant has duly caused this report to be signed on its behalf by the undersigned, as of May 7, 2024, thereunto duly authorized.</w:t>
      </w:r>
    </w:p>
    <w:p>
      <w:pPr>
        <w:spacing w:after="0" w:line="236" w:lineRule="exact"/>
        <w:rPr>
          <w:sz w:val="20"/>
          <w:szCs w:val="20"/>
          <w:color w:val="auto"/>
        </w:rPr>
      </w:pPr>
    </w:p>
    <w:p>
      <w:pPr>
        <w:ind w:left="4480"/>
        <w:spacing w:after="0"/>
        <w:rPr>
          <w:sz w:val="20"/>
          <w:szCs w:val="20"/>
          <w:color w:val="auto"/>
        </w:rPr>
      </w:pPr>
      <w:r>
        <w:rPr>
          <w:rFonts w:ascii="Verdana" w:cs="Verdana" w:eastAsia="Verdana" w:hAnsi="Verdana"/>
          <w:sz w:val="18"/>
          <w:szCs w:val="18"/>
          <w:b w:val="1"/>
          <w:bCs w:val="1"/>
          <w:color w:val="auto"/>
        </w:rPr>
        <w:t>FIRST BUSEY CORPORATION</w:t>
      </w:r>
    </w:p>
    <w:p>
      <w:pPr>
        <w:ind w:left="4480"/>
        <w:spacing w:after="0"/>
        <w:rPr>
          <w:sz w:val="20"/>
          <w:szCs w:val="20"/>
          <w:color w:val="auto"/>
        </w:rPr>
      </w:pPr>
      <w:r>
        <w:rPr>
          <w:rFonts w:ascii="Verdana" w:cs="Verdana" w:eastAsia="Verdana" w:hAnsi="Verdana"/>
          <w:sz w:val="18"/>
          <w:szCs w:val="18"/>
          <w:color w:val="auto"/>
        </w:rPr>
        <w:t>(Registrant)</w:t>
      </w:r>
    </w:p>
    <w:p>
      <w:pPr>
        <w:spacing w:after="0" w:line="321" w:lineRule="exact"/>
        <w:rPr>
          <w:sz w:val="20"/>
          <w:szCs w:val="20"/>
          <w:color w:val="auto"/>
        </w:rPr>
      </w:pPr>
    </w:p>
    <w:p>
      <w:pPr>
        <w:ind w:left="4480"/>
        <w:spacing w:after="0"/>
        <w:tabs>
          <w:tab w:leader="none" w:pos="4980" w:val="left"/>
        </w:tabs>
        <w:rPr>
          <w:sz w:val="20"/>
          <w:szCs w:val="20"/>
          <w:color w:val="auto"/>
        </w:rPr>
      </w:pPr>
      <w:r>
        <w:rPr>
          <w:rFonts w:ascii="Verdana" w:cs="Verdana" w:eastAsia="Verdana" w:hAnsi="Verdana"/>
          <w:sz w:val="18"/>
          <w:szCs w:val="18"/>
          <w:color w:val="auto"/>
        </w:rPr>
        <w:t>By:</w:t>
        <w:tab/>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19050</wp:posOffset>
            </wp:positionV>
            <wp:extent cx="39687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45"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Van A. Dukeman</w:t>
      </w:r>
    </w:p>
    <w:p>
      <w:pPr>
        <w:spacing w:after="0" w:line="48"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Chairman and Chief Executive Officer</w:t>
      </w:r>
    </w:p>
    <w:p>
      <w:pPr>
        <w:ind w:left="5000"/>
        <w:spacing w:after="0"/>
        <w:rPr>
          <w:sz w:val="20"/>
          <w:szCs w:val="20"/>
          <w:color w:val="auto"/>
        </w:rPr>
      </w:pPr>
      <w:r>
        <w:rPr>
          <w:rFonts w:ascii="Verdana" w:cs="Verdana" w:eastAsia="Verdana" w:hAnsi="Verdana"/>
          <w:sz w:val="18"/>
          <w:szCs w:val="18"/>
          <w:color w:val="auto"/>
        </w:rPr>
        <w:t>(Principal Executive Officer)</w:t>
      </w:r>
    </w:p>
    <w:p>
      <w:pPr>
        <w:spacing w:after="0" w:line="321" w:lineRule="exact"/>
        <w:rPr>
          <w:sz w:val="20"/>
          <w:szCs w:val="20"/>
          <w:color w:val="auto"/>
        </w:rPr>
      </w:pPr>
    </w:p>
    <w:p>
      <w:pPr>
        <w:ind w:left="4480"/>
        <w:spacing w:after="0"/>
        <w:tabs>
          <w:tab w:leader="none" w:pos="4980" w:val="left"/>
        </w:tabs>
        <w:rPr>
          <w:sz w:val="20"/>
          <w:szCs w:val="20"/>
          <w:color w:val="auto"/>
        </w:rPr>
      </w:pPr>
      <w:r>
        <w:rPr>
          <w:rFonts w:ascii="Verdana" w:cs="Verdana" w:eastAsia="Verdana" w:hAnsi="Verdana"/>
          <w:sz w:val="18"/>
          <w:szCs w:val="18"/>
          <w:color w:val="auto"/>
        </w:rPr>
        <w:t>By:</w:t>
      </w:r>
      <w:r>
        <w:rPr>
          <w:sz w:val="20"/>
          <w:szCs w:val="20"/>
          <w:color w:val="auto"/>
        </w:rPr>
        <w:tab/>
      </w:r>
      <w:r>
        <w:rPr>
          <w:rFonts w:ascii="Verdana" w:cs="Verdana" w:eastAsia="Verdana" w:hAnsi="Verdana"/>
          <w:sz w:val="17"/>
          <w:szCs w:val="17"/>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19050</wp:posOffset>
            </wp:positionV>
            <wp:extent cx="39687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3968750" cy="8890"/>
                    </a:xfrm>
                    <a:prstGeom prst="rect">
                      <a:avLst/>
                    </a:prstGeom>
                    <a:noFill/>
                  </pic:spPr>
                </pic:pic>
              </a:graphicData>
            </a:graphic>
          </wp:anchor>
        </w:drawing>
      </w:r>
    </w:p>
    <w:p>
      <w:pPr>
        <w:spacing w:after="0" w:line="45"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Jeffrey D. Jones</w:t>
      </w:r>
    </w:p>
    <w:p>
      <w:pPr>
        <w:spacing w:after="0" w:line="48"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Chief Financial Officer</w:t>
      </w:r>
    </w:p>
    <w:p>
      <w:pPr>
        <w:ind w:left="5000"/>
        <w:spacing w:after="0"/>
        <w:rPr>
          <w:sz w:val="20"/>
          <w:szCs w:val="20"/>
          <w:color w:val="auto"/>
        </w:rPr>
      </w:pPr>
      <w:r>
        <w:rPr>
          <w:rFonts w:ascii="Verdana" w:cs="Verdana" w:eastAsia="Verdana" w:hAnsi="Verdana"/>
          <w:sz w:val="18"/>
          <w:szCs w:val="18"/>
          <w:color w:val="auto"/>
        </w:rPr>
        <w:t>(Principal Financial Officer)</w:t>
      </w:r>
    </w:p>
    <w:p>
      <w:pPr>
        <w:spacing w:after="0" w:line="321" w:lineRule="exact"/>
        <w:rPr>
          <w:sz w:val="20"/>
          <w:szCs w:val="20"/>
          <w:color w:val="auto"/>
        </w:rPr>
      </w:pPr>
    </w:p>
    <w:p>
      <w:pPr>
        <w:ind w:left="4480"/>
        <w:spacing w:after="0"/>
        <w:tabs>
          <w:tab w:leader="none" w:pos="4980" w:val="left"/>
        </w:tabs>
        <w:rPr>
          <w:sz w:val="20"/>
          <w:szCs w:val="20"/>
          <w:color w:val="auto"/>
        </w:rPr>
      </w:pPr>
      <w:r>
        <w:rPr>
          <w:rFonts w:ascii="Verdana" w:cs="Verdana" w:eastAsia="Verdana" w:hAnsi="Verdana"/>
          <w:sz w:val="18"/>
          <w:szCs w:val="18"/>
          <w:color w:val="auto"/>
        </w:rPr>
        <w:t>By:</w:t>
        <w:tab/>
        <w:t>/s/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19050</wp:posOffset>
            </wp:positionV>
            <wp:extent cx="39687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45"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Scott A. Phillips</w:t>
      </w:r>
    </w:p>
    <w:p>
      <w:pPr>
        <w:spacing w:after="0" w:line="48"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Corporate Controller and Principal Accounting Officer</w:t>
      </w:r>
    </w:p>
    <w:p>
      <w:pPr>
        <w:ind w:left="5000"/>
        <w:spacing w:after="0"/>
        <w:rPr>
          <w:sz w:val="20"/>
          <w:szCs w:val="20"/>
          <w:color w:val="auto"/>
        </w:rPr>
      </w:pPr>
      <w:r>
        <w:rPr>
          <w:rFonts w:ascii="Verdana" w:cs="Verdana" w:eastAsia="Verdana" w:hAnsi="Verdana"/>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Verdana" w:cs="Verdana" w:eastAsia="Verdana" w:hAnsi="Verdana"/>
          <w:sz w:val="18"/>
          <w:szCs w:val="18"/>
          <w:color w:val="auto"/>
        </w:rPr>
        <w:t>98</w:t>
      </w:r>
    </w:p>
    <w:p>
      <w:pPr>
        <w:sectPr>
          <w:pgSz w:w="11900" w:h="16838" w:orient="portrait"/>
          <w:cols w:equalWidth="0" w:num="1">
            <w:col w:w="11240"/>
          </w:cols>
          <w:pgMar w:left="320" w:top="310" w:right="339" w:bottom="1440" w:gutter="0" w:footer="0" w:header="0"/>
        </w:sectPr>
      </w:pPr>
    </w:p>
    <w:bookmarkStart w:id="98" w:name="page99"/>
    <w:bookmarkEnd w:id="98"/>
    <w:p>
      <w:pPr>
        <w:jc w:val="right"/>
        <w:spacing w:after="0"/>
        <w:rPr>
          <w:sz w:val="20"/>
          <w:szCs w:val="20"/>
          <w:color w:val="auto"/>
        </w:rPr>
      </w:pPr>
      <w:r>
        <w:rPr>
          <w:rFonts w:ascii="Verdana" w:cs="Verdana" w:eastAsia="Verdana" w:hAnsi="Verdana"/>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by and among First Busey Corporation (</w:t>
      </w:r>
      <w:r>
        <w:rPr>
          <w:rFonts w:ascii="Times New Roman" w:cs="Times New Roman" w:eastAsia="Times New Roman" w:hAnsi="Times New Roman"/>
          <w:sz w:val="22"/>
          <w:szCs w:val="22"/>
          <w:b w:val="1"/>
          <w:bCs w:val="1"/>
          <w:color w:val="auto"/>
        </w:rPr>
        <w:t>“First Busey”</w:t>
      </w:r>
      <w:r>
        <w:rPr>
          <w:rFonts w:ascii="Times New Roman" w:cs="Times New Roman" w:eastAsia="Times New Roman" w:hAnsi="Times New Roman"/>
          <w:sz w:val="22"/>
          <w:szCs w:val="22"/>
          <w:color w:val="auto"/>
        </w:rPr>
        <w:t xml:space="preserve">), Busey Bank (the </w:t>
      </w: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 xml:space="preserve"> and together with First Busey,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and Monica L. Bowe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xml:space="preserve"> and together with Employer,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83"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Bank is a wholly owned subsidiary of First Busey.</w:t>
      </w:r>
    </w:p>
    <w:p>
      <w:pPr>
        <w:spacing w:after="0" w:line="179" w:lineRule="exact"/>
        <w:rPr>
          <w:rFonts w:ascii="Times New Roman" w:cs="Times New Roman" w:eastAsia="Times New Roman" w:hAnsi="Times New Roman"/>
          <w:sz w:val="22"/>
          <w:szCs w:val="22"/>
          <w:b w:val="1"/>
          <w:bCs w:val="1"/>
          <w:color w:val="auto"/>
        </w:rPr>
      </w:pPr>
    </w:p>
    <w:p>
      <w:pPr>
        <w:ind w:firstLine="656"/>
        <w:spacing w:after="0" w:line="236" w:lineRule="auto"/>
        <w:tabs>
          <w:tab w:leader="none" w:pos="1292"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Employer has determined it to be in its best interests to enter into this Agreement pertaining to the employment of Executive as of and following the Effective Date.</w:t>
      </w:r>
    </w:p>
    <w:p>
      <w:pPr>
        <w:spacing w:after="0" w:line="150" w:lineRule="exact"/>
        <w:rPr>
          <w:rFonts w:ascii="Times New Roman" w:cs="Times New Roman" w:eastAsia="Times New Roman" w:hAnsi="Times New Roman"/>
          <w:sz w:val="22"/>
          <w:szCs w:val="22"/>
          <w:b w:val="1"/>
          <w:bCs w:val="1"/>
          <w:color w:val="auto"/>
        </w:rPr>
      </w:pPr>
    </w:p>
    <w:p>
      <w:pPr>
        <w:ind w:right="20" w:firstLine="656"/>
        <w:spacing w:after="0" w:line="236" w:lineRule="auto"/>
        <w:tabs>
          <w:tab w:leader="none" w:pos="129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Executive desires to be employed by Employer as of and following the Effective Date in accordance with the terms of this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foregoing and of the respective covenants and agreements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herein, the Parties hereby agree as follows: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AGREEMENTS</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Term with Automatic Renewal Provision.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 of Executive's employment hereunder by Employer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will commence on January 1, 2020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and will continue for one (1) year thereafter (the </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Following the Initial Term, the term shall automatically renew for additional one (1) year periods, unless either Party provides written notice of nonrenewal to the other Party not less than thirty (30) days prior to the end of the Initial Term or such one</w:t>
      </w:r>
    </w:p>
    <w:p>
      <w:pPr>
        <w:spacing w:after="0" w:line="2"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year period (the Initial Period and any subsequent renewal periods,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b w:val="1"/>
          <w:bCs w:val="1"/>
          <w:u w:val="single" w:color="auto"/>
          <w:color w:val="auto"/>
        </w:rPr>
        <w:t>Employment.</w:t>
      </w:r>
    </w:p>
    <w:p>
      <w:pPr>
        <w:spacing w:after="0" w:line="179"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1"/>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Positions and Duties.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of this Agreement, Executive shall devote Executive's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business time, energies and talent to serving as the Chief Risk Officer of First Busey and the Bank, at the direction of the Chief Executive Officer of First Busey (the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Executive shall perform all duties assigned to Executive faithfully, loyally and efficiently, and shall have such duties, authority and responsibilities as may be assigned to Executive from time to time by the CEO, which duties, authority and responsibilities shall include those customarily held by such officer of comparable companies, subject always to the charter and bylaw provisions and policies of Employer. Executive shall perform the duties required by this Agreement at Employer's principal place of business unless the nature of such duties requires otherwise. Notwithstanding the foregoing, during the Term, Executive may devote reasonable time to activities other than those required under this Agreement, including activities of a charitable, educational, religious or similar nature (including professional associations) to the extent such activities do not in any material way inhibit, prohibit, interfere with or conflict with Executive's duties under this Agreement or conflict in any material way with the business of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SCI:4966251.5</w:t>
      </w:r>
    </w:p>
    <w:p>
      <w:pPr>
        <w:sectPr>
          <w:pgSz w:w="11900" w:h="16838" w:orient="portrait"/>
          <w:cols w:equalWidth="0" w:num="1">
            <w:col w:w="11240"/>
          </w:cols>
          <w:pgMar w:left="320" w:top="134" w:right="339" w:bottom="1440" w:gutter="0" w:footer="0" w:header="0"/>
        </w:sectPr>
      </w:pPr>
    </w:p>
    <w:bookmarkStart w:id="99" w:name="page100"/>
    <w:bookmarkEnd w:id="99"/>
    <w:p>
      <w:pPr>
        <w:spacing w:after="0" w:line="383" w:lineRule="exact"/>
        <w:rPr>
          <w:sz w:val="20"/>
          <w:szCs w:val="20"/>
          <w:color w:val="auto"/>
        </w:rPr>
      </w:pPr>
    </w:p>
    <w:p>
      <w:pPr>
        <w:jc w:val="both"/>
        <w:ind w:firstLine="1304"/>
        <w:spacing w:after="0" w:line="227" w:lineRule="auto"/>
        <w:tabs>
          <w:tab w:leader="none" w:pos="1938"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Transfers.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Board of Directors of First Busey (the</w:t>
      </w:r>
      <w:r>
        <w:rPr>
          <w:rFonts w:ascii="Times New Roman" w:cs="Times New Roman" w:eastAsia="Times New Roman" w:hAnsi="Times New Roman"/>
          <w:sz w:val="22"/>
          <w:szCs w:val="22"/>
          <w:b w:val="1"/>
          <w:bCs w:val="1"/>
          <w:color w:val="auto"/>
        </w:rPr>
        <w:t xml:space="preserve"> “Board”</w:t>
      </w:r>
      <w:r>
        <w:rPr>
          <w:rFonts w:ascii="Times New Roman" w:cs="Times New Roman" w:eastAsia="Times New Roman" w:hAnsi="Times New Roman"/>
          <w:sz w:val="22"/>
          <w:szCs w:val="22"/>
          <w:color w:val="auto"/>
        </w:rPr>
        <w:t>) may, in its sole discretion,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Executive's employment to be transferred from Employer to any wholly owned subsidiary of First Busey, in which case all references in this Agreement to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xml:space="preserve"> shall be deemed to refer to such subsidiary (and First Busey, if applicable).</w:t>
      </w:r>
    </w:p>
    <w:p>
      <w:pPr>
        <w:spacing w:after="0" w:line="14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b w:val="1"/>
          <w:bCs w:val="1"/>
          <w:u w:val="single" w:color="auto"/>
          <w:color w:val="auto"/>
        </w:rPr>
        <w:t>Compensation and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of this Agreement, during the Term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 shall compensate Executive for Executive's services as follows:</w:t>
      </w:r>
    </w:p>
    <w:p>
      <w:pPr>
        <w:spacing w:after="0" w:line="146" w:lineRule="exact"/>
        <w:rPr>
          <w:sz w:val="20"/>
          <w:szCs w:val="20"/>
          <w:color w:val="auto"/>
        </w:rPr>
      </w:pPr>
    </w:p>
    <w:p>
      <w:pPr>
        <w:jc w:val="both"/>
        <w:ind w:firstLine="1304"/>
        <w:spacing w:after="0" w:line="214" w:lineRule="auto"/>
        <w:tabs>
          <w:tab w:leader="none" w:pos="1939"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Base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annual base salary rate shall be two hundred fifty thousand dollars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($250,000.00) (the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which shall be payable in accordance with Employer's normal payroll practices as are in effect from time to time. Beginning with the 2020 calendar year and annually thereafter, the Board (or an authorized committee thereof) shall review Executive's Base Salary at such time as it reviews Employer's executive compensation to determine whether Executive's Base Salary should be maintained at its existing level or increased, with any increase being effective as determined by the Board (or an authorized committee thereof). If Executive's Base Salary is increased by Employer, such increased Base Salary will then constitute the Base Salary for all purposes of this Agreement.</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21" w:lineRule="auto"/>
        <w:tabs>
          <w:tab w:leader="none" w:pos="1938" w:val="left"/>
        </w:tabs>
        <w:numPr>
          <w:ilvl w:val="0"/>
          <w:numId w:val="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Discretionary Performance Bonus.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Employer shall consider Executive for a bonus each year during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Term based on performance criteria established by Employer and any other factors deemed by Employer to be appropriate. Bonuses shall be awarded, if at all, in the sole discretion of Employer, and nothing in this Agreement shall require the payment of a bonus in any given year. Payment of any such bonus shall be made as soon as practicable after it is earned, but in no event later than two and one-half (2½) months following the end of the calendar year in which it is earned;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bonuses shall not be considered earned until Employer has made all determinations and taken all actions necessary to establish such bonuses. Executive shall be guaranteed an initial minimum discretionary performance bonus of two hundred thousand dollars ($200,000) for 2019 payable in 2020 when such bonuses are paid to similarly situated senior executives of Employer (the </w:t>
      </w:r>
      <w:r>
        <w:rPr>
          <w:rFonts w:ascii="Times New Roman" w:cs="Times New Roman" w:eastAsia="Times New Roman" w:hAnsi="Times New Roman"/>
          <w:sz w:val="21"/>
          <w:szCs w:val="21"/>
          <w:b w:val="1"/>
          <w:bCs w:val="1"/>
          <w:color w:val="auto"/>
        </w:rPr>
        <w:t>“2019 Bonus”</w:t>
      </w:r>
      <w:r>
        <w:rPr>
          <w:rFonts w:ascii="Times New Roman" w:cs="Times New Roman" w:eastAsia="Times New Roman" w:hAnsi="Times New Roman"/>
          <w:sz w:val="21"/>
          <w:szCs w:val="21"/>
          <w:color w:val="auto"/>
        </w:rPr>
        <w:t xml:space="preserve">). If, prior to payment of the 2019 Bonus, Executive is terminated and becomes eligible for payments under </w:t>
      </w:r>
      <w:r>
        <w:rPr>
          <w:rFonts w:ascii="Times New Roman" w:cs="Times New Roman" w:eastAsia="Times New Roman" w:hAnsi="Times New Roman"/>
          <w:sz w:val="21"/>
          <w:szCs w:val="21"/>
          <w:b w:val="1"/>
          <w:bCs w:val="1"/>
          <w:color w:val="auto"/>
        </w:rPr>
        <w:t>Section 6(b)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6(c)</w:t>
      </w:r>
      <w:r>
        <w:rPr>
          <w:rFonts w:ascii="Times New Roman" w:cs="Times New Roman" w:eastAsia="Times New Roman" w:hAnsi="Times New Roman"/>
          <w:sz w:val="21"/>
          <w:szCs w:val="21"/>
          <w:color w:val="auto"/>
        </w:rPr>
        <w:t xml:space="preserve">, the amount of the 2019 Bonus shall be “the amount of the most recent performance bonus that Employer actually paid to Executive under </w:t>
      </w:r>
      <w:r>
        <w:rPr>
          <w:rFonts w:ascii="Times New Roman" w:cs="Times New Roman" w:eastAsia="Times New Roman" w:hAnsi="Times New Roman"/>
          <w:sz w:val="21"/>
          <w:szCs w:val="21"/>
          <w:b w:val="1"/>
          <w:bCs w:val="1"/>
          <w:color w:val="auto"/>
        </w:rPr>
        <w:t>Section 3(b)</w:t>
      </w:r>
      <w:r>
        <w:rPr>
          <w:rFonts w:ascii="Times New Roman" w:cs="Times New Roman" w:eastAsia="Times New Roman" w:hAnsi="Times New Roman"/>
          <w:sz w:val="21"/>
          <w:szCs w:val="21"/>
          <w:color w:val="auto"/>
        </w:rPr>
        <w:t xml:space="preserve">” for purposes of </w:t>
      </w:r>
      <w:r>
        <w:rPr>
          <w:rFonts w:ascii="Times New Roman" w:cs="Times New Roman" w:eastAsia="Times New Roman" w:hAnsi="Times New Roman"/>
          <w:sz w:val="21"/>
          <w:szCs w:val="21"/>
          <w:b w:val="1"/>
          <w:bCs w:val="1"/>
          <w:color w:val="auto"/>
        </w:rPr>
        <w:t>Sections 6(b)(i)(B)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6(b)(ii)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Sections 6(c)(i)(B)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6(c)(ii)</w:t>
      </w:r>
      <w:r>
        <w:rPr>
          <w:rFonts w:ascii="Times New Roman" w:cs="Times New Roman" w:eastAsia="Times New Roman" w:hAnsi="Times New Roman"/>
          <w:sz w:val="21"/>
          <w:szCs w:val="21"/>
          <w:color w:val="auto"/>
        </w:rPr>
        <w:t>, as applicable.</w:t>
      </w:r>
    </w:p>
    <w:p>
      <w:pPr>
        <w:spacing w:after="0" w:line="145" w:lineRule="exact"/>
        <w:rPr>
          <w:rFonts w:ascii="Times New Roman" w:cs="Times New Roman" w:eastAsia="Times New Roman" w:hAnsi="Times New Roman"/>
          <w:sz w:val="21"/>
          <w:szCs w:val="21"/>
          <w:b w:val="1"/>
          <w:bCs w:val="1"/>
          <w:color w:val="auto"/>
        </w:rPr>
      </w:pPr>
    </w:p>
    <w:p>
      <w:pPr>
        <w:jc w:val="both"/>
        <w:ind w:firstLine="1304"/>
        <w:spacing w:after="0" w:line="212" w:lineRule="auto"/>
        <w:tabs>
          <w:tab w:leader="none" w:pos="1941"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Long-Term Incentive Program.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Term, Executive shall be eligible to receive annual grants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under Employer's long-term equity incentive program, as determined in the sole discretion of the Board (or an authorized committee thereof). Employer shall recommend to the Board that the Board grant, on or before March 31, 2020, a restricted stock or restricted stock unit award, with a grant date value of one hundred thousand dollars ($100,000), which shall vest on the third (3rd) anniversary of the grant date. In addition, Employer shall recommend to the Board that the Board grant a restricted stock or restricted stock units when such equity awards are granted to other senior executives of Employer on or around July 1, 2020 with a grant date value of two hundred thousand dollars ($200,000), which shall vest on the fifth (5th) anniversary of the grant date. For the avoidance of doubt, failure of Employer to grant the equity awards in accordance with this </w:t>
      </w:r>
      <w:r>
        <w:rPr>
          <w:rFonts w:ascii="Times New Roman" w:cs="Times New Roman" w:eastAsia="Times New Roman" w:hAnsi="Times New Roman"/>
          <w:sz w:val="22"/>
          <w:szCs w:val="22"/>
          <w:b w:val="1"/>
          <w:bCs w:val="1"/>
          <w:color w:val="auto"/>
        </w:rPr>
        <w:t>Section 2(c)</w:t>
      </w:r>
      <w:r>
        <w:rPr>
          <w:rFonts w:ascii="Times New Roman" w:cs="Times New Roman" w:eastAsia="Times New Roman" w:hAnsi="Times New Roman"/>
          <w:sz w:val="22"/>
          <w:szCs w:val="22"/>
          <w:color w:val="auto"/>
        </w:rPr>
        <w:t xml:space="preserve"> shall constitute “Good Reason” under </w:t>
      </w:r>
      <w:r>
        <w:rPr>
          <w:rFonts w:ascii="Times New Roman" w:cs="Times New Roman" w:eastAsia="Times New Roman" w:hAnsi="Times New Roman"/>
          <w:sz w:val="22"/>
          <w:szCs w:val="22"/>
          <w:b w:val="1"/>
          <w:bCs w:val="1"/>
          <w:color w:val="auto"/>
        </w:rPr>
        <w:t>Section 4(d)(iv)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if, at the time of the applicable grant, Executive remains employed by Employer in the capacity set forth in </w:t>
      </w:r>
      <w:r>
        <w:rPr>
          <w:rFonts w:ascii="Times New Roman" w:cs="Times New Roman" w:eastAsia="Times New Roman" w:hAnsi="Times New Roman"/>
          <w:sz w:val="22"/>
          <w:szCs w:val="22"/>
          <w:b w:val="1"/>
          <w:bCs w:val="1"/>
          <w:color w:val="auto"/>
        </w:rPr>
        <w:t>Section 2(a)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304"/>
        <w:spacing w:after="0" w:line="212" w:lineRule="auto"/>
        <w:tabs>
          <w:tab w:leader="none" w:pos="1938"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Profit Sharing Benefit.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be eligible to receive an annual profit sharing benefit based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combined amount of Executive's Base Salary and, if applicable, Executive's discretionary performance bonus, after Executive meets the eligibility requirements of the applicable profit sharing plan. The Board shall decide the exact amount of this benefit annually in its sole discretion. Employer shall contribute this benefit for the account of Executive to Employer's tax-qualified retirement plan and/or any nonqualified deferred compensation plan that Employer establishes or maintains. All such profit sharing benefit payments shall be determined and governed by the terms of the applicable plan as may be in effect from time to time. Employer shall have no obligation to continue to maintain any particular benefit plan or arrangement and the profit sharing benefit described in this </w:t>
      </w:r>
      <w:r>
        <w:rPr>
          <w:rFonts w:ascii="Times New Roman" w:cs="Times New Roman" w:eastAsia="Times New Roman" w:hAnsi="Times New Roman"/>
          <w:sz w:val="22"/>
          <w:szCs w:val="22"/>
          <w:b w:val="1"/>
          <w:bCs w:val="1"/>
          <w:color w:val="auto"/>
        </w:rPr>
        <w:t>Section 3(d)</w:t>
      </w:r>
      <w:r>
        <w:rPr>
          <w:rFonts w:ascii="Times New Roman" w:cs="Times New Roman" w:eastAsia="Times New Roman" w:hAnsi="Times New Roman"/>
          <w:sz w:val="22"/>
          <w:szCs w:val="22"/>
          <w:color w:val="auto"/>
        </w:rPr>
        <w:t xml:space="preserve"> may be amended or terminated by Employer at any time for any reason or no reason,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amendment or termination applies to all other similarly situated senior executives of Employer.</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14" w:lineRule="auto"/>
        <w:tabs>
          <w:tab w:leader="none" w:pos="1941"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Reimbursement of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 shall reimburse Executive for all travel, entertainment and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out-of-pocket expenses that Executive reasonably and necessarily incurs in the performance of Executive's duties under this Agreement. Executive shall document these expenses to the extent necessary to comply with all applicable laws and Employer policies. Any reimbursement payments hereunder shall be made as soon as practicable and in no event later than two and one-half (2½) months following the end of the year in which the corresponding expenses are incurred. Employer shall reimburse Executive in an amount not to exceed twenty five thousand dollars ($25,000) for relocation expenses within ten (10) business days of Employer's receipt of valid receipts and any other required information to substantiate the reimbursement.</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16" w:lineRule="auto"/>
        <w:tabs>
          <w:tab w:leader="none" w:pos="1944"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be eligible to participate, subject to the terms thereof, in all Employer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plans and health, dental, life insurance and similar plans, as may be in effect from time to time with respect to similarly situated senior executives. In addition to the foregoing benefits, Executive shall be eligible to participate in Employer's key life insurance program on the first entry date following the Effective Date (which entry date is March 1, 2020) with an aggregate death benefit amount of one-million five hundred thousand dollars ($1,500,000.00), subject to insurability and all other terms of such program.</w:t>
      </w:r>
    </w:p>
    <w:p>
      <w:pPr>
        <w:spacing w:after="0" w:line="145" w:lineRule="exact"/>
        <w:rPr>
          <w:rFonts w:ascii="Times New Roman" w:cs="Times New Roman" w:eastAsia="Times New Roman" w:hAnsi="Times New Roman"/>
          <w:sz w:val="22"/>
          <w:szCs w:val="22"/>
          <w:b w:val="1"/>
          <w:bCs w:val="1"/>
          <w:color w:val="auto"/>
        </w:rPr>
      </w:pPr>
    </w:p>
    <w:p>
      <w:pPr>
        <w:ind w:firstLine="1304"/>
        <w:spacing w:after="0" w:line="238" w:lineRule="auto"/>
        <w:tabs>
          <w:tab w:leader="none" w:pos="1939"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Vacations.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be subject to Employer's general vacation policy as may be in effect from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time, but shall accrue not less than twenty-five (25) days of paid vacation annually.</w:t>
      </w:r>
    </w:p>
    <w:p>
      <w:pPr>
        <w:spacing w:after="0" w:line="146" w:lineRule="exact"/>
        <w:rPr>
          <w:rFonts w:ascii="Times New Roman" w:cs="Times New Roman" w:eastAsia="Times New Roman" w:hAnsi="Times New Roman"/>
          <w:sz w:val="22"/>
          <w:szCs w:val="22"/>
          <w:b w:val="1"/>
          <w:bCs w:val="1"/>
          <w:color w:val="auto"/>
        </w:rPr>
      </w:pPr>
    </w:p>
    <w:p>
      <w:pPr>
        <w:ind w:firstLine="1304"/>
        <w:spacing w:after="0" w:line="238" w:lineRule="auto"/>
        <w:tabs>
          <w:tab w:leader="none" w:pos="1938"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 may withhold any applicable federal, state and local withholding and other 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payments that become due or allowances that are provided to Executive.</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32"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Potential Refund.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Executive's employment hereunder is terminated by Employer for Cause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hereinafter defined) or by Employee without Good Reason (as hereinafter defined) prior to April 1, 2021, then within ninety (90) days after the effective date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38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 xml:space="preserve">termination Executive shall repay any 2019 Bonus received pursuant to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 xml:space="preserve"> and any relocation reimbursements received pursuant to </w:t>
      </w:r>
      <w:r>
        <w:rPr>
          <w:rFonts w:ascii="Times New Roman" w:cs="Times New Roman" w:eastAsia="Times New Roman" w:hAnsi="Times New Roman"/>
          <w:sz w:val="22"/>
          <w:szCs w:val="22"/>
          <w:b w:val="1"/>
          <w:bCs w:val="1"/>
          <w:color w:val="auto"/>
        </w:rPr>
        <w:t>Section 3(e)</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b w:val="1"/>
          <w:bCs w:val="1"/>
          <w:u w:val="single" w:color="auto"/>
          <w:color w:val="auto"/>
        </w:rPr>
        <w:t>Reasons for Termination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hereunder may be terminated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 under the following circumstances:</w:t>
      </w:r>
    </w:p>
    <w:p>
      <w:pPr>
        <w:spacing w:after="0" w:line="146" w:lineRule="exact"/>
        <w:rPr>
          <w:sz w:val="20"/>
          <w:szCs w:val="20"/>
          <w:color w:val="auto"/>
        </w:rPr>
      </w:pPr>
    </w:p>
    <w:p>
      <w:pPr>
        <w:ind w:left="1940" w:hanging="636"/>
        <w:spacing w:after="0"/>
        <w:tabs>
          <w:tab w:leader="none" w:pos="1940"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Death. </w:t>
      </w:r>
      <w:r>
        <w:rPr>
          <w:rFonts w:ascii="Times New Roman" w:cs="Times New Roman" w:eastAsia="Times New Roman" w:hAnsi="Times New Roman"/>
          <w:sz w:val="22"/>
          <w:szCs w:val="22"/>
          <w:color w:val="auto"/>
        </w:rPr>
        <w:t>Executive's employment hereunder will terminate upon his or her death.</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18" w:lineRule="auto"/>
        <w:tabs>
          <w:tab w:leader="none" w:pos="1938"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If, as a result of Executive's incapacity due to physical or mental illness, Executive will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been substantially unable to perform his or her duties hereunder for a continuous period of 180 days, Employer may terminate Executive's employment hereunder for "Disability." During any period that Executive fails to perform his or her duties hereunder as a result of incapacity due to physical or mental illness, Executive will continue to receive his or her full Base Salary set forth in </w:t>
      </w:r>
      <w:r>
        <w:rPr>
          <w:rFonts w:ascii="Times New Roman" w:cs="Times New Roman" w:eastAsia="Times New Roman" w:hAnsi="Times New Roman"/>
          <w:sz w:val="22"/>
          <w:szCs w:val="22"/>
          <w:b w:val="1"/>
          <w:bCs w:val="1"/>
          <w:color w:val="auto"/>
        </w:rPr>
        <w:t>Section 3(a)</w:t>
      </w:r>
      <w:r>
        <w:rPr>
          <w:rFonts w:ascii="Times New Roman" w:cs="Times New Roman" w:eastAsia="Times New Roman" w:hAnsi="Times New Roman"/>
          <w:sz w:val="22"/>
          <w:szCs w:val="22"/>
          <w:color w:val="auto"/>
        </w:rPr>
        <w:t xml:space="preserve"> until his or her employment terminates.</w:t>
      </w:r>
    </w:p>
    <w:p>
      <w:pPr>
        <w:spacing w:after="0" w:line="147" w:lineRule="exact"/>
        <w:rPr>
          <w:rFonts w:ascii="Times New Roman" w:cs="Times New Roman" w:eastAsia="Times New Roman" w:hAnsi="Times New Roman"/>
          <w:sz w:val="22"/>
          <w:szCs w:val="22"/>
          <w:b w:val="1"/>
          <w:bCs w:val="1"/>
          <w:color w:val="auto"/>
        </w:rPr>
      </w:pPr>
    </w:p>
    <w:p>
      <w:pPr>
        <w:jc w:val="both"/>
        <w:ind w:firstLine="1304"/>
        <w:spacing w:after="0" w:line="228" w:lineRule="auto"/>
        <w:tabs>
          <w:tab w:leader="none" w:pos="1941" w:val="left"/>
        </w:tabs>
        <w:numPr>
          <w:ilvl w:val="1"/>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Employer may terminate Executive's employment for Cause if: (i) Executive engages in one (1)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more unsafe or unsound banking practices or material violations of a law or regulation applicable to Employer or any subsidiary;</w:t>
      </w:r>
    </w:p>
    <w:p>
      <w:pPr>
        <w:spacing w:after="0" w:line="1" w:lineRule="exact"/>
        <w:rPr>
          <w:rFonts w:ascii="Times New Roman" w:cs="Times New Roman" w:eastAsia="Times New Roman" w:hAnsi="Times New Roman"/>
          <w:sz w:val="21"/>
          <w:szCs w:val="21"/>
          <w:b w:val="1"/>
          <w:bCs w:val="1"/>
          <w:color w:val="auto"/>
        </w:rPr>
      </w:pPr>
    </w:p>
    <w:p>
      <w:pPr>
        <w:jc w:val="both"/>
        <w:ind w:firstLine="8"/>
        <w:spacing w:after="0" w:line="216" w:lineRule="auto"/>
        <w:tabs>
          <w:tab w:leader="none" w:pos="32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engages in any repeated violations of a policy of Employer after being warned in writing by the Board or the CEO not to violate such policy; (iii) Executive engages in any single violation of a policy of Employer if such violation materially and adversely affects the business or affairs of Employer; (iv) Executive fails to timely implement a direction or order of the Board or the CEO, unless such direction or order would violate the law; (v) Executive engages in a breach of fiduciary duty or act of dishonesty involving the affairs of Employer; (vi) Executive is removed or suspended from banking pursuant to Section 8(e) of the Federal Deposit Insurance Act or any other applicable state or federal law; (vii) Executive commits a material breach of Executive's obligations under this Agreement that Executive fails to remedy to the reasonable satisfaction of Employer within thirty (30) days after written notice is delivered by Employer to Executive that sets forth in reasonable detail the basis for Employer's determination that Executive materially breached an obligation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notice and opportunity to cure need not be provided to Executive for a repeated and substantially similar material breach more than once in any calendar year); (viii) Executive materially fails to perform Executive's duties to Employer with the degree of skill, care or competence expected by Employer that Executive fails to remedy to the reasonable satisfaction of Employer within thirty (30) days after written notice is delivered by Employer to Executive that sets forth in reasonable detail the basis for Employer's determination that Executive materially failed to perform Executive's duties to Employer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notice and opportunity to cure need not be provided to Executive for a repeated and substantially similar material breach more than once in any calendar year); or (ix) Executive is found guilty of, or pleads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 felony or an act of dishonesty in connection with the performance of Executive's duties as an officer of Employer, or an act that disqualifies Executive under applicable laws, rules or regulations from serving as an officer or director of Employer. Notwithstanding the foregoing, during the first two (2) years following a Change in Control (as defined below), Executive's termination of employment will not be deemed to be for "Cause" unless and until there will have been delivered to Executive a copy of a resolution duly adopted by the affirmative vote of not less than 75% of the entire membership of the Board at a meeting of the Board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38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and held for such purpose (after reasonable notice is provided to Executive and Executive is given an opportunity, together with counsel, to be heard before the Board) finding that, Executive is guilty of the conduct described above, and specifying the particulars thereof in detail.</w:t>
      </w:r>
    </w:p>
    <w:p>
      <w:pPr>
        <w:spacing w:after="0" w:line="148" w:lineRule="exact"/>
        <w:rPr>
          <w:sz w:val="20"/>
          <w:szCs w:val="20"/>
          <w:color w:val="auto"/>
        </w:rPr>
      </w:pPr>
    </w:p>
    <w:p>
      <w:pPr>
        <w:jc w:val="both"/>
        <w:ind w:firstLine="1304"/>
        <w:spacing w:after="0" w:line="218" w:lineRule="auto"/>
        <w:tabs>
          <w:tab w:leader="none" w:pos="1938"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Good Reason.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may terminate his or her employment for "Good Reason" within 120 days after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Executive has actual knowledge of the occurrence, without the written consent of Executive, of one of the following events that has not been cured within 30 days after written notice thereof has been given by Executive to Employer setting forth in reasonable detail the basis of the event (provided that such notice must be given to Employer within 90 days of Executive becoming aware of such condition).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xml:space="preserve"> means the occurrence of any one (1) or more of the following, without Executive's prior consent: (i) a material adverse change in the nature, scope or status of Executive's position, authorities or duties from those in effect from time to time; (ii) a reduction in Executive's Base Salary, unless such reduction applies to all similarly situated senior executives of Employer; (iii) Employer changes the primary location of Executive's employment to a place that is more than fifty (50) miles from Executive's primary location of employment as of the Effective Date; (iv) Employer otherwise commits a material breach of its obligations under this Agreement; or (v) during the first two (2) years following a Change in Control, there occurs (A) a change in reporting line such that the individual to whom Executive reports is someone other than the Chief Executive Officer of the Surviving Entity (as defined below), or if applicable, the ultimate parent corporation thereof or (B) a reduction in Executive's performance bonus or long-term incentive opportunities, in each case, as compared to the amount of the most recent performance bonus that Employer actually paid to Executive and the grant date value of the most recent equity awards that Employer actually granted to Executive pursuant to </w:t>
      </w:r>
      <w:r>
        <w:rPr>
          <w:rFonts w:ascii="Times New Roman" w:cs="Times New Roman" w:eastAsia="Times New Roman" w:hAnsi="Times New Roman"/>
          <w:sz w:val="21"/>
          <w:szCs w:val="21"/>
          <w:b w:val="1"/>
          <w:bCs w:val="1"/>
          <w:color w:val="auto"/>
        </w:rPr>
        <w:t>Sections 3(b)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3(c)</w:t>
      </w:r>
      <w:r>
        <w:rPr>
          <w:rFonts w:ascii="Times New Roman" w:cs="Times New Roman" w:eastAsia="Times New Roman" w:hAnsi="Times New Roman"/>
          <w:sz w:val="21"/>
          <w:szCs w:val="21"/>
          <w:color w:val="auto"/>
        </w:rPr>
        <w:t xml:space="preserve">, respectively, prior to such Change in Control. Executive's continued employment during the 120-day period referred to above in this </w:t>
      </w:r>
      <w:r>
        <w:rPr>
          <w:rFonts w:ascii="Times New Roman" w:cs="Times New Roman" w:eastAsia="Times New Roman" w:hAnsi="Times New Roman"/>
          <w:sz w:val="21"/>
          <w:szCs w:val="21"/>
          <w:b w:val="1"/>
          <w:bCs w:val="1"/>
          <w:color w:val="auto"/>
        </w:rPr>
        <w:t>Section 4(d)</w:t>
      </w:r>
      <w:r>
        <w:rPr>
          <w:rFonts w:ascii="Times New Roman" w:cs="Times New Roman" w:eastAsia="Times New Roman" w:hAnsi="Times New Roman"/>
          <w:sz w:val="21"/>
          <w:szCs w:val="21"/>
          <w:color w:val="auto"/>
        </w:rPr>
        <w:t xml:space="preserve"> will not constitute consent to, or a waiver of rights with respect to, any act or failure to act constituting Good Reason hereunder.</w:t>
      </w:r>
    </w:p>
    <w:p>
      <w:pPr>
        <w:spacing w:after="0" w:line="159" w:lineRule="exact"/>
        <w:rPr>
          <w:rFonts w:ascii="Times New Roman" w:cs="Times New Roman" w:eastAsia="Times New Roman" w:hAnsi="Times New Roman"/>
          <w:sz w:val="21"/>
          <w:szCs w:val="21"/>
          <w:b w:val="1"/>
          <w:bCs w:val="1"/>
          <w:color w:val="auto"/>
        </w:rPr>
      </w:pPr>
    </w:p>
    <w:p>
      <w:pPr>
        <w:jc w:val="both"/>
        <w:ind w:firstLine="1304"/>
        <w:spacing w:after="0" w:line="227" w:lineRule="auto"/>
        <w:tabs>
          <w:tab w:leader="none" w:pos="1941"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Without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 may terminate Executive's employment hereunder without Cause by providing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with a Notice of Termination (as defined below). This means that, notwithstanding this Agreement, Executive's employment with Employer will be “at will.”</w:t>
      </w:r>
    </w:p>
    <w:p>
      <w:pPr>
        <w:spacing w:after="0" w:line="146" w:lineRule="exact"/>
        <w:rPr>
          <w:rFonts w:ascii="Times New Roman" w:cs="Times New Roman" w:eastAsia="Times New Roman" w:hAnsi="Times New Roman"/>
          <w:sz w:val="22"/>
          <w:szCs w:val="22"/>
          <w:b w:val="1"/>
          <w:bCs w:val="1"/>
          <w:color w:val="auto"/>
        </w:rPr>
      </w:pPr>
    </w:p>
    <w:p>
      <w:pPr>
        <w:ind w:right="20" w:firstLine="1304"/>
        <w:spacing w:after="0" w:line="238" w:lineRule="auto"/>
        <w:tabs>
          <w:tab w:leader="none" w:pos="1944"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Without Good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may terminate Executive's employment hereunder without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by providing Employer with a Notice of Termination.</w:t>
      </w:r>
    </w:p>
    <w:p>
      <w:pPr>
        <w:spacing w:after="0" w:line="14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u w:val="single" w:color="auto"/>
          <w:color w:val="auto"/>
        </w:rPr>
        <w:t>Section 5.</w:t>
      </w:r>
      <w:r>
        <w:rPr>
          <w:sz w:val="20"/>
          <w:szCs w:val="20"/>
          <w:color w:val="auto"/>
        </w:rPr>
        <w:tab/>
      </w:r>
      <w:r>
        <w:rPr>
          <w:rFonts w:ascii="Times New Roman" w:cs="Times New Roman" w:eastAsia="Times New Roman" w:hAnsi="Times New Roman"/>
          <w:sz w:val="21"/>
          <w:szCs w:val="21"/>
          <w:b w:val="1"/>
          <w:bCs w:val="1"/>
          <w:u w:val="single" w:color="auto"/>
          <w:color w:val="auto"/>
        </w:rPr>
        <w:t>Termination of Employment Procedure.</w:t>
      </w:r>
    </w:p>
    <w:p>
      <w:pPr>
        <w:spacing w:after="0" w:line="179" w:lineRule="exact"/>
        <w:rPr>
          <w:sz w:val="20"/>
          <w:szCs w:val="20"/>
          <w:color w:val="auto"/>
        </w:rPr>
      </w:pPr>
    </w:p>
    <w:p>
      <w:pPr>
        <w:jc w:val="both"/>
        <w:ind w:right="20" w:firstLine="1304"/>
        <w:spacing w:after="0" w:line="216" w:lineRule="auto"/>
        <w:tabs>
          <w:tab w:leader="none" w:pos="1939"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 of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termination of Executive's employment by Employer or by Executive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Term (other than termination pursuant to </w:t>
      </w:r>
      <w:r>
        <w:rPr>
          <w:rFonts w:ascii="Times New Roman" w:cs="Times New Roman" w:eastAsia="Times New Roman" w:hAnsi="Times New Roman"/>
          <w:sz w:val="22"/>
          <w:szCs w:val="22"/>
          <w:b w:val="1"/>
          <w:bCs w:val="1"/>
          <w:color w:val="auto"/>
        </w:rPr>
        <w:t>Section 4(a)</w:t>
      </w:r>
      <w:r>
        <w:rPr>
          <w:rFonts w:ascii="Times New Roman" w:cs="Times New Roman" w:eastAsia="Times New Roman" w:hAnsi="Times New Roman"/>
          <w:sz w:val="22"/>
          <w:szCs w:val="22"/>
          <w:color w:val="auto"/>
        </w:rPr>
        <w:t xml:space="preserve">) will be communicated by written Notice of Termination to the other party hereto in accordance with </w:t>
      </w:r>
      <w:r>
        <w:rPr>
          <w:rFonts w:ascii="Times New Roman" w:cs="Times New Roman" w:eastAsia="Times New Roman" w:hAnsi="Times New Roman"/>
          <w:sz w:val="22"/>
          <w:szCs w:val="22"/>
          <w:b w:val="1"/>
          <w:bCs w:val="1"/>
          <w:color w:val="auto"/>
        </w:rPr>
        <w:t>Section 15(i)</w:t>
      </w:r>
      <w:r>
        <w:rPr>
          <w:rFonts w:ascii="Times New Roman" w:cs="Times New Roman" w:eastAsia="Times New Roman" w:hAnsi="Times New Roman"/>
          <w:sz w:val="22"/>
          <w:szCs w:val="22"/>
          <w:color w:val="auto"/>
        </w:rPr>
        <w:t xml:space="preserve">. For purposes of this Agreement, a </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xml:space="preserve"> means a notice which will indicate the specific termination provision in this Agreement relied upon and will set forth in reasonable detail the facts and circumstances claimed to provide a basis for termination of Executive's employment under the provision so indicated if the termination is based on </w:t>
      </w:r>
      <w:r>
        <w:rPr>
          <w:rFonts w:ascii="Times New Roman" w:cs="Times New Roman" w:eastAsia="Times New Roman" w:hAnsi="Times New Roman"/>
          <w:sz w:val="22"/>
          <w:szCs w:val="22"/>
          <w:b w:val="1"/>
          <w:bCs w:val="1"/>
          <w:color w:val="auto"/>
        </w:rPr>
        <w:t>Sections 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4(d)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383" w:lineRule="exact"/>
        <w:rPr>
          <w:sz w:val="20"/>
          <w:szCs w:val="20"/>
          <w:color w:val="auto"/>
        </w:rPr>
      </w:pPr>
    </w:p>
    <w:p>
      <w:pPr>
        <w:jc w:val="both"/>
        <w:ind w:firstLine="1304"/>
        <w:spacing w:after="0" w:line="212" w:lineRule="auto"/>
        <w:tabs>
          <w:tab w:leader="none" w:pos="1938"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Date.</w:t>
      </w:r>
      <w:r>
        <w:rPr>
          <w:rFonts w:ascii="Times New Roman" w:cs="Times New Roman" w:eastAsia="Times New Roman" w:hAnsi="Times New Roman"/>
          <w:sz w:val="22"/>
          <w:szCs w:val="22"/>
          <w:b w:val="1"/>
          <w:bCs w:val="1"/>
          <w:color w:val="auto"/>
        </w:rPr>
        <w:t xml:space="preserve"> “Termination Date” </w:t>
      </w:r>
      <w:r>
        <w:rPr>
          <w:rFonts w:ascii="Times New Roman" w:cs="Times New Roman" w:eastAsia="Times New Roman" w:hAnsi="Times New Roman"/>
          <w:sz w:val="22"/>
          <w:szCs w:val="22"/>
          <w:color w:val="auto"/>
        </w:rPr>
        <w:t>means (i) if Executive's employment is terminated by his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death, the date of his or her death; (ii) if Executive's employment is terminated pursuant to </w:t>
      </w:r>
      <w:r>
        <w:rPr>
          <w:rFonts w:ascii="Times New Roman" w:cs="Times New Roman" w:eastAsia="Times New Roman" w:hAnsi="Times New Roman"/>
          <w:sz w:val="22"/>
          <w:szCs w:val="22"/>
          <w:b w:val="1"/>
          <w:bCs w:val="1"/>
          <w:color w:val="auto"/>
        </w:rPr>
        <w:t>Section 4(b)</w:t>
      </w:r>
      <w:r>
        <w:rPr>
          <w:rFonts w:ascii="Times New Roman" w:cs="Times New Roman" w:eastAsia="Times New Roman" w:hAnsi="Times New Roman"/>
          <w:sz w:val="22"/>
          <w:szCs w:val="22"/>
          <w:color w:val="auto"/>
        </w:rPr>
        <w:t xml:space="preserve">, the date set forth in the Notice of Termination; and (iii) if Executive's employment is terminated for any other reason, the date on which a Notice of Termination is given or any later date (within 30 days after the giving of such notice) set forth in such Notice of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termination is due to a Notice of Termination by Executive, Employer will have the right to accelerate such notice and make the Termination Date the date of the Notice of Termination or such other date prior to Executive's intended Termination Date as Employer deems appropriate, which acceleration will in no event be deemed a termination by Employer without Cause or constitute Good Reason and Executive is paid her Base Salary through Executive's intended Termination Date.</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18" w:lineRule="auto"/>
        <w:tabs>
          <w:tab w:leader="none" w:pos="1941"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Removal from any Boards and Position.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termination of Executive's employment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 for any reason, he or she will be deemed to resign (i) from the board of directors of First Busey, the Bank, any subsidiary thereof and/or any other board to which he or she has been appointed or nominated by or on behalf of Employer (including the Board), and (ii) from any position (including, but not limited to, as an officer or director) with First Busey, the Bank and any subsidiary thereof.</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b w:val="1"/>
          <w:bCs w:val="1"/>
          <w:u w:val="single" w:color="auto"/>
          <w:color w:val="auto"/>
        </w:rPr>
        <w:t>Compensation upon Termination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w:t>
      </w:r>
      <w:r>
        <w:rPr>
          <w:rFonts w:ascii="Times New Roman" w:cs="Times New Roman" w:eastAsia="Times New Roman" w:hAnsi="Times New Roman"/>
          <w:sz w:val="22"/>
          <w:szCs w:val="22"/>
          <w:b w:val="1"/>
          <w:bCs w:val="1"/>
          <w:color w:val="auto"/>
        </w:rPr>
        <w:t xml:space="preserve"> Section 6 </w:t>
      </w:r>
      <w:r>
        <w:rPr>
          <w:rFonts w:ascii="Times New Roman" w:cs="Times New Roman" w:eastAsia="Times New Roman" w:hAnsi="Times New Roman"/>
          <w:sz w:val="22"/>
          <w:szCs w:val="22"/>
          <w:color w:val="auto"/>
        </w:rPr>
        <w:t>provides the payments and benefits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 paid or provided to Executive as a result of his or her termination of employment. Except as provided in this </w:t>
      </w:r>
      <w:r>
        <w:rPr>
          <w:rFonts w:ascii="Times New Roman" w:cs="Times New Roman" w:eastAsia="Times New Roman" w:hAnsi="Times New Roman"/>
          <w:sz w:val="22"/>
          <w:szCs w:val="22"/>
          <w:b w:val="1"/>
          <w:bCs w:val="1"/>
          <w:color w:val="auto"/>
        </w:rPr>
        <w:t>Section 6</w:t>
      </w:r>
      <w:r>
        <w:rPr>
          <w:rFonts w:ascii="Times New Roman" w:cs="Times New Roman" w:eastAsia="Times New Roman" w:hAnsi="Times New Roman"/>
          <w:sz w:val="22"/>
          <w:szCs w:val="22"/>
          <w:color w:val="auto"/>
        </w:rPr>
        <w:t>, Executive will not be entitled to any payments or benefits from Employer as a result of the termination of his or her employment, regardless of the reason for such termination.</w:t>
      </w:r>
    </w:p>
    <w:p>
      <w:pPr>
        <w:spacing w:after="0" w:line="148" w:lineRule="exact"/>
        <w:rPr>
          <w:sz w:val="20"/>
          <w:szCs w:val="20"/>
          <w:color w:val="auto"/>
        </w:rPr>
      </w:pPr>
    </w:p>
    <w:p>
      <w:pPr>
        <w:jc w:val="both"/>
        <w:ind w:firstLine="1304"/>
        <w:spacing w:after="0" w:line="218" w:lineRule="auto"/>
        <w:tabs>
          <w:tab w:leader="none" w:pos="1939"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for Any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the termination of Executive's employment, regardless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reason for such termination and including, without limitation, a termination of his or her employment by Employer for Cause or by Executive without Good Reason, upon expiration of the Term, by reason of Executive's death or Disability, Employer will pay or provide to Executive (and upon Executive's death, Executive's heirs, executors and administrators) the following (collectively, the </w:t>
      </w:r>
      <w:r>
        <w:rPr>
          <w:rFonts w:ascii="Times New Roman" w:cs="Times New Roman" w:eastAsia="Times New Roman" w:hAnsi="Times New Roman"/>
          <w:sz w:val="22"/>
          <w:szCs w:val="22"/>
          <w:b w:val="1"/>
          <w:bCs w:val="1"/>
          <w:color w:val="auto"/>
        </w:rPr>
        <w:t>“Accrued Benefits”</w:t>
      </w:r>
      <w:r>
        <w:rPr>
          <w:rFonts w:ascii="Times New Roman" w:cs="Times New Roman" w:eastAsia="Times New Roman" w:hAnsi="Times New Roman"/>
          <w:sz w:val="22"/>
          <w:szCs w:val="22"/>
          <w:color w:val="auto"/>
        </w:rPr>
        <w:t>) as soon as practicable following the Termination Date:</w:t>
      </w:r>
    </w:p>
    <w:p>
      <w:pPr>
        <w:spacing w:after="0" w:line="147" w:lineRule="exact"/>
        <w:rPr>
          <w:rFonts w:ascii="Times New Roman" w:cs="Times New Roman" w:eastAsia="Times New Roman" w:hAnsi="Times New Roman"/>
          <w:sz w:val="22"/>
          <w:szCs w:val="22"/>
          <w:b w:val="1"/>
          <w:bCs w:val="1"/>
          <w:color w:val="auto"/>
        </w:rPr>
      </w:pPr>
    </w:p>
    <w:p>
      <w:pPr>
        <w:jc w:val="both"/>
        <w:ind w:firstLine="1952"/>
        <w:spacing w:after="0" w:line="227" w:lineRule="auto"/>
        <w:tabs>
          <w:tab w:leader="none" w:pos="2580"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 any earned but unpaid Base Salary, (B) any earned but unpaid bonus under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 xml:space="preserve"> for previously completed performance periods and (C) any accrued and unused vacation and personal time pay through the Termination Date;</w:t>
      </w:r>
    </w:p>
    <w:p>
      <w:pPr>
        <w:spacing w:after="0" w:line="146" w:lineRule="exact"/>
        <w:rPr>
          <w:rFonts w:ascii="Times New Roman" w:cs="Times New Roman" w:eastAsia="Times New Roman" w:hAnsi="Times New Roman"/>
          <w:sz w:val="22"/>
          <w:szCs w:val="22"/>
          <w:b w:val="1"/>
          <w:bCs w:val="1"/>
          <w:color w:val="auto"/>
        </w:rPr>
      </w:pPr>
    </w:p>
    <w:p>
      <w:pPr>
        <w:jc w:val="both"/>
        <w:ind w:firstLine="1952"/>
        <w:spacing w:after="0" w:line="227" w:lineRule="auto"/>
        <w:tabs>
          <w:tab w:leader="none" w:pos="2586"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reimbursement for any amounts due to Executive pursuant to </w:t>
      </w:r>
      <w:r>
        <w:rPr>
          <w:rFonts w:ascii="Times New Roman" w:cs="Times New Roman" w:eastAsia="Times New Roman" w:hAnsi="Times New Roman"/>
          <w:sz w:val="22"/>
          <w:szCs w:val="22"/>
          <w:b w:val="1"/>
          <w:bCs w:val="1"/>
          <w:color w:val="auto"/>
        </w:rPr>
        <w:t>Section 3(e)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submits the required documentation in accordance with established policies and within thirty (30) days of the Termination Date; and</w:t>
      </w:r>
    </w:p>
    <w:p>
      <w:pPr>
        <w:spacing w:after="0" w:line="150" w:lineRule="exact"/>
        <w:rPr>
          <w:rFonts w:ascii="Times New Roman" w:cs="Times New Roman" w:eastAsia="Times New Roman" w:hAnsi="Times New Roman"/>
          <w:sz w:val="22"/>
          <w:szCs w:val="22"/>
          <w:b w:val="1"/>
          <w:bCs w:val="1"/>
          <w:color w:val="auto"/>
        </w:rPr>
      </w:pPr>
    </w:p>
    <w:p>
      <w:pPr>
        <w:ind w:firstLine="1952"/>
        <w:spacing w:after="0" w:line="236" w:lineRule="auto"/>
        <w:tabs>
          <w:tab w:leader="none" w:pos="2592"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compensation and/or benefits as may be due or payable to Executive in accordance with the terms and provisions of any employee benefit plans or programs of Employer.</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Upon any termination of Executive's employment hereunder, except as otherwise provided herein, Executive (or his or her beneficiary, legal representative or estate, as the case may be, 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38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of his or her death) will be entitled to such rights in respect of any awards granted to Executive under Employer's long-term equity incentive program, and to only such rights, as are provided by the plan or the award agreement pursuant to which such awards have been granted to Executive or other written agreement or arrangement between Executive and Employer.</w:t>
      </w:r>
    </w:p>
    <w:p>
      <w:pPr>
        <w:spacing w:after="0" w:line="148" w:lineRule="exact"/>
        <w:rPr>
          <w:sz w:val="20"/>
          <w:szCs w:val="20"/>
          <w:color w:val="auto"/>
        </w:rPr>
      </w:pPr>
    </w:p>
    <w:p>
      <w:pPr>
        <w:jc w:val="both"/>
        <w:ind w:firstLine="1304"/>
        <w:spacing w:after="0" w:line="218" w:lineRule="auto"/>
        <w:tabs>
          <w:tab w:leader="none" w:pos="1938"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by Employer without Cause or upon Non-Renewal of the Term or by Executive for Good Reason (Non-Change in Control).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Executive's employment is terminated by Employer other than for Cause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Disability, upon Employer's non-renewal of the Term, or by Executive for Good Reason, Employer (in lieu of any severance pay under any severance pay plans, programs or policies) will pay or provide the Accrued Benefits and, subject to </w:t>
      </w:r>
      <w:r>
        <w:rPr>
          <w:rFonts w:ascii="Times New Roman" w:cs="Times New Roman" w:eastAsia="Times New Roman" w:hAnsi="Times New Roman"/>
          <w:sz w:val="22"/>
          <w:szCs w:val="22"/>
          <w:b w:val="1"/>
          <w:bCs w:val="1"/>
          <w:color w:val="auto"/>
        </w:rPr>
        <w:t>Section 7</w:t>
      </w:r>
      <w:r>
        <w:rPr>
          <w:rFonts w:ascii="Times New Roman" w:cs="Times New Roman" w:eastAsia="Times New Roman" w:hAnsi="Times New Roman"/>
          <w:sz w:val="22"/>
          <w:szCs w:val="22"/>
          <w:color w:val="auto"/>
        </w:rPr>
        <w:t>, will pay to Executive:</w:t>
      </w:r>
    </w:p>
    <w:p>
      <w:pPr>
        <w:spacing w:after="0" w:line="151" w:lineRule="exact"/>
        <w:rPr>
          <w:rFonts w:ascii="Times New Roman" w:cs="Times New Roman" w:eastAsia="Times New Roman" w:hAnsi="Times New Roman"/>
          <w:sz w:val="22"/>
          <w:szCs w:val="22"/>
          <w:b w:val="1"/>
          <w:bCs w:val="1"/>
          <w:color w:val="auto"/>
        </w:rPr>
      </w:pPr>
    </w:p>
    <w:p>
      <w:pPr>
        <w:jc w:val="both"/>
        <w:ind w:firstLine="1952"/>
        <w:spacing w:after="0" w:line="220" w:lineRule="auto"/>
        <w:tabs>
          <w:tab w:leader="none" w:pos="2580"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an amount equal to one hundred percent (100%) of the sum of (A) Executive's then applicable Base Salary, plus (B) the amount of the most recent performance bonus that Employer actually paid to Executive pursuant to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 payable in substantially equal installments over a one (1)-year period in accordance with Employer's regular payroll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practices then in effect;</w:t>
      </w:r>
    </w:p>
    <w:p>
      <w:pPr>
        <w:spacing w:after="0" w:line="152" w:lineRule="exact"/>
        <w:rPr>
          <w:rFonts w:ascii="Times New Roman" w:cs="Times New Roman" w:eastAsia="Times New Roman" w:hAnsi="Times New Roman"/>
          <w:sz w:val="22"/>
          <w:szCs w:val="22"/>
          <w:b w:val="1"/>
          <w:bCs w:val="1"/>
          <w:color w:val="auto"/>
        </w:rPr>
      </w:pPr>
    </w:p>
    <w:p>
      <w:pPr>
        <w:jc w:val="both"/>
        <w:ind w:firstLine="1952"/>
        <w:spacing w:after="0" w:line="225" w:lineRule="auto"/>
        <w:tabs>
          <w:tab w:leader="none" w:pos="2586"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amount equal to the annual performance bonus earned pursuant to Section 3(b) in respect of the fiscal year in which the Termination Date occurs based on actual performance, prorated based upon the number of days elapsed in such fiscal year prior to the Termination Date and paid in a lump sum at the time such awards are normally paid; and</w:t>
      </w:r>
    </w:p>
    <w:p>
      <w:pPr>
        <w:spacing w:after="0" w:line="152" w:lineRule="exact"/>
        <w:rPr>
          <w:rFonts w:ascii="Times New Roman" w:cs="Times New Roman" w:eastAsia="Times New Roman" w:hAnsi="Times New Roman"/>
          <w:sz w:val="22"/>
          <w:szCs w:val="22"/>
          <w:b w:val="1"/>
          <w:bCs w:val="1"/>
          <w:color w:val="auto"/>
        </w:rPr>
      </w:pPr>
    </w:p>
    <w:p>
      <w:pPr>
        <w:jc w:val="both"/>
        <w:ind w:firstLine="1952"/>
        <w:spacing w:after="0" w:line="225" w:lineRule="auto"/>
        <w:tabs>
          <w:tab w:leader="none" w:pos="2592" w:val="left"/>
        </w:tabs>
        <w:numPr>
          <w:ilvl w:val="1"/>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reimbursement for up to twelve (12) months for continuing coverage for Executive and, if applicable, Executive's spouse and eligible dependents under Employer's health insurance pursuant to the health care continuation rules of the Consolidated Omnibus Budget Reconciliation Act of 1985 (</w:t>
      </w:r>
      <w:r>
        <w:rPr>
          <w:rFonts w:ascii="Times New Roman" w:cs="Times New Roman" w:eastAsia="Times New Roman" w:hAnsi="Times New Roman"/>
          <w:sz w:val="21"/>
          <w:szCs w:val="21"/>
          <w:b w:val="1"/>
          <w:bCs w:val="1"/>
          <w:color w:val="auto"/>
        </w:rPr>
        <w:t>“COBRA”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Executive remains eligible for, and elects, such COBRA continuation for such period following the Termination Date. To the extent Executive paid a portion of the premium for such benefits while employed, Executive shall continue to pay such portion during the period of continuation hereunder, and any period of continuation hereunder shall be credited against Executive's continuation rights under COBRA.</w:t>
      </w:r>
    </w:p>
    <w:p>
      <w:pPr>
        <w:spacing w:after="0" w:line="149" w:lineRule="exact"/>
        <w:rPr>
          <w:rFonts w:ascii="Times New Roman" w:cs="Times New Roman" w:eastAsia="Times New Roman" w:hAnsi="Times New Roman"/>
          <w:sz w:val="21"/>
          <w:szCs w:val="21"/>
          <w:b w:val="1"/>
          <w:bCs w:val="1"/>
          <w:color w:val="auto"/>
        </w:rPr>
      </w:pPr>
    </w:p>
    <w:p>
      <w:pPr>
        <w:jc w:val="both"/>
        <w:ind w:firstLine="1304"/>
        <w:spacing w:after="0" w:line="218" w:lineRule="auto"/>
        <w:tabs>
          <w:tab w:leader="none" w:pos="1941"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by Employer without Cause or upon Non-Renewal of the Term or by Executive for Good Reason (Change in Control 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Executive's employment is terminated by Employer other than for Cause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Disability, upon Employer's non-renewal of the Term, or by Executive for Good Reason, in each case within two (2) years following a Change in Control, or as set forth in </w:t>
      </w:r>
      <w:r>
        <w:rPr>
          <w:rFonts w:ascii="Times New Roman" w:cs="Times New Roman" w:eastAsia="Times New Roman" w:hAnsi="Times New Roman"/>
          <w:sz w:val="22"/>
          <w:szCs w:val="22"/>
          <w:b w:val="1"/>
          <w:bCs w:val="1"/>
          <w:color w:val="auto"/>
        </w:rPr>
        <w:t>Section 6(c)(iv)</w:t>
      </w:r>
      <w:r>
        <w:rPr>
          <w:rFonts w:ascii="Times New Roman" w:cs="Times New Roman" w:eastAsia="Times New Roman" w:hAnsi="Times New Roman"/>
          <w:sz w:val="22"/>
          <w:szCs w:val="22"/>
          <w:color w:val="auto"/>
        </w:rPr>
        <w:t xml:space="preserve">, Employer (in lieu of any severance pay under any severance pay plans, programs or policies) will pay or provide the Accrued Benefits and, subject to </w:t>
      </w:r>
      <w:r>
        <w:rPr>
          <w:rFonts w:ascii="Times New Roman" w:cs="Times New Roman" w:eastAsia="Times New Roman" w:hAnsi="Times New Roman"/>
          <w:sz w:val="22"/>
          <w:szCs w:val="22"/>
          <w:b w:val="1"/>
          <w:bCs w:val="1"/>
          <w:color w:val="auto"/>
        </w:rPr>
        <w:t>Section 7</w:t>
      </w:r>
      <w:r>
        <w:rPr>
          <w:rFonts w:ascii="Times New Roman" w:cs="Times New Roman" w:eastAsia="Times New Roman" w:hAnsi="Times New Roman"/>
          <w:sz w:val="22"/>
          <w:szCs w:val="22"/>
          <w:color w:val="auto"/>
        </w:rPr>
        <w:t>, will pay to Executive:</w:t>
      </w:r>
    </w:p>
    <w:p>
      <w:pPr>
        <w:spacing w:after="0" w:line="151" w:lineRule="exact"/>
        <w:rPr>
          <w:rFonts w:ascii="Times New Roman" w:cs="Times New Roman" w:eastAsia="Times New Roman" w:hAnsi="Times New Roman"/>
          <w:sz w:val="22"/>
          <w:szCs w:val="22"/>
          <w:b w:val="1"/>
          <w:bCs w:val="1"/>
          <w:color w:val="auto"/>
        </w:rPr>
      </w:pPr>
    </w:p>
    <w:p>
      <w:pPr>
        <w:jc w:val="both"/>
        <w:ind w:firstLine="1952"/>
        <w:spacing w:after="0" w:line="225" w:lineRule="auto"/>
        <w:tabs>
          <w:tab w:leader="none" w:pos="2580"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 lump sum cash payment equal to two hundred percent (200%) of the sum of (A) Executive's then applicable Base Salary, plus (B) the amount of the most recent performance bonus that Employer actually paid to Executive pursuant to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b w:val="1"/>
          <w:bCs w:val="1"/>
          <w:color w:val="auto"/>
        </w:rPr>
      </w:pPr>
    </w:p>
    <w:p>
      <w:pPr>
        <w:jc w:val="both"/>
        <w:ind w:firstLine="1952"/>
        <w:spacing w:after="0" w:line="225" w:lineRule="auto"/>
        <w:tabs>
          <w:tab w:leader="none" w:pos="2586"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 lump sum cash payment equal to the most recent annual performance bonus that Employer actually paid to Executive pursuant to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 prorated based upon the number of days elapsed in the fiscal year prior to the Termination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387" w:lineRule="exact"/>
        <w:rPr>
          <w:sz w:val="20"/>
          <w:szCs w:val="20"/>
          <w:color w:val="auto"/>
        </w:rPr>
      </w:pPr>
    </w:p>
    <w:p>
      <w:pPr>
        <w:ind w:left="-1120" w:right="20" w:firstLine="1952"/>
        <w:spacing w:after="0" w:line="236" w:lineRule="auto"/>
        <w:tabs>
          <w:tab w:leader="none" w:pos="1472"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lump sum cash payment in respect of eighteen (18) months of continuing coverage under Employer's health insurance pursuant to COBRA.</w:t>
      </w:r>
    </w:p>
    <w:p>
      <w:pPr>
        <w:spacing w:after="0" w:line="150" w:lineRule="exact"/>
        <w:rPr>
          <w:rFonts w:ascii="Times New Roman" w:cs="Times New Roman" w:eastAsia="Times New Roman" w:hAnsi="Times New Roman"/>
          <w:sz w:val="22"/>
          <w:szCs w:val="22"/>
          <w:b w:val="1"/>
          <w:bCs w:val="1"/>
          <w:color w:val="auto"/>
        </w:rPr>
      </w:pPr>
    </w:p>
    <w:p>
      <w:pPr>
        <w:jc w:val="both"/>
        <w:ind w:left="-1120" w:firstLine="1952"/>
        <w:spacing w:after="0" w:line="215" w:lineRule="auto"/>
        <w:tabs>
          <w:tab w:leader="none" w:pos="1460"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Notwithstanding anything to the contrary, if during the one hundred eighty (180) day period ending on a Change in Control, Executive experiences a termination of employment under </w:t>
      </w:r>
      <w:r>
        <w:rPr>
          <w:rFonts w:ascii="Times New Roman" w:cs="Times New Roman" w:eastAsia="Times New Roman" w:hAnsi="Times New Roman"/>
          <w:sz w:val="22"/>
          <w:szCs w:val="22"/>
          <w:b w:val="1"/>
          <w:bCs w:val="1"/>
          <w:color w:val="auto"/>
        </w:rPr>
        <w:t>Section 6(b)</w:t>
      </w:r>
      <w:r>
        <w:rPr>
          <w:rFonts w:ascii="Times New Roman" w:cs="Times New Roman" w:eastAsia="Times New Roman" w:hAnsi="Times New Roman"/>
          <w:sz w:val="22"/>
          <w:szCs w:val="22"/>
          <w:color w:val="auto"/>
        </w:rPr>
        <w:t xml:space="preserve"> either (A) at the request of a third party that has taken steps reasonably calculated or intended to effect a Change in Control or (B) otherwise in connection with or in anticipation of a Change in Control, then Executive shall have the right to the incremental benefits under this </w:t>
      </w:r>
      <w:r>
        <w:rPr>
          <w:rFonts w:ascii="Times New Roman" w:cs="Times New Roman" w:eastAsia="Times New Roman" w:hAnsi="Times New Roman"/>
          <w:sz w:val="22"/>
          <w:szCs w:val="22"/>
          <w:b w:val="1"/>
          <w:bCs w:val="1"/>
          <w:color w:val="auto"/>
        </w:rPr>
        <w:t>Section 6(c)</w:t>
      </w:r>
      <w:r>
        <w:rPr>
          <w:rFonts w:ascii="Times New Roman" w:cs="Times New Roman" w:eastAsia="Times New Roman" w:hAnsi="Times New Roman"/>
          <w:sz w:val="22"/>
          <w:szCs w:val="22"/>
          <w:color w:val="auto"/>
        </w:rPr>
        <w:t>, without duplication for any payments or benefits provided under</w:t>
      </w:r>
      <w:r>
        <w:rPr>
          <w:rFonts w:ascii="Times New Roman" w:cs="Times New Roman" w:eastAsia="Times New Roman" w:hAnsi="Times New Roman"/>
          <w:sz w:val="22"/>
          <w:szCs w:val="22"/>
          <w:b w:val="1"/>
          <w:bCs w:val="1"/>
          <w:color w:val="auto"/>
        </w:rPr>
        <w:t xml:space="preserve"> Section 6(b)</w:t>
      </w:r>
      <w:r>
        <w:rPr>
          <w:rFonts w:ascii="Times New Roman" w:cs="Times New Roman" w:eastAsia="Times New Roman" w:hAnsi="Times New Roman"/>
          <w:sz w:val="22"/>
          <w:szCs w:val="22"/>
          <w:color w:val="auto"/>
        </w:rPr>
        <w:t>, as if the Change in Control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were the Termination Date.</w:t>
      </w:r>
    </w:p>
    <w:p>
      <w:pPr>
        <w:spacing w:after="0" w:line="148" w:lineRule="exact"/>
        <w:rPr>
          <w:rFonts w:ascii="Times New Roman" w:cs="Times New Roman" w:eastAsia="Times New Roman" w:hAnsi="Times New Roman"/>
          <w:sz w:val="22"/>
          <w:szCs w:val="22"/>
          <w:b w:val="1"/>
          <w:bCs w:val="1"/>
          <w:color w:val="auto"/>
        </w:rPr>
      </w:pPr>
    </w:p>
    <w:p>
      <w:pPr>
        <w:ind w:left="820" w:hanging="636"/>
        <w:spacing w:after="0"/>
        <w:tabs>
          <w:tab w:leader="none" w:pos="82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Applicable Definitions.</w:t>
      </w:r>
      <w:r>
        <w:rPr>
          <w:rFonts w:ascii="Times New Roman" w:cs="Times New Roman" w:eastAsia="Times New Roman" w:hAnsi="Times New Roman"/>
          <w:sz w:val="22"/>
          <w:szCs w:val="22"/>
          <w:b w:val="1"/>
          <w:bCs w:val="1"/>
          <w:color w:val="auto"/>
        </w:rPr>
        <w:t xml:space="preserve"> “Change in Control” </w:t>
      </w:r>
      <w:r>
        <w:rPr>
          <w:rFonts w:ascii="Times New Roman" w:cs="Times New Roman" w:eastAsia="Times New Roman" w:hAnsi="Times New Roman"/>
          <w:sz w:val="22"/>
          <w:szCs w:val="22"/>
          <w:color w:val="auto"/>
        </w:rPr>
        <w:t>means the occurrence of any of the following events:</w:t>
      </w:r>
    </w:p>
    <w:p>
      <w:pPr>
        <w:spacing w:after="0" w:line="183" w:lineRule="exact"/>
        <w:rPr>
          <w:rFonts w:ascii="Times New Roman" w:cs="Times New Roman" w:eastAsia="Times New Roman" w:hAnsi="Times New Roman"/>
          <w:sz w:val="22"/>
          <w:szCs w:val="22"/>
          <w:b w:val="1"/>
          <w:bCs w:val="1"/>
          <w:color w:val="auto"/>
        </w:rPr>
      </w:pPr>
    </w:p>
    <w:p>
      <w:pPr>
        <w:jc w:val="both"/>
        <w:ind w:left="-1120" w:firstLine="1952"/>
        <w:spacing w:after="0" w:line="211" w:lineRule="auto"/>
        <w:tabs>
          <w:tab w:leader="none" w:pos="1460"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During any period of not more than 36 months, individuals who constitute the Board as of the beginning of the period (the </w:t>
      </w:r>
      <w:r>
        <w:rPr>
          <w:rFonts w:ascii="Times New Roman" w:cs="Times New Roman" w:eastAsia="Times New Roman" w:hAnsi="Times New Roman"/>
          <w:sz w:val="22"/>
          <w:szCs w:val="22"/>
          <w:b w:val="1"/>
          <w:bCs w:val="1"/>
          <w:color w:val="auto"/>
        </w:rPr>
        <w:t>“Incumbent Directors”</w:t>
      </w:r>
      <w:r>
        <w:rPr>
          <w:rFonts w:ascii="Times New Roman" w:cs="Times New Roman" w:eastAsia="Times New Roman" w:hAnsi="Times New Roman"/>
          <w:sz w:val="22"/>
          <w:szCs w:val="22"/>
          <w:color w:val="auto"/>
        </w:rPr>
        <w:t xml:space="preserve">) cease for any reason to constitute at least a majority of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person becoming a director subsequent to the beginning of such period, whose election or nomination for election was approved by a vote of at least two-thirds of the Incumbent Directors then on the Board (either by a specific vote or by approval of the proxy statement of First Busey in which such person is named as a nominee for director, without written objection to such nomination) will be an Incumbent Director;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individual initially elected or nominated as a director of First Busey as a result of an actual or publicly threatened election contest with respect to directors or as a result of any other actual or publicly threatened solicitation of proxies by or on behalf of any person other than the Board will be deemed to be an Incumbent Director;</w:t>
      </w:r>
    </w:p>
    <w:p>
      <w:pPr>
        <w:spacing w:after="0" w:line="158" w:lineRule="exact"/>
        <w:rPr>
          <w:rFonts w:ascii="Times New Roman" w:cs="Times New Roman" w:eastAsia="Times New Roman" w:hAnsi="Times New Roman"/>
          <w:sz w:val="22"/>
          <w:szCs w:val="22"/>
          <w:b w:val="1"/>
          <w:bCs w:val="1"/>
          <w:color w:val="auto"/>
        </w:rPr>
      </w:pPr>
    </w:p>
    <w:p>
      <w:pPr>
        <w:jc w:val="both"/>
        <w:ind w:left="-1120" w:firstLine="1952"/>
        <w:spacing w:after="0" w:line="211" w:lineRule="auto"/>
        <w:tabs>
          <w:tab w:leader="none" w:pos="1466"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Any “person” (as such term is defined in Section 3(a)(9) of the Securities Exchange Act of 1934, as amended from time to time, or any successor thereto, and the applicable rules and regulations thereunder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and as used in Sections 13(d)(3) and 14(d)(2) of the Exchange Act), is or becomes a “beneficial owner” (as defined in Rule 13d-3 under the Exchange Act), directly or indirectly, of securities of First Busey representing 30% or more of the combined voting power of First Busey's then-outstanding securities eligible to vote for the election of the Board (</w:t>
      </w:r>
      <w:r>
        <w:rPr>
          <w:rFonts w:ascii="Times New Roman" w:cs="Times New Roman" w:eastAsia="Times New Roman" w:hAnsi="Times New Roman"/>
          <w:sz w:val="22"/>
          <w:szCs w:val="22"/>
          <w:b w:val="1"/>
          <w:bCs w:val="1"/>
          <w:color w:val="auto"/>
        </w:rPr>
        <w:t>“Company Voting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event described in this </w:t>
      </w:r>
      <w:r>
        <w:rPr>
          <w:rFonts w:ascii="Times New Roman" w:cs="Times New Roman" w:eastAsia="Times New Roman" w:hAnsi="Times New Roman"/>
          <w:sz w:val="22"/>
          <w:szCs w:val="22"/>
          <w:b w:val="1"/>
          <w:bCs w:val="1"/>
          <w:color w:val="auto"/>
        </w:rPr>
        <w:t>Section 6(d)(ii)</w:t>
      </w:r>
      <w:r>
        <w:rPr>
          <w:rFonts w:ascii="Times New Roman" w:cs="Times New Roman" w:eastAsia="Times New Roman" w:hAnsi="Times New Roman"/>
          <w:sz w:val="22"/>
          <w:szCs w:val="22"/>
          <w:color w:val="auto"/>
        </w:rPr>
        <w:t xml:space="preserve"> will not be deemed to be a Change in Control by virtue of the ownership, or acquisition, of Company Voting Securities: (i) by First Busey, (ii) by any employee benefit plan (or related trust) sponsored or maintained by First Busey, (iii) by any underwriter temporarily holding securities pursuant to an offering of such securities or (iv) pursuant to a Non-Qualifying Transaction (as defined in </w:t>
      </w:r>
      <w:r>
        <w:rPr>
          <w:rFonts w:ascii="Times New Roman" w:cs="Times New Roman" w:eastAsia="Times New Roman" w:hAnsi="Times New Roman"/>
          <w:sz w:val="22"/>
          <w:szCs w:val="22"/>
          <w:b w:val="1"/>
          <w:bCs w:val="1"/>
          <w:color w:val="auto"/>
        </w:rPr>
        <w:t>Section 6(d)(iii)</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b w:val="1"/>
          <w:bCs w:val="1"/>
          <w:color w:val="auto"/>
        </w:rPr>
      </w:pPr>
    </w:p>
    <w:p>
      <w:pPr>
        <w:jc w:val="both"/>
        <w:ind w:left="-1120" w:firstLine="1952"/>
        <w:spacing w:after="0" w:line="236" w:lineRule="auto"/>
        <w:tabs>
          <w:tab w:leader="none" w:pos="1472"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The consummation of a merger, consolidation, statutory share exchange or similar form of corporate transaction involving First Busey that requires the approval of First Busey's stockholders, whether for such transaction or the issuance of securities in the transaction (a </w:t>
      </w:r>
      <w:r>
        <w:rPr>
          <w:rFonts w:ascii="Times New Roman" w:cs="Times New Roman" w:eastAsia="Times New Roman" w:hAnsi="Times New Roman"/>
          <w:sz w:val="22"/>
          <w:szCs w:val="22"/>
          <w:b w:val="1"/>
          <w:bCs w:val="1"/>
          <w:color w:val="auto"/>
        </w:rPr>
        <w:t>“Business Combination”</w:t>
      </w:r>
      <w:r>
        <w:rPr>
          <w:rFonts w:ascii="Times New Roman" w:cs="Times New Roman" w:eastAsia="Times New Roman" w:hAnsi="Times New Roman"/>
          <w:sz w:val="22"/>
          <w:szCs w:val="22"/>
          <w:color w:val="auto"/>
        </w:rPr>
        <w:t xml:space="preserve">), unless immediately following such Business Combination: (A) more than 60% of the total voting power of (x) the entity resulting from such Business Combination (the </w:t>
      </w:r>
      <w:r>
        <w:rPr>
          <w:rFonts w:ascii="Times New Roman" w:cs="Times New Roman" w:eastAsia="Times New Roman" w:hAnsi="Times New Roman"/>
          <w:sz w:val="22"/>
          <w:szCs w:val="22"/>
          <w:b w:val="1"/>
          <w:bCs w:val="1"/>
          <w:color w:val="auto"/>
        </w:rPr>
        <w:t>“Surviving Entity”</w:t>
      </w:r>
      <w:r>
        <w:rPr>
          <w:rFonts w:ascii="Times New Roman" w:cs="Times New Roman" w:eastAsia="Times New Roman" w:hAnsi="Times New Roman"/>
          <w:sz w:val="22"/>
          <w:szCs w:val="22"/>
          <w:color w:val="auto"/>
        </w:rPr>
        <w:t>), or (y) if applicable, the ultimate parent corporation that directly or indirectly has beneficial ownership of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least 95% of the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120"/>
          </w:cols>
          <w:pgMar w:left="1440" w:top="1440" w:right="339" w:bottom="1440" w:gutter="0" w:footer="0" w:header="0"/>
        </w:sectPr>
      </w:pPr>
    </w:p>
    <w:bookmarkStart w:id="106" w:name="page107"/>
    <w:bookmarkEnd w:id="106"/>
    <w:p>
      <w:pPr>
        <w:spacing w:after="0" w:line="387"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Entity or the parent), is or becomes the beneficial owner, directly or indirectly, of 30%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of this </w:t>
      </w:r>
      <w:r>
        <w:rPr>
          <w:rFonts w:ascii="Times New Roman" w:cs="Times New Roman" w:eastAsia="Times New Roman" w:hAnsi="Times New Roman"/>
          <w:sz w:val="22"/>
          <w:szCs w:val="22"/>
          <w:b w:val="1"/>
          <w:bCs w:val="1"/>
          <w:color w:val="auto"/>
        </w:rPr>
        <w:t>Section 6(d)(iii)</w:t>
      </w:r>
      <w:r>
        <w:rPr>
          <w:rFonts w:ascii="Times New Roman" w:cs="Times New Roman" w:eastAsia="Times New Roman" w:hAnsi="Times New Roman"/>
          <w:sz w:val="22"/>
          <w:szCs w:val="22"/>
          <w:color w:val="auto"/>
        </w:rPr>
        <w:t>) will be deemed to be a</w:t>
      </w:r>
      <w:r>
        <w:rPr>
          <w:rFonts w:ascii="Times New Roman" w:cs="Times New Roman" w:eastAsia="Times New Roman" w:hAnsi="Times New Roman"/>
          <w:sz w:val="22"/>
          <w:szCs w:val="22"/>
          <w:b w:val="1"/>
          <w:bCs w:val="1"/>
          <w:color w:val="auto"/>
        </w:rPr>
        <w:t xml:space="preserve"> “Non-Qualifying Transaction”</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2580" w:hanging="628"/>
        <w:spacing w:after="0"/>
        <w:tabs>
          <w:tab w:leader="none" w:pos="258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consummation of a sale of all or substantially all of First Busey's assets (other than to an</w:t>
      </w: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affiliate of First Busey); or</w:t>
      </w:r>
    </w:p>
    <w:p>
      <w:pPr>
        <w:spacing w:after="0" w:line="155" w:lineRule="exact"/>
        <w:rPr>
          <w:rFonts w:ascii="Times New Roman" w:cs="Times New Roman" w:eastAsia="Times New Roman" w:hAnsi="Times New Roman"/>
          <w:sz w:val="22"/>
          <w:szCs w:val="22"/>
          <w:b w:val="1"/>
          <w:bCs w:val="1"/>
          <w:color w:val="auto"/>
        </w:rPr>
      </w:pPr>
    </w:p>
    <w:p>
      <w:pPr>
        <w:ind w:left="2600" w:hanging="648"/>
        <w:spacing w:after="0"/>
        <w:tabs>
          <w:tab w:leader="none" w:pos="2600"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First Busey's stockholders approve a plan of complete liquidation or dissolution of First Busey.</w:t>
      </w:r>
    </w:p>
    <w:p>
      <w:pPr>
        <w:spacing w:after="0" w:line="17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Notwithstanding the foregoing, a Change in Control will not be deemed to occur solely because any person acquires beneficial ownership of more than 30% of the Company Voting Securities as a result of the acquisition of Company Voting Securities by First Busey which reduces the number of Company Voting Securities outstanding; provided that if after such acquisition by First Busey such person becomes the beneficial owner of additional Company Voting Securities that increases the percentage of outstanding Company Voting Securities beneficially owned by such person, a Change in Control will then occur.</w:t>
      </w:r>
    </w:p>
    <w:p>
      <w:pPr>
        <w:spacing w:after="0" w:line="148" w:lineRule="exact"/>
        <w:rPr>
          <w:sz w:val="20"/>
          <w:szCs w:val="20"/>
          <w:color w:val="auto"/>
        </w:rPr>
      </w:pPr>
    </w:p>
    <w:p>
      <w:pPr>
        <w:jc w:val="both"/>
        <w:ind w:firstLine="1304"/>
        <w:spacing w:after="0" w:line="226" w:lineRule="auto"/>
        <w:tabs>
          <w:tab w:leader="none" w:pos="1941" w:val="left"/>
        </w:tabs>
        <w:numPr>
          <w:ilvl w:val="0"/>
          <w:numId w:val="4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Termination by Reason of Death or Disability.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Executive's employment terminates on account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death or is terminated by Employer for Disability, Employer (in lieu of any severance pay under any severance pay plans, programs or policies) will pay or provide the Accrued Benefits and, subject to </w:t>
      </w:r>
      <w:r>
        <w:rPr>
          <w:rFonts w:ascii="Times New Roman" w:cs="Times New Roman" w:eastAsia="Times New Roman" w:hAnsi="Times New Roman"/>
          <w:sz w:val="21"/>
          <w:szCs w:val="21"/>
          <w:b w:val="1"/>
          <w:bCs w:val="1"/>
          <w:color w:val="auto"/>
        </w:rPr>
        <w:t>Section 7</w:t>
      </w:r>
      <w:r>
        <w:rPr>
          <w:rFonts w:ascii="Times New Roman" w:cs="Times New Roman" w:eastAsia="Times New Roman" w:hAnsi="Times New Roman"/>
          <w:sz w:val="21"/>
          <w:szCs w:val="21"/>
          <w:color w:val="auto"/>
        </w:rPr>
        <w:t xml:space="preserve">, will pay to Executive (or Executive's heirs, executors and administrators) an amount equal to the annual performance bonus earned pursuant to </w:t>
      </w:r>
      <w:r>
        <w:rPr>
          <w:rFonts w:ascii="Times New Roman" w:cs="Times New Roman" w:eastAsia="Times New Roman" w:hAnsi="Times New Roman"/>
          <w:sz w:val="21"/>
          <w:szCs w:val="21"/>
          <w:b w:val="1"/>
          <w:bCs w:val="1"/>
          <w:color w:val="auto"/>
        </w:rPr>
        <w:t>Section 3(b)</w:t>
      </w:r>
      <w:r>
        <w:rPr>
          <w:rFonts w:ascii="Times New Roman" w:cs="Times New Roman" w:eastAsia="Times New Roman" w:hAnsi="Times New Roman"/>
          <w:sz w:val="21"/>
          <w:szCs w:val="21"/>
          <w:color w:val="auto"/>
        </w:rPr>
        <w:t xml:space="preserve"> in respect of the fiscal year in which the Termination Date occurs based on actual performance, prorated based upon the number of days elapsed in such fiscal year prior to the Termination Date and paid in a lump sum at the time such awards are normally paid.</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7.</w:t>
      </w:r>
      <w:r>
        <w:rPr>
          <w:sz w:val="20"/>
          <w:szCs w:val="20"/>
          <w:color w:val="auto"/>
        </w:rPr>
        <w:tab/>
      </w:r>
      <w:r>
        <w:rPr>
          <w:rFonts w:ascii="Times New Roman" w:cs="Times New Roman" w:eastAsia="Times New Roman" w:hAnsi="Times New Roman"/>
          <w:sz w:val="21"/>
          <w:szCs w:val="21"/>
          <w:b w:val="1"/>
          <w:bCs w:val="1"/>
          <w:u w:val="single" w:color="auto"/>
          <w:color w:val="auto"/>
        </w:rPr>
        <w:t>Release.</w:t>
      </w:r>
    </w:p>
    <w:p>
      <w:pPr>
        <w:spacing w:after="0" w:line="179" w:lineRule="exact"/>
        <w:rPr>
          <w:sz w:val="20"/>
          <w:szCs w:val="20"/>
          <w:color w:val="auto"/>
        </w:rPr>
      </w:pPr>
    </w:p>
    <w:p>
      <w:pPr>
        <w:jc w:val="both"/>
        <w:ind w:firstLine="1304"/>
        <w:spacing w:after="0" w:line="221" w:lineRule="auto"/>
        <w:tabs>
          <w:tab w:leader="none" w:pos="1939"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As a condition to Employer's obligation to pay any amount under </w:t>
      </w:r>
      <w:r>
        <w:rPr>
          <w:rFonts w:ascii="Times New Roman" w:cs="Times New Roman" w:eastAsia="Times New Roman" w:hAnsi="Times New Roman"/>
          <w:sz w:val="22"/>
          <w:szCs w:val="22"/>
          <w:b w:val="1"/>
          <w:bCs w:val="1"/>
          <w:color w:val="auto"/>
        </w:rPr>
        <w:t>Sections 6(b)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6(c)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6(e)</w:t>
      </w:r>
      <w:r>
        <w:rPr>
          <w:rFonts w:ascii="Times New Roman" w:cs="Times New Roman" w:eastAsia="Times New Roman" w:hAnsi="Times New Roman"/>
          <w:sz w:val="22"/>
          <w:szCs w:val="22"/>
          <w:color w:val="auto"/>
        </w:rPr>
        <w:t xml:space="preserve">, Executive (or, as applicable, Executive's heirs, executors and administrators) shall execute a general release of, and waiver of claims against, Employer and its subsidiaries and affiliates,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on or before the sixtieth (60th) day following the Termination Date. For the avoidance of doubt, in order for such release to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38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effective for purposes of this Agreement, any applicable revocation period with respect to such release and waiver must have expired on or before such sixtieth (60th) day.</w:t>
      </w:r>
    </w:p>
    <w:p>
      <w:pPr>
        <w:spacing w:after="0" w:line="146" w:lineRule="exact"/>
        <w:rPr>
          <w:sz w:val="20"/>
          <w:szCs w:val="20"/>
          <w:color w:val="auto"/>
        </w:rPr>
      </w:pPr>
    </w:p>
    <w:p>
      <w:pPr>
        <w:jc w:val="both"/>
        <w:ind w:firstLine="1304"/>
        <w:spacing w:after="0" w:line="227"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payments and benefits provided in </w:t>
      </w:r>
      <w:r>
        <w:rPr>
          <w:rFonts w:ascii="Times New Roman" w:cs="Times New Roman" w:eastAsia="Times New Roman" w:hAnsi="Times New Roman"/>
          <w:sz w:val="22"/>
          <w:szCs w:val="22"/>
          <w:b w:val="1"/>
          <w:bCs w:val="1"/>
          <w:color w:val="auto"/>
        </w:rPr>
        <w:t>Sections 6(b)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6(c)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6(e)</w:t>
      </w:r>
      <w:r>
        <w:rPr>
          <w:rFonts w:ascii="Times New Roman" w:cs="Times New Roman" w:eastAsia="Times New Roman" w:hAnsi="Times New Roman"/>
          <w:sz w:val="22"/>
          <w:szCs w:val="22"/>
          <w:color w:val="auto"/>
        </w:rPr>
        <w:t xml:space="preserve"> will, as applicable, begin (or be completed in the case of lump sum payments) within sixty (60) days following the Termination Date, subject to Executive's compliance with the requirements of this </w:t>
      </w:r>
      <w:r>
        <w:rPr>
          <w:rFonts w:ascii="Times New Roman" w:cs="Times New Roman" w:eastAsia="Times New Roman" w:hAnsi="Times New Roman"/>
          <w:sz w:val="22"/>
          <w:szCs w:val="22"/>
          <w:b w:val="1"/>
          <w:bCs w:val="1"/>
          <w:color w:val="auto"/>
        </w:rPr>
        <w:t>Section 7</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firstLine="648"/>
        <w:spacing w:after="0" w:line="228" w:lineRule="auto"/>
        <w:rPr>
          <w:sz w:val="20"/>
          <w:szCs w:val="20"/>
          <w:color w:val="auto"/>
        </w:rPr>
      </w:pPr>
      <w:r>
        <w:rPr>
          <w:rFonts w:ascii="Times New Roman" w:cs="Times New Roman" w:eastAsia="Times New Roman" w:hAnsi="Times New Roman"/>
          <w:sz w:val="21"/>
          <w:szCs w:val="21"/>
          <w:b w:val="1"/>
          <w:bCs w:val="1"/>
          <w:color w:val="auto"/>
        </w:rPr>
        <w:t xml:space="preserve">Section 8. </w:t>
      </w:r>
      <w:r>
        <w:rPr>
          <w:rFonts w:ascii="Times New Roman" w:cs="Times New Roman" w:eastAsia="Times New Roman" w:hAnsi="Times New Roman"/>
          <w:sz w:val="21"/>
          <w:szCs w:val="21"/>
          <w:b w:val="1"/>
          <w:bCs w:val="1"/>
          <w:u w:val="single" w:color="auto"/>
          <w:color w:val="auto"/>
        </w:rPr>
        <w:t>Section 280G.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event that any payments or benefits otherwise payable to Executive (a) constitute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"parachute payments" within the meaning of Section 280G of the Internal Revenue Code of 1986, as amended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and</w:t>
      </w:r>
    </w:p>
    <w:p>
      <w:pPr>
        <w:spacing w:after="0" w:line="1" w:lineRule="exact"/>
        <w:rPr>
          <w:sz w:val="20"/>
          <w:szCs w:val="20"/>
          <w:color w:val="auto"/>
        </w:rPr>
      </w:pPr>
    </w:p>
    <w:p>
      <w:pPr>
        <w:jc w:val="both"/>
        <w:ind w:firstLine="8"/>
        <w:spacing w:after="0" w:line="207" w:lineRule="auto"/>
        <w:tabs>
          <w:tab w:leader="none" w:pos="329"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but for this </w:t>
      </w: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 xml:space="preserve">, would be subject to the excise tax imposed by Section 4999 of the Code, then such payments and benefits will be either (i) delivered in full, or (ii) delivered as to such lesser extent that would result in no portion of such payments and benefits being subject to excise tax under Section 4999 of the Code, whichever of the foregoing amounts, taking into account the applicable federal, state and local income and employment taxes and the excise tax imposed by Section 4999 of the Code (and any equivalent state or local excise taxes), results in the receipt by Executive on an after-tax basis, of the greatest amount of benefits, notwithstanding that all or some portion of such payments and benefits may be taxable under Section 4999 of the Code. Unless the Parties otherwise agree in writing, any determination required under this </w:t>
      </w: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 xml:space="preserve"> will be made in writing by a nationally recognized accounting firm selected jointly by Employer and Executive (the </w:t>
      </w:r>
      <w:r>
        <w:rPr>
          <w:rFonts w:ascii="Times New Roman" w:cs="Times New Roman" w:eastAsia="Times New Roman" w:hAnsi="Times New Roman"/>
          <w:sz w:val="22"/>
          <w:szCs w:val="22"/>
          <w:b w:val="1"/>
          <w:bCs w:val="1"/>
          <w:color w:val="auto"/>
        </w:rPr>
        <w:t>“Accountants”</w:t>
      </w:r>
      <w:r>
        <w:rPr>
          <w:rFonts w:ascii="Times New Roman" w:cs="Times New Roman" w:eastAsia="Times New Roman" w:hAnsi="Times New Roman"/>
          <w:sz w:val="22"/>
          <w:szCs w:val="22"/>
          <w:color w:val="auto"/>
        </w:rPr>
        <w:t xml:space="preserve">), whose determination will be conclusive and binding upon Executive and Employer for all purposes. For purposes of making the calculations required by this </w:t>
      </w: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 the Accountants may make reasonable assumptions and approximations concerning applicable taxes and may rely on reasonable, good faith interpretations concerning the application of Sections 280G and 4999 of the Code. The Parties agree to furnish to the Accountants such information and documents as the Accountants may reasonably request in order to make a determination under this provision. Employer will bear all costs the Accountants may reasonably incur in connection with any calculations contemplated by this provision.</w:t>
      </w:r>
    </w:p>
    <w:p>
      <w:pPr>
        <w:spacing w:after="0" w:line="15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Section 9. </w:t>
      </w: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acknowledges that the nature of Executive's employment shall require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produce and have access to records, data, trade secrets and information that are not available to the public regarding Employer and its subsidiaries and affiliates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xml:space="preserve">). Executive shall hold in confidence and not directly or indirectly disclose any Confidential Information to third parties unless disclosure becomes reasonably necessary in connection with Executive's performance of Executive's duties hereunder, or the Confidential Information lawfully becomes available to the public from other sources, or Executive is authorized in writing by Employer to disclose it or Executive is required to make disclosure by a law or pursuant to the authority of any administrative agency or judicial body. All Confidential Information and all other records, files, documents and other materials or copies thereof relating to the business of Employer or any of its subsidiaries or affiliates that Executive prepares or uses shall always be the sole property of Employer. Executive's access to and use of Employer's computer systems, networks and equipment, and all Employer information contained therein, shall be restricted to legitimate business purposes on behalf of Employer; any other access to or use of such systems, network and equipment is without authorization and is prohibited. The restrictions contained in this </w:t>
      </w:r>
      <w:r>
        <w:rPr>
          <w:rFonts w:ascii="Times New Roman" w:cs="Times New Roman" w:eastAsia="Times New Roman" w:hAnsi="Times New Roman"/>
          <w:sz w:val="22"/>
          <w:szCs w:val="22"/>
          <w:b w:val="1"/>
          <w:bCs w:val="1"/>
          <w:color w:val="auto"/>
        </w:rPr>
        <w:t>Section 9</w:t>
      </w:r>
      <w:r>
        <w:rPr>
          <w:rFonts w:ascii="Times New Roman" w:cs="Times New Roman" w:eastAsia="Times New Roman" w:hAnsi="Times New Roman"/>
          <w:sz w:val="22"/>
          <w:szCs w:val="22"/>
          <w:color w:val="auto"/>
        </w:rPr>
        <w:t xml:space="preserve"> shall extend to any personal computers or other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387"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devices of Executive that are used for business purposes relating to Employer. Executive shall not transfer any Employer information to any personal computer or other electronic device that is not otherwise used for any business purpose relating to Employer. Executive shall promptly return all originals and copies of any Confidential Information and other records, files, documents and other materials to Employer if Executive's employment with Employer is terminated for any reason. In addition, Executive shall immediately upon termination for any reason surrender all personal electronic devices ever used to access Confidential Information or conduct business on behalf of Employer for joint (Executive and Employer) inspection and removal of Employer information, including without limitation, Confidential Information.</w:t>
      </w:r>
    </w:p>
    <w:p>
      <w:pPr>
        <w:spacing w:after="0" w:line="156" w:lineRule="exact"/>
        <w:rPr>
          <w:sz w:val="20"/>
          <w:szCs w:val="20"/>
          <w:color w:val="auto"/>
        </w:rPr>
      </w:pPr>
    </w:p>
    <w:p>
      <w:pPr>
        <w:jc w:val="both"/>
        <w:ind w:firstLine="1304"/>
        <w:spacing w:after="0" w:line="210" w:lineRule="auto"/>
        <w:tabs>
          <w:tab w:leader="none" w:pos="1939"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the foregoing, an individual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Accordingly, Executive has the right to disclose in confidence trade secrets to Federal, State, and local government officials, or to an attorney, for the sole purpose of reporting or investigating a suspected violation of law. Executive also has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 Nothing in this Agreement shall be construed to authorize, or limit liability for, an act that is otherwise prohibited by law, such as the unlawful access of material by unauthorized means.</w:t>
      </w:r>
    </w:p>
    <w:p>
      <w:pPr>
        <w:spacing w:after="0" w:line="157" w:lineRule="exact"/>
        <w:rPr>
          <w:rFonts w:ascii="Times New Roman" w:cs="Times New Roman" w:eastAsia="Times New Roman" w:hAnsi="Times New Roman"/>
          <w:sz w:val="22"/>
          <w:szCs w:val="22"/>
          <w:b w:val="1"/>
          <w:bCs w:val="1"/>
          <w:color w:val="auto"/>
        </w:rPr>
      </w:pPr>
    </w:p>
    <w:p>
      <w:pPr>
        <w:jc w:val="both"/>
        <w:ind w:right="20" w:firstLine="1304"/>
        <w:spacing w:after="0" w:line="225" w:lineRule="auto"/>
        <w:tabs>
          <w:tab w:leader="none" w:pos="193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Nothing contained herein shall impede Executive's ability to report possible securities law violations to the Securities and Exchange Commission or other governmental agencies (i) without Employer's prior approval, and (ii) without having to forfeit or forego any resulting whistleblower awards.</w:t>
      </w:r>
    </w:p>
    <w:p>
      <w:pPr>
        <w:spacing w:after="0" w:line="14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Section 10. </w:t>
      </w:r>
      <w:r>
        <w:rPr>
          <w:rFonts w:ascii="Times New Roman" w:cs="Times New Roman" w:eastAsia="Times New Roman" w:hAnsi="Times New Roman"/>
          <w:sz w:val="22"/>
          <w:szCs w:val="22"/>
          <w:b w:val="1"/>
          <w:bCs w:val="1"/>
          <w:u w:val="single" w:color="auto"/>
          <w:color w:val="auto"/>
        </w:rPr>
        <w:t>Non-Competition and Non-Solicitation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 and Executive agree that the primary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service area of Employer's business in which Executive will actively participate extends separately to an area that encompasses a fifty (50) mile radius from each banking and other office location of Employer and its subsidiaries and affiliates (collectively, the </w:t>
      </w:r>
      <w:r>
        <w:rPr>
          <w:rFonts w:ascii="Times New Roman" w:cs="Times New Roman" w:eastAsia="Times New Roman" w:hAnsi="Times New Roman"/>
          <w:sz w:val="22"/>
          <w:szCs w:val="22"/>
          <w:b w:val="1"/>
          <w:bCs w:val="1"/>
          <w:color w:val="auto"/>
        </w:rPr>
        <w:t>“Restrictive Area”</w:t>
      </w:r>
      <w:r>
        <w:rPr>
          <w:rFonts w:ascii="Times New Roman" w:cs="Times New Roman" w:eastAsia="Times New Roman" w:hAnsi="Times New Roman"/>
          <w:sz w:val="22"/>
          <w:szCs w:val="22"/>
          <w:color w:val="auto"/>
        </w:rPr>
        <w:t>). Therefore, as an essential ingredient of and in consideration of this Agreement and Executive's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by Employer, Executive hereby agrees that for a period of one (1) year after termination of Executive's employment with Employer for any reason and whether such termination of employment is during the Term or after the termination or expiration of the Term (the </w:t>
      </w:r>
      <w:r>
        <w:rPr>
          <w:rFonts w:ascii="Times New Roman" w:cs="Times New Roman" w:eastAsia="Times New Roman" w:hAnsi="Times New Roman"/>
          <w:sz w:val="22"/>
          <w:szCs w:val="22"/>
          <w:b w:val="1"/>
          <w:bCs w:val="1"/>
          <w:color w:val="auto"/>
        </w:rPr>
        <w:t>“Restrictive Period”</w:t>
      </w:r>
      <w:r>
        <w:rPr>
          <w:rFonts w:ascii="Times New Roman" w:cs="Times New Roman" w:eastAsia="Times New Roman" w:hAnsi="Times New Roman"/>
          <w:sz w:val="22"/>
          <w:szCs w:val="22"/>
          <w:color w:val="auto"/>
        </w:rPr>
        <w:t xml:space="preserve">), Executive shall not directly or indirectly compete with the business of Employer, including by doing any of the following (the </w:t>
      </w:r>
      <w:r>
        <w:rPr>
          <w:rFonts w:ascii="Times New Roman" w:cs="Times New Roman" w:eastAsia="Times New Roman" w:hAnsi="Times New Roman"/>
          <w:sz w:val="22"/>
          <w:szCs w:val="22"/>
          <w:b w:val="1"/>
          <w:bCs w:val="1"/>
          <w:color w:val="auto"/>
        </w:rPr>
        <w:t>“Restrictive Covenant”</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304"/>
        <w:spacing w:after="0" w:line="220" w:lineRule="auto"/>
        <w:tabs>
          <w:tab w:leader="none" w:pos="1939"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engage or invest in, own, manage, operate, control, finance, participate in the ownership, management, operation or control of, be employed by, associate with or in any manner be connected with, serve as an employee, officer or director of or consultant to, lend Executive's name or any similar name to, lend Executive's credit to, or render services or advice to any person, firm, partnership, corporation, trust or other entity that owns or operates, a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38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savings and loan association, credit union, wealth management or investment advisory firm, or similar financial institution (a </w:t>
      </w:r>
      <w:r>
        <w:rPr>
          <w:rFonts w:ascii="Times New Roman" w:cs="Times New Roman" w:eastAsia="Times New Roman" w:hAnsi="Times New Roman"/>
          <w:sz w:val="22"/>
          <w:szCs w:val="22"/>
          <w:b w:val="1"/>
          <w:bCs w:val="1"/>
          <w:color w:val="auto"/>
        </w:rPr>
        <w:t>“Financial Institution”</w:t>
      </w:r>
      <w:r>
        <w:rPr>
          <w:rFonts w:ascii="Times New Roman" w:cs="Times New Roman" w:eastAsia="Times New Roman" w:hAnsi="Times New Roman"/>
          <w:sz w:val="22"/>
          <w:szCs w:val="22"/>
          <w:color w:val="auto"/>
        </w:rPr>
        <w:t>) with any office located, or to be located at an address identified in a filing with any regulatory authority,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within the Restrictive Area;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event a successor to First Busey succeeds to or assumes First Busey's rights and obligations under this Agreement in connection with a Change in Control this </w:t>
      </w:r>
      <w:r>
        <w:rPr>
          <w:rFonts w:ascii="Times New Roman" w:cs="Times New Roman" w:eastAsia="Times New Roman" w:hAnsi="Times New Roman"/>
          <w:sz w:val="22"/>
          <w:szCs w:val="22"/>
          <w:b w:val="1"/>
          <w:bCs w:val="1"/>
          <w:color w:val="auto"/>
        </w:rPr>
        <w:t>Section 10(a)</w:t>
      </w:r>
      <w:r>
        <w:rPr>
          <w:rFonts w:ascii="Times New Roman" w:cs="Times New Roman" w:eastAsia="Times New Roman" w:hAnsi="Times New Roman"/>
          <w:sz w:val="22"/>
          <w:szCs w:val="22"/>
          <w:color w:val="auto"/>
        </w:rPr>
        <w:t xml:space="preserve"> shall apply only to the primary service areas of Employer as they existed immediately before the Change in Control;</w:t>
      </w:r>
    </w:p>
    <w:p>
      <w:pPr>
        <w:spacing w:after="0" w:line="152" w:lineRule="exact"/>
        <w:rPr>
          <w:sz w:val="20"/>
          <w:szCs w:val="20"/>
          <w:color w:val="auto"/>
        </w:rPr>
      </w:pPr>
    </w:p>
    <w:p>
      <w:pPr>
        <w:jc w:val="both"/>
        <w:ind w:firstLine="1304"/>
        <w:spacing w:after="0" w:line="211" w:lineRule="auto"/>
        <w:tabs>
          <w:tab w:leader="none" w:pos="193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directly or indirectly, for Executive or any Financial Institution: (i) induce or attempt to induce any officer of Employer or any of its subsidiaries or affiliates, or any employee who previously reported to Executive, to leave the employ of Employer or any of its subsidiaries or affiliates; (ii) in any way interfere with the relationship between Employer or any of its subsidiaries or affiliates and any such officer or employee; (iii) employ, or otherwise engage as an employee, independent contractor or otherwise, any such officer or employee; or (iv) induce or attempt to induce any customer, supplier, licensee or business relation of Employer of any of its subsidiaries or affiliates to cease doing business with Employer or any of its subsidiaries or affiliates or in any way interfere with the relationship between Employer or any of its subsidiaries or affiliates and any of their respective customers, suppliers, licensees or business relations, where Executive had personal contact with, or has accessed Confidential Information in the preceding twelve (12) months with respect to, such customers, suppliers, licensees or business relations; or</w:t>
      </w:r>
    </w:p>
    <w:p>
      <w:pPr>
        <w:spacing w:after="0" w:line="151" w:lineRule="exact"/>
        <w:rPr>
          <w:rFonts w:ascii="Times New Roman" w:cs="Times New Roman" w:eastAsia="Times New Roman" w:hAnsi="Times New Roman"/>
          <w:sz w:val="22"/>
          <w:szCs w:val="22"/>
          <w:b w:val="1"/>
          <w:bCs w:val="1"/>
          <w:color w:val="auto"/>
        </w:rPr>
      </w:pPr>
    </w:p>
    <w:p>
      <w:pPr>
        <w:jc w:val="both"/>
        <w:ind w:firstLine="1304"/>
        <w:spacing w:after="0" w:line="220" w:lineRule="auto"/>
        <w:tabs>
          <w:tab w:leader="none" w:pos="1941"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directly or indirectly, for Executive or any Financial Institution, solicit the business of any person or entity known to Executive to be a customer of Employer or any of its subsidiaries or affiliates, where Executive, or any person reporting to Executive, had personal contact with such person or entity, with respect to products, activities or services that compete in whole or in part with the products, activities or services of Employer or any of its subsidiaries or affiliates.</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The foregoing Restrictive Covenant shall not prohibit Executive from owning directly or indirectly capital stock or similar securities that are listed on a securities exchange or quoted on the National Association of Securities Dealers Automated Quotation System that do not represent more than one percent (1%) of the outstanding capital stock of any Financial Institution.</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Section 11. </w:t>
      </w:r>
      <w:r>
        <w:rPr>
          <w:rFonts w:ascii="Times New Roman" w:cs="Times New Roman" w:eastAsia="Times New Roman" w:hAnsi="Times New Roman"/>
          <w:sz w:val="21"/>
          <w:szCs w:val="21"/>
          <w:b w:val="1"/>
          <w:bCs w:val="1"/>
          <w:u w:val="single" w:color="auto"/>
          <w:color w:val="auto"/>
        </w:rPr>
        <w:t>Remedies for Breach.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has reviewed the provisions of this Agreement with legal counsel, or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been given adequate opportunity to seek such counsel, and Executive acknowledges and expressly agrees that the covenants contained herein are reasonable with respect to their duration, geographical area and scope. Executive further acknowledges that the restrictions contained in this Agreement are reasonable and necessary for the protection of the legitimate business interests of Employer, that they create no undue hardships, that any violation of these restrictions would cause substantial injury to Employer and its interests, that Employer would not have agreed to enter into this Agreement without receiving Executive's agreement to be bound by these restrictions and that such restrictions were a material inducement to Employer to enter into this Agreement. Executive hereby acknowledges and agrees that during the Restrictive Period, Employer shall have the right to communicate the existence and terms of this Agreement to any third party with whom Executive may seek or obtain future employment or other similar arrangement. In the event Employer determines that Executive has violated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38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restrictions contained in in </w:t>
      </w:r>
      <w:r>
        <w:rPr>
          <w:rFonts w:ascii="Times New Roman" w:cs="Times New Roman" w:eastAsia="Times New Roman" w:hAnsi="Times New Roman"/>
          <w:sz w:val="22"/>
          <w:szCs w:val="22"/>
          <w:b w:val="1"/>
          <w:bCs w:val="1"/>
          <w:color w:val="auto"/>
        </w:rPr>
        <w:t>Sections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22"/>
          <w:szCs w:val="22"/>
          <w:color w:val="auto"/>
        </w:rPr>
        <w:t xml:space="preserve">, Executive's eligibility for and receipt of any severance payments or benefits under </w:t>
      </w:r>
      <w:r>
        <w:rPr>
          <w:rFonts w:ascii="Times New Roman" w:cs="Times New Roman" w:eastAsia="Times New Roman" w:hAnsi="Times New Roman"/>
          <w:sz w:val="22"/>
          <w:szCs w:val="22"/>
          <w:b w:val="1"/>
          <w:bCs w:val="1"/>
          <w:color w:val="auto"/>
        </w:rPr>
        <w:t>Section 6(b)</w:t>
      </w:r>
      <w:r>
        <w:rPr>
          <w:rFonts w:ascii="Times New Roman" w:cs="Times New Roman" w:eastAsia="Times New Roman" w:hAnsi="Times New Roman"/>
          <w:sz w:val="22"/>
          <w:szCs w:val="22"/>
          <w:color w:val="auto"/>
        </w:rPr>
        <w:t xml:space="preserve"> shall immediately terminate. In addition, in the event of any violation or threatened violation of the restrictions contained in this Agreement, Employer, in addition to and not in limitation of, any other rights, remedies or damages available to Employer under this Agreement or otherwise at law or in equity, shall be entitled to preliminary and permanent injunctive relief to prevent or restrain any such violation by Executive and any and all persons directly or indirectly acting for or with Executive, as the case may be. If Executive violates the Restrictive Covenant and Employer brings legal action for injunctive or other relief, Employer shall not, as a result of the time involved in obtaining such relief, be deprived of the benefit of the full period of the Restrictive Covenant. Accordingly, the Restrictive Covenant shall be deemed to have the duration specified herein computed from the date the relief is granted but reduced by the time between the period when the Restrictive Period began to run and the date of the first violation of the Restrictive Covenant by Executive.</w:t>
      </w:r>
    </w:p>
    <w:p>
      <w:pPr>
        <w:spacing w:after="0" w:line="15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b w:val="1"/>
          <w:bCs w:val="1"/>
          <w:color w:val="auto"/>
        </w:rPr>
        <w:t xml:space="preserve">Section 12. </w:t>
      </w:r>
      <w:r>
        <w:rPr>
          <w:rFonts w:ascii="Times New Roman" w:cs="Times New Roman" w:eastAsia="Times New Roman" w:hAnsi="Times New Roman"/>
          <w:sz w:val="21"/>
          <w:szCs w:val="21"/>
          <w:b w:val="1"/>
          <w:bCs w:val="1"/>
          <w:u w:val="single" w:color="auto"/>
          <w:color w:val="auto"/>
        </w:rPr>
        <w:t>Intellectual Property.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 all times from and after the date of this Agreement, Executive agrees to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directly or indirectly, use, register, or assist others to use or register, any designation (including, without limitation, any service mark, trademark, trade name or other indicia of source) that is the same as or confusingly similar to the legal or operating names of First Busey Corporation or Busey Bank and their affiliates in connection with any banking, wealth management, lending, trust, mortgage, or other financial services or products. Executive further acknowledges and agrees that Executive's obligations under this </w:t>
      </w:r>
      <w:r>
        <w:rPr>
          <w:rFonts w:ascii="Times New Roman" w:cs="Times New Roman" w:eastAsia="Times New Roman" w:hAnsi="Times New Roman"/>
          <w:sz w:val="21"/>
          <w:szCs w:val="21"/>
          <w:b w:val="1"/>
          <w:bCs w:val="1"/>
          <w:color w:val="auto"/>
        </w:rPr>
        <w:t>Section 12</w:t>
      </w:r>
      <w:r>
        <w:rPr>
          <w:rFonts w:ascii="Times New Roman" w:cs="Times New Roman" w:eastAsia="Times New Roman" w:hAnsi="Times New Roman"/>
          <w:sz w:val="21"/>
          <w:szCs w:val="21"/>
          <w:color w:val="auto"/>
        </w:rPr>
        <w:t xml:space="preserve"> are necessary to protect consumers from confusion as to source, affiliation, association or sponsorship, and that such obligations are reasonable and will not preclude or materially impede Executive from gainful employment.</w:t>
      </w:r>
    </w:p>
    <w:p>
      <w:pPr>
        <w:spacing w:after="0" w:line="15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color w:val="auto"/>
        </w:rPr>
        <w:t>Section 13.</w:t>
      </w:r>
      <w:r>
        <w:rPr>
          <w:sz w:val="20"/>
          <w:szCs w:val="20"/>
          <w:color w:val="auto"/>
        </w:rPr>
        <w:tab/>
      </w:r>
      <w:r>
        <w:rPr>
          <w:rFonts w:ascii="Times New Roman" w:cs="Times New Roman" w:eastAsia="Times New Roman" w:hAnsi="Times New Roman"/>
          <w:sz w:val="21"/>
          <w:szCs w:val="21"/>
          <w:b w:val="1"/>
          <w:bCs w:val="1"/>
          <w:u w:val="single" w:color="auto"/>
          <w:color w:val="auto"/>
        </w:rPr>
        <w:t>Indemnity; Other Protections.</w:t>
      </w:r>
    </w:p>
    <w:p>
      <w:pPr>
        <w:spacing w:after="0" w:line="179" w:lineRule="exact"/>
        <w:rPr>
          <w:sz w:val="20"/>
          <w:szCs w:val="20"/>
          <w:color w:val="auto"/>
        </w:rPr>
      </w:pPr>
    </w:p>
    <w:p>
      <w:pPr>
        <w:jc w:val="both"/>
        <w:ind w:firstLine="1304"/>
        <w:spacing w:after="0" w:line="214" w:lineRule="auto"/>
        <w:tabs>
          <w:tab w:leader="none" w:pos="1939"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 shall indemnify Executive (and, upon Executive's death, Executive's heirs,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executors and administrators) to the fullest extent permitted by law against all expenses, including reasonable attorneys' fees, court and investigative costs, judgments, fines and amounts paid in settlement (collectively, </w:t>
      </w:r>
      <w:r>
        <w:rPr>
          <w:rFonts w:ascii="Times New Roman" w:cs="Times New Roman" w:eastAsia="Times New Roman" w:hAnsi="Times New Roman"/>
          <w:sz w:val="22"/>
          <w:szCs w:val="22"/>
          <w:b w:val="1"/>
          <w:bCs w:val="1"/>
          <w:color w:val="auto"/>
        </w:rPr>
        <w:t>“Expenses”</w:t>
      </w:r>
      <w:r>
        <w:rPr>
          <w:rFonts w:ascii="Times New Roman" w:cs="Times New Roman" w:eastAsia="Times New Roman" w:hAnsi="Times New Roman"/>
          <w:sz w:val="22"/>
          <w:szCs w:val="22"/>
          <w:color w:val="auto"/>
        </w:rPr>
        <w:t>) reasonably incurred by Executive in connection with or arising out of any pending, threatened or completed action, suit or proceeding in which Executive becomes involved by reason of Executive's having been an officer or director of Employer. The indemnification rights provided for herein are not exclusive and shall supplement any rights to indemnification that Executive may have under any applicable bylaw or charter provision of Employer, or any resolution of Employer or any applicable statute.</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14" w:lineRule="auto"/>
        <w:tabs>
          <w:tab w:leader="none" w:pos="1938"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Advancement of Expenses.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that Executive becomes a party, or is threatened to be made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to any pending, threatened or completed action, suit or proceeding for which Employer is permitted or required to indemnify Executive under this Agreement, any applicable bylaw or charter provision of Employer, any resolution of Employer, or any applicable statute, Employer shall, to the fullest extent permitted by law, advance all Expenses incurred by Executive in connection with the investigation, defense, settlement, or appeal of any threatened, pending or completed action, suit or proceeding, subject to receipt by Employer of a written undertaking from Executive to reimburse Employer for all Expenses actually paid by Employer to or on behalf of Executive in the event it shall be ultimately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387"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determined that Employer cannot lawfully indemnify Executive for such Expenses, and to assign to Employer all rights of Executive to indemnification under any policy of directors’ and officers’ liability insurance to the extent of the amount of Expenses actually paid by Employer to or on behalf of Executive.</w:t>
      </w:r>
    </w:p>
    <w:p>
      <w:pPr>
        <w:spacing w:after="0" w:line="148" w:lineRule="exact"/>
        <w:rPr>
          <w:sz w:val="20"/>
          <w:szCs w:val="20"/>
          <w:color w:val="auto"/>
        </w:rPr>
      </w:pPr>
    </w:p>
    <w:p>
      <w:pPr>
        <w:jc w:val="both"/>
        <w:ind w:firstLine="1304"/>
        <w:spacing w:after="0" w:line="218" w:lineRule="auto"/>
        <w:tabs>
          <w:tab w:leader="none" w:pos="1941"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Litigation.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Unless precluded by an actual or potential conflict of interest, Employer shall have the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recommend counsel to Executive to represent Executive in connection with any claim covered by this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 Further, Executive's choice of counsel, Executive's decision to contest or settle any such claim and the terms and amount of the settlement of any such claim shall be subject to Employer's prior written approval, which approval shall not be unreasonably withheld or delayed by Employer.</w:t>
      </w:r>
    </w:p>
    <w:p>
      <w:pPr>
        <w:spacing w:after="0" w:line="14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Section 14. </w:t>
      </w:r>
      <w:r>
        <w:rPr>
          <w:rFonts w:ascii="Times New Roman" w:cs="Times New Roman" w:eastAsia="Times New Roman" w:hAnsi="Times New Roman"/>
          <w:sz w:val="22"/>
          <w:szCs w:val="22"/>
          <w:b w:val="1"/>
          <w:bCs w:val="1"/>
          <w:u w:val="single" w:color="auto"/>
          <w:color w:val="auto"/>
        </w:rPr>
        <w:t>Regulatory Conditions.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Employer is not permitted to make any payments that may become due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Executive under </w:t>
      </w:r>
      <w:r>
        <w:rPr>
          <w:rFonts w:ascii="Times New Roman" w:cs="Times New Roman" w:eastAsia="Times New Roman" w:hAnsi="Times New Roman"/>
          <w:sz w:val="22"/>
          <w:szCs w:val="22"/>
          <w:b w:val="1"/>
          <w:bCs w:val="1"/>
          <w:color w:val="auto"/>
        </w:rPr>
        <w:t>Sections 6(b)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6(c)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6(e)</w:t>
      </w:r>
      <w:r>
        <w:rPr>
          <w:rFonts w:ascii="Times New Roman" w:cs="Times New Roman" w:eastAsia="Times New Roman" w:hAnsi="Times New Roman"/>
          <w:sz w:val="22"/>
          <w:szCs w:val="22"/>
          <w:color w:val="auto"/>
        </w:rPr>
        <w:t xml:space="preserve"> because First Busey or the Bank is not in compliance with any regulatory-mandated minimum capital requirements or if making the payments would cause First Busey' s or the Bank's capital to fall below such minimum capital requirements, then Employer shall delay making such payments until the earliest possible date it could resume making the payments without violating such minimum capital requirements. Further, if Employer is not permitted to make any payments that may become due to Executive under </w:t>
      </w:r>
      <w:r>
        <w:rPr>
          <w:rFonts w:ascii="Times New Roman" w:cs="Times New Roman" w:eastAsia="Times New Roman" w:hAnsi="Times New Roman"/>
          <w:sz w:val="22"/>
          <w:szCs w:val="22"/>
          <w:b w:val="1"/>
          <w:bCs w:val="1"/>
          <w:color w:val="auto"/>
        </w:rPr>
        <w:t>Sections 6(b)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6(c)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6(e)</w:t>
      </w:r>
      <w:r>
        <w:rPr>
          <w:rFonts w:ascii="Times New Roman" w:cs="Times New Roman" w:eastAsia="Times New Roman" w:hAnsi="Times New Roman"/>
          <w:sz w:val="22"/>
          <w:szCs w:val="22"/>
          <w:color w:val="auto"/>
        </w:rPr>
        <w:t xml:space="preserve"> because of the operation of any other applicable law or regulation, then Employer shall delay making such payments until the earliest possible date it could resume making the payments without violating such applicable law or regulation.</w:t>
      </w:r>
    </w:p>
    <w:p>
      <w:pPr>
        <w:spacing w:after="0" w:line="14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b w:val="1"/>
          <w:bCs w:val="1"/>
          <w:u w:val="single" w:color="auto"/>
          <w:color w:val="auto"/>
        </w:rPr>
        <w:t>Section 15.</w:t>
      </w:r>
      <w:r>
        <w:rPr>
          <w:sz w:val="20"/>
          <w:szCs w:val="20"/>
          <w:color w:val="auto"/>
        </w:rPr>
        <w:tab/>
      </w:r>
      <w:r>
        <w:rPr>
          <w:rFonts w:ascii="Times New Roman" w:cs="Times New Roman" w:eastAsia="Times New Roman" w:hAnsi="Times New Roman"/>
          <w:sz w:val="21"/>
          <w:szCs w:val="21"/>
          <w:b w:val="1"/>
          <w:bCs w:val="1"/>
          <w:u w:val="single" w:color="auto"/>
          <w:color w:val="auto"/>
        </w:rPr>
        <w:t>General Provisions.</w:t>
      </w:r>
    </w:p>
    <w:p>
      <w:pPr>
        <w:spacing w:after="0" w:line="179" w:lineRule="exact"/>
        <w:rPr>
          <w:sz w:val="20"/>
          <w:szCs w:val="20"/>
          <w:color w:val="auto"/>
        </w:rPr>
      </w:pPr>
    </w:p>
    <w:p>
      <w:pPr>
        <w:ind w:firstLine="1304"/>
        <w:spacing w:after="0" w:line="238" w:lineRule="auto"/>
        <w:tabs>
          <w:tab w:leader="none" w:pos="1939"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set forth explicitly herein, this Agreement may not be amended or modified except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written agreement signed by Executive and Employer.</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14" w:lineRule="auto"/>
        <w:tabs>
          <w:tab w:leader="none" w:pos="1938"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 Assignment.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binding upon and inure to the benefit of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Employer and their respective personal representatives, successors and assigns. Except as set forth in </w:t>
      </w:r>
      <w:r>
        <w:rPr>
          <w:rFonts w:ascii="Times New Roman" w:cs="Times New Roman" w:eastAsia="Times New Roman" w:hAnsi="Times New Roman"/>
          <w:sz w:val="22"/>
          <w:szCs w:val="22"/>
          <w:b w:val="1"/>
          <w:bCs w:val="1"/>
          <w:color w:val="auto"/>
        </w:rPr>
        <w:t>Section 10(a)</w:t>
      </w:r>
      <w:r>
        <w:rPr>
          <w:rFonts w:ascii="Times New Roman" w:cs="Times New Roman" w:eastAsia="Times New Roman" w:hAnsi="Times New Roman"/>
          <w:sz w:val="22"/>
          <w:szCs w:val="22"/>
          <w:color w:val="auto"/>
        </w:rPr>
        <w:t xml:space="preserve">, for the purposes of this Agreement, any successor or assign of Employer shall be deemed to be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xml:space="preserve"> Employer shall require any successor or assign of Employer or any direct or indirect purchaser or acquirer of all or substantially all of the business, assets or liabilities of Employer, whether by transfer, purchase, merger, consolidation, stock acquisition or otherwise, to assume and agree in writing to perform this Agreement and Employer's obligations hereunder in the same manner and to the same extent as Employer would have been required to perform them if no such transaction had occurred.</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16" w:lineRule="auto"/>
        <w:tabs>
          <w:tab w:leader="none" w:pos="1941"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constitutes the entire agreement between the Parties concerning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matter hereof, and supersedes all prior negotiations, undertakings, agreements and arrangements with respect thereto, whether written or oral. The provisions of this Agreement shall be regarded as divisible and separate; if any provision is declared invalid or unenforceable, the validity and enforceability of the remaining provisions shall not be affected. In the event any provision of this Agreement (including any provision of the Restrictive Covenant) is held to be overbroad as written, such provision shall be deemed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38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amended to narrow the application of such provision to the extent necessary to make such provision enforceable according to applicable law.</w:t>
      </w:r>
    </w:p>
    <w:p>
      <w:pPr>
        <w:spacing w:after="0" w:line="146" w:lineRule="exact"/>
        <w:rPr>
          <w:sz w:val="20"/>
          <w:szCs w:val="20"/>
          <w:color w:val="auto"/>
        </w:rPr>
      </w:pPr>
    </w:p>
    <w:p>
      <w:pPr>
        <w:jc w:val="both"/>
        <w:ind w:firstLine="1304"/>
        <w:spacing w:after="0" w:line="221" w:lineRule="auto"/>
        <w:tabs>
          <w:tab w:leader="none" w:pos="1938"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provisions of</w:t>
      </w:r>
      <w:r>
        <w:rPr>
          <w:rFonts w:ascii="Times New Roman" w:cs="Times New Roman" w:eastAsia="Times New Roman" w:hAnsi="Times New Roman"/>
          <w:sz w:val="22"/>
          <w:szCs w:val="22"/>
          <w:b w:val="1"/>
          <w:bCs w:val="1"/>
          <w:color w:val="auto"/>
        </w:rPr>
        <w:t xml:space="preserve"> Section 9 </w:t>
      </w:r>
      <w:r>
        <w:rPr>
          <w:rFonts w:ascii="Times New Roman" w:cs="Times New Roman" w:eastAsia="Times New Roman" w:hAnsi="Times New Roman"/>
          <w:sz w:val="22"/>
          <w:szCs w:val="22"/>
          <w:color w:val="auto"/>
        </w:rPr>
        <w:t>(Confidentiality),</w:t>
      </w:r>
      <w:r>
        <w:rPr>
          <w:rFonts w:ascii="Times New Roman" w:cs="Times New Roman" w:eastAsia="Times New Roman" w:hAnsi="Times New Roman"/>
          <w:sz w:val="22"/>
          <w:szCs w:val="22"/>
          <w:b w:val="1"/>
          <w:bCs w:val="1"/>
          <w:color w:val="auto"/>
        </w:rPr>
        <w:t xml:space="preserve"> Section 10 </w:t>
      </w:r>
      <w:r>
        <w:rPr>
          <w:rFonts w:ascii="Times New Roman" w:cs="Times New Roman" w:eastAsia="Times New Roman" w:hAnsi="Times New Roman"/>
          <w:sz w:val="22"/>
          <w:szCs w:val="22"/>
          <w:color w:val="auto"/>
        </w:rPr>
        <w:t xml:space="preserve">(Non- Competition and Non-Solicitation Covenants), </w:t>
      </w:r>
      <w:r>
        <w:rPr>
          <w:rFonts w:ascii="Times New Roman" w:cs="Times New Roman" w:eastAsia="Times New Roman" w:hAnsi="Times New Roman"/>
          <w:sz w:val="22"/>
          <w:szCs w:val="22"/>
          <w:b w:val="1"/>
          <w:bCs w:val="1"/>
          <w:color w:val="auto"/>
        </w:rPr>
        <w:t>Section 11</w:t>
      </w:r>
      <w:r>
        <w:rPr>
          <w:rFonts w:ascii="Times New Roman" w:cs="Times New Roman" w:eastAsia="Times New Roman" w:hAnsi="Times New Roman"/>
          <w:sz w:val="22"/>
          <w:szCs w:val="22"/>
          <w:color w:val="auto"/>
        </w:rPr>
        <w:t xml:space="preserve"> (Remedies for Breach), </w:t>
      </w:r>
      <w:r>
        <w:rPr>
          <w:rFonts w:ascii="Times New Roman" w:cs="Times New Roman" w:eastAsia="Times New Roman" w:hAnsi="Times New Roman"/>
          <w:sz w:val="22"/>
          <w:szCs w:val="22"/>
          <w:b w:val="1"/>
          <w:bCs w:val="1"/>
          <w:color w:val="auto"/>
        </w:rPr>
        <w:t>Section 12</w:t>
      </w:r>
      <w:r>
        <w:rPr>
          <w:rFonts w:ascii="Times New Roman" w:cs="Times New Roman" w:eastAsia="Times New Roman" w:hAnsi="Times New Roman"/>
          <w:sz w:val="22"/>
          <w:szCs w:val="22"/>
          <w:color w:val="auto"/>
        </w:rPr>
        <w:t xml:space="preserve"> (Intellectual Property), </w:t>
      </w:r>
      <w:r>
        <w:rPr>
          <w:rFonts w:ascii="Times New Roman" w:cs="Times New Roman" w:eastAsia="Times New Roman" w:hAnsi="Times New Roman"/>
          <w:sz w:val="22"/>
          <w:szCs w:val="22"/>
          <w:b w:val="1"/>
          <w:bCs w:val="1"/>
          <w:color w:val="auto"/>
        </w:rPr>
        <w:t>Section 13</w:t>
      </w:r>
      <w:r>
        <w:rPr>
          <w:rFonts w:ascii="Times New Roman" w:cs="Times New Roman" w:eastAsia="Times New Roman" w:hAnsi="Times New Roman"/>
          <w:sz w:val="22"/>
          <w:szCs w:val="22"/>
          <w:color w:val="auto"/>
        </w:rPr>
        <w:t xml:space="preserve"> (Indemnity; Other Protections), </w:t>
      </w:r>
      <w:r>
        <w:rPr>
          <w:rFonts w:ascii="Times New Roman" w:cs="Times New Roman" w:eastAsia="Times New Roman" w:hAnsi="Times New Roman"/>
          <w:sz w:val="22"/>
          <w:szCs w:val="22"/>
          <w:b w:val="1"/>
          <w:bCs w:val="1"/>
          <w:color w:val="auto"/>
        </w:rPr>
        <w:t>Section 14</w:t>
      </w:r>
      <w:r>
        <w:rPr>
          <w:rFonts w:ascii="Times New Roman" w:cs="Times New Roman" w:eastAsia="Times New Roman" w:hAnsi="Times New Roman"/>
          <w:sz w:val="22"/>
          <w:szCs w:val="22"/>
          <w:color w:val="auto"/>
        </w:rPr>
        <w:t xml:space="preserve"> (Regulatory Conditions) and </w:t>
      </w:r>
      <w:r>
        <w:rPr>
          <w:rFonts w:ascii="Times New Roman" w:cs="Times New Roman" w:eastAsia="Times New Roman" w:hAnsi="Times New Roman"/>
          <w:sz w:val="22"/>
          <w:szCs w:val="22"/>
          <w:b w:val="1"/>
          <w:bCs w:val="1"/>
          <w:color w:val="auto"/>
        </w:rPr>
        <w:t>Section 15</w:t>
      </w:r>
      <w:r>
        <w:rPr>
          <w:rFonts w:ascii="Times New Roman" w:cs="Times New Roman" w:eastAsia="Times New Roman" w:hAnsi="Times New Roman"/>
          <w:sz w:val="22"/>
          <w:szCs w:val="22"/>
          <w:color w:val="auto"/>
        </w:rPr>
        <w:t xml:space="preserve"> (General Provisions) shall survive the expiration or termination of this Agreement for any reason.</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41"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and Enforcement.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construed and the legal relations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shall be determined in accordance with the laws of the State of Illinois without reference to the law regarding conflicts of law.</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13" w:lineRule="auto"/>
        <w:tabs>
          <w:tab w:leader="none" w:pos="1944"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Jurisdiction.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action or proceeding seeking to enforce any provision of, or based on any right arising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 of, this Agreement, shall be brought against either of the parties exclusively in the courts of the State of Illinois, County of Champaign, or, if it has or can acquire jurisdiction, in the United States District court for the Central District of Illinois, and each of the parties consents to the exclusive jurisdiction of such courts (and of the appropriate appellate courts) in any such action or proceeding and waives any objection to venue laid therein. Process in any action or proceeding referred to in the preceding sentence may be served on either party anywhere in the world. EXECUTIVE AND EMPLOYER HEREBY WAIVE THEIR RIGHT TO TRIAL BY JURY IN THE EVENT OF A DISPUTE, AND EXECUTIVE REPRESENTS THAT EXECUTIVE'S WAIVER IS KNOWING, VOLUNTARY AND INTENTIONAL.</w:t>
      </w:r>
    </w:p>
    <w:p>
      <w:pPr>
        <w:spacing w:after="0" w:line="147" w:lineRule="exact"/>
        <w:rPr>
          <w:rFonts w:ascii="Times New Roman" w:cs="Times New Roman" w:eastAsia="Times New Roman" w:hAnsi="Times New Roman"/>
          <w:sz w:val="22"/>
          <w:szCs w:val="22"/>
          <w:b w:val="1"/>
          <w:bCs w:val="1"/>
          <w:color w:val="auto"/>
        </w:rPr>
      </w:pPr>
    </w:p>
    <w:p>
      <w:pPr>
        <w:jc w:val="both"/>
        <w:ind w:firstLine="1304"/>
        <w:spacing w:after="0" w:line="221" w:lineRule="auto"/>
        <w:tabs>
          <w:tab w:leader="none" w:pos="1939"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Prevailing Party Legal Fees.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Should either Party initiate any action or proceeding to enforce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Agreement or any provision hereof, or for damages by reason of any alleged breach of this Agreement or of any provision hereof, or for a declaration of rights hereunder (a </w:t>
      </w:r>
      <w:r>
        <w:rPr>
          <w:rFonts w:ascii="Times New Roman" w:cs="Times New Roman" w:eastAsia="Times New Roman" w:hAnsi="Times New Roman"/>
          <w:sz w:val="21"/>
          <w:szCs w:val="21"/>
          <w:b w:val="1"/>
          <w:bCs w:val="1"/>
          <w:color w:val="auto"/>
        </w:rPr>
        <w:t>“Covered Dispute”</w:t>
      </w:r>
      <w:r>
        <w:rPr>
          <w:rFonts w:ascii="Times New Roman" w:cs="Times New Roman" w:eastAsia="Times New Roman" w:hAnsi="Times New Roman"/>
          <w:sz w:val="21"/>
          <w:szCs w:val="21"/>
          <w:color w:val="auto"/>
        </w:rPr>
        <w:t xml:space="preserve">), the prevailing Party in any such Covered Dispute shall be entitled to receive from the other Party all costs and expenses, including reasonable attorneys' fees, incurred by the prevailing Party in connection with such Covered Dispute. Notwithstanding the foregoing, in the event of a Covered Dispute arising upon or within three (3) years following a Change in Control, Employer shall advance to Executive all costs and expenses (including, without limitation, reasonable attorneys' fees) which Executive may incur in connection with such Covered Dispute, within ten (10) business days after receipt by Employer of a written request for such advance,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Executive shall repay the amount of any such costs and expenses advanced by Employer pursuant to this </w:t>
      </w:r>
      <w:r>
        <w:rPr>
          <w:rFonts w:ascii="Times New Roman" w:cs="Times New Roman" w:eastAsia="Times New Roman" w:hAnsi="Times New Roman"/>
          <w:sz w:val="21"/>
          <w:szCs w:val="21"/>
          <w:b w:val="1"/>
          <w:bCs w:val="1"/>
          <w:color w:val="auto"/>
        </w:rPr>
        <w:t>Section 15(g)</w:t>
      </w:r>
      <w:r>
        <w:rPr>
          <w:rFonts w:ascii="Times New Roman" w:cs="Times New Roman" w:eastAsia="Times New Roman" w:hAnsi="Times New Roman"/>
          <w:sz w:val="21"/>
          <w:szCs w:val="21"/>
          <w:color w:val="auto"/>
        </w:rPr>
        <w:t xml:space="preserve"> if a court issues a final and non-appealable order settling forth the determination that the position taken by Executive was frivolous or advanced by Executive in bad faith.</w:t>
      </w:r>
    </w:p>
    <w:p>
      <w:pPr>
        <w:spacing w:after="0" w:line="152" w:lineRule="exact"/>
        <w:rPr>
          <w:rFonts w:ascii="Times New Roman" w:cs="Times New Roman" w:eastAsia="Times New Roman" w:hAnsi="Times New Roman"/>
          <w:sz w:val="21"/>
          <w:szCs w:val="21"/>
          <w:b w:val="1"/>
          <w:bCs w:val="1"/>
          <w:color w:val="auto"/>
        </w:rPr>
      </w:pPr>
    </w:p>
    <w:p>
      <w:pPr>
        <w:jc w:val="both"/>
        <w:ind w:firstLine="1304"/>
        <w:spacing w:after="0" w:line="227" w:lineRule="auto"/>
        <w:tabs>
          <w:tab w:leader="none" w:pos="1938"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waiver by either Party at any time of any breach by the other Party of, or compliance with,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 or provision of this Agreement to be performed by the other Party shall be deemed a waiver of any similar or dissimilar provisions or conditions at the same time or any prior or subsequent time.</w:t>
      </w:r>
    </w:p>
    <w:p>
      <w:pPr>
        <w:spacing w:after="0" w:line="146" w:lineRule="exact"/>
        <w:rPr>
          <w:rFonts w:ascii="Times New Roman" w:cs="Times New Roman" w:eastAsia="Times New Roman" w:hAnsi="Times New Roman"/>
          <w:sz w:val="22"/>
          <w:szCs w:val="22"/>
          <w:b w:val="1"/>
          <w:bCs w:val="1"/>
          <w:color w:val="auto"/>
        </w:rPr>
      </w:pPr>
    </w:p>
    <w:p>
      <w:pPr>
        <w:ind w:firstLine="1304"/>
        <w:spacing w:after="0" w:line="238" w:lineRule="auto"/>
        <w:tabs>
          <w:tab w:leader="none" w:pos="1932"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Notices pursuant to this Agreement shall be in writing and shall be deemed given when received;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if mailed, shall be mailed by United States registered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38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certified mail, return receipt requested, postage prepaid; and if to Employer, addressed to the principal headquarters of First Busey, attention: President and Chief Executive Officer; and if to Executive, to the address for Executive as most currently reflected in the corporate records or to such other address as Executive has most recently provided to Employer.</w:t>
      </w:r>
    </w:p>
    <w:p>
      <w:pPr>
        <w:spacing w:after="0" w:line="148" w:lineRule="exact"/>
        <w:rPr>
          <w:sz w:val="20"/>
          <w:szCs w:val="20"/>
          <w:color w:val="auto"/>
        </w:rPr>
      </w:pPr>
    </w:p>
    <w:p>
      <w:pPr>
        <w:ind w:left="1960" w:hanging="656"/>
        <w:spacing w:after="0"/>
        <w:tabs>
          <w:tab w:leader="none" w:pos="19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409A.</w:t>
      </w:r>
    </w:p>
    <w:p>
      <w:pPr>
        <w:spacing w:after="0" w:line="183" w:lineRule="exact"/>
        <w:rPr>
          <w:rFonts w:ascii="Times New Roman" w:cs="Times New Roman" w:eastAsia="Times New Roman" w:hAnsi="Times New Roman"/>
          <w:sz w:val="22"/>
          <w:szCs w:val="22"/>
          <w:b w:val="1"/>
          <w:bCs w:val="1"/>
          <w:color w:val="auto"/>
        </w:rPr>
      </w:pPr>
    </w:p>
    <w:p>
      <w:pPr>
        <w:jc w:val="both"/>
        <w:ind w:firstLine="1952"/>
        <w:spacing w:after="0" w:line="220" w:lineRule="auto"/>
        <w:tabs>
          <w:tab w:leader="none" w:pos="2580" w:val="left"/>
        </w:tabs>
        <w:numPr>
          <w:ilvl w:val="1"/>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This Agreement is intended to comply with the requirements of Section 409A of the Code (together with the applicable regulations thereunder,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and the Parties agree that it shall be administered accordingly, and interpreted and construed on a basis consistent with such intent. Notwithstanding anything herein to the contrary, no termination or other similar payments and benefits hereunder shall be payable on account of Executive's termination of employment unless Executive's termination of employment constitutes a "separation from service" within the meaning of Section 409A. To the extent any reimbursements or in-kind benefit payments under this Agreement are subject to Section 409A, such reimbursements and in-kind benefit payments shall be made in accordance with Treasury Regulation §l.409A-3(i)(l)(iv). This Agreement may be amended to the extent necessary (including retroactively) by Employer to maintain to the maximum extent practicable the original intent of this Agreement while avoiding the application of taxes or interest under Section 409A. The preceding shall not be construed as a guarantee of any particular tax effect for Executive's compensation and benefits and Employer does not guarantee that any compensation or benefits provided under this Agreement will satisfy the provisions of Section 409A.</w:t>
      </w:r>
    </w:p>
    <w:p>
      <w:pPr>
        <w:spacing w:after="0" w:line="157" w:lineRule="exact"/>
        <w:rPr>
          <w:rFonts w:ascii="Times New Roman" w:cs="Times New Roman" w:eastAsia="Times New Roman" w:hAnsi="Times New Roman"/>
          <w:sz w:val="21"/>
          <w:szCs w:val="21"/>
          <w:b w:val="1"/>
          <w:bCs w:val="1"/>
          <w:color w:val="auto"/>
        </w:rPr>
      </w:pPr>
    </w:p>
    <w:p>
      <w:pPr>
        <w:jc w:val="both"/>
        <w:ind w:firstLine="1952"/>
        <w:spacing w:after="0" w:line="210" w:lineRule="auto"/>
        <w:tabs>
          <w:tab w:leader="none" w:pos="2586" w:val="left"/>
        </w:tabs>
        <w:numPr>
          <w:ilvl w:val="1"/>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If at the time of any payment hereunder Executive is considered to be a Specified Employee and such payment is required to be treated as deferred compensation subject to Section 409A, then, to the extent required by Section 409A, such payments shall be delayed to the date that is six (6) months after the Termination Date. For purposes of Section 409A, each payment made under this Agreement, or pursuant to another plan or arrangement, will be treated as a separate payment. The term </w:t>
      </w:r>
      <w:r>
        <w:rPr>
          <w:rFonts w:ascii="Times New Roman" w:cs="Times New Roman" w:eastAsia="Times New Roman" w:hAnsi="Times New Roman"/>
          <w:sz w:val="22"/>
          <w:szCs w:val="22"/>
          <w:b w:val="1"/>
          <w:bCs w:val="1"/>
          <w:color w:val="auto"/>
        </w:rPr>
        <w:t>“Specified Employee”</w:t>
      </w:r>
      <w:r>
        <w:rPr>
          <w:rFonts w:ascii="Times New Roman" w:cs="Times New Roman" w:eastAsia="Times New Roman" w:hAnsi="Times New Roman"/>
          <w:sz w:val="22"/>
          <w:szCs w:val="22"/>
          <w:color w:val="auto"/>
        </w:rPr>
        <w:t xml:space="preserve"> means any person who holds a position with Employer of senior vice president or higher and has compensation greater than that stated in Section 416(i)(l )(A)(i) of the Code. The determination of whether Executive is a Specified Employee shall be based upon the twelve (12)-month period ending on each December 31st (such twelve (12)-month period is referred to below as the “identification period”). If Executive is determined to be a Specified Employee during the identification period, he or she shall be treated as a Specified Employee for purposes of this Agreement during the twelve (12) month period that begins on the April 1st following the close of such identification period. For purposes of determining whether Executive is a Specified Employee under Section 4l 6(i) of the Code, compensation shall mean Executive's W-2 compensation as reported by Employer for a particular calendar year.</w:t>
      </w:r>
    </w:p>
    <w:p>
      <w:pPr>
        <w:spacing w:after="0" w:line="151" w:lineRule="exact"/>
        <w:rPr>
          <w:rFonts w:ascii="Times New Roman" w:cs="Times New Roman" w:eastAsia="Times New Roman" w:hAnsi="Times New Roman"/>
          <w:sz w:val="22"/>
          <w:szCs w:val="22"/>
          <w:b w:val="1"/>
          <w:bCs w:val="1"/>
          <w:color w:val="auto"/>
        </w:rPr>
      </w:pPr>
    </w:p>
    <w:p>
      <w:pPr>
        <w:jc w:val="both"/>
        <w:ind w:firstLine="1952"/>
        <w:spacing w:after="0" w:line="217" w:lineRule="auto"/>
        <w:tabs>
          <w:tab w:leader="none" w:pos="2592" w:val="left"/>
        </w:tabs>
        <w:numPr>
          <w:ilvl w:val="1"/>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payments under this Agreement required to be delayed pursuant to this Section 15(j) shall be accumulated and paid in a lump-sum, catch-up payment as of the first (1st) day of the seventh (7th) month following the Termination Date (or, if earlier, the date of death of Executive), with all such delayed payments being credited with interest (compounded monthly) for such period of delay equal to the prime rate in effect on the first (1st) day of such six (6)-month period. Any portion of the benefits hereunder that were not otherwise due to be paid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38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six (6)-month period following the Termination Date shall be paid to Executive in accordance with the payment schedule established herein.</w:t>
      </w:r>
    </w:p>
    <w:p>
      <w:pPr>
        <w:spacing w:after="0" w:line="146" w:lineRule="exact"/>
        <w:rPr>
          <w:sz w:val="20"/>
          <w:szCs w:val="20"/>
          <w:color w:val="auto"/>
        </w:rPr>
      </w:pPr>
    </w:p>
    <w:p>
      <w:pPr>
        <w:jc w:val="both"/>
        <w:ind w:firstLine="1304"/>
        <w:spacing w:after="0" w:line="214" w:lineRule="auto"/>
        <w:tabs>
          <w:tab w:leader="none" w:pos="1938"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Clawback.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amount or benefit received under this Agreement shall be subject to potential cancellation,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recoupment, rescission, payback, or other action in accordance with the terms of any applicable Employer clawback policy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or any applicable law, as may be in effect from time to time. Executive acknowledges and consents to Employer's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application, implementation, and enforcement of (i) the Policy or any similar policy established by Employer that may apply to Executive and (ii) any provision of applicable law relating to cancellation, rescission, payback, or recoupment of compensation, as well as Executive's express agreement that Employer may take such actions as may be necessary to effectuate the Policy, any similar policy, or applicable law, without further consideration or action.</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19" w:lineRule="auto"/>
        <w:tabs>
          <w:tab w:leader="none" w:pos="1932"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shall be deemed drafted equally by the Parties. Any presumption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principle that the language of this Agreement is to be construed against any Party shall not apply. Whenever used in this Agreement, the singular includes the plural and vice versa (where applicable); the words “hereof,” “herein,” “hereto,” “hereby,” “hereunder,” and other words of similar import refer to this Agreement as a whole (including exhibits); all references to sections, schedules and exhibits are to sections, schedules and exhibits in or to this Agreement unless otherwise specified; the words “include,” “includes” and “including” means “include, without limitation,” “includes, without limitation” and “including, without limitation,” respectively; any reference to a document or set of documents, and the rights and obligations of the parties under any such documents, means such document or documents as amended from time to time, and any and all modifications, extensions, renewals, substitutions or replacements thereof; and references to a statute shall refer to the statute and any amendments and any successor statutes, and to all regulations promulgated under or implementing the statute, as amended, or its successors, as in effect at the relevant time. The headings used in this Agreement are for convenience only, shall not be deemed to constitute a part hereof, and shall not be deemed to limit, characterize or in any way affect the construction or enforcement of the provisions of this Agreement. This Agreement may be executed in any number of identical counterparts, any of which may contain the signatures of less than all Parties, and all of which together shall constitute a single agreement. All remedies of any Party are cumulative and not alternative, and are in addition to any other remedies available at law, in equity or otherwise.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38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executed this Agreement on November 21, 2019, effective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8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FIRST BUSEY CORPORATION and</w:t>
            </w:r>
          </w:p>
        </w:tc>
        <w:tc>
          <w:tcPr>
            <w:tcW w:w="53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EXECUTIVE</w:t>
            </w:r>
          </w:p>
        </w:tc>
      </w:tr>
      <w:tr>
        <w:trPr>
          <w:trHeight w:val="286"/>
        </w:trPr>
        <w:tc>
          <w:tcPr>
            <w:tcW w:w="58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BUSEY BANK</w:t>
            </w:r>
          </w:p>
        </w:tc>
        <w:tc>
          <w:tcPr>
            <w:tcW w:w="5380" w:type="dxa"/>
            <w:vAlign w:val="bottom"/>
          </w:tcPr>
          <w:p>
            <w:pPr>
              <w:spacing w:after="0"/>
              <w:rPr>
                <w:sz w:val="24"/>
                <w:szCs w:val="24"/>
                <w:color w:val="auto"/>
              </w:rPr>
            </w:pPr>
          </w:p>
        </w:tc>
      </w:tr>
      <w:tr>
        <w:trPr>
          <w:trHeight w:val="536"/>
        </w:trPr>
        <w:tc>
          <w:tcPr>
            <w:tcW w:w="58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Van A. Dukeman</w:t>
            </w:r>
          </w:p>
        </w:tc>
        <w:tc>
          <w:tcPr>
            <w:tcW w:w="5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Monica L. Bowe</w:t>
            </w:r>
          </w:p>
        </w:tc>
      </w:tr>
      <w:tr>
        <w:trPr>
          <w:trHeight w:val="251"/>
        </w:trPr>
        <w:tc>
          <w:tcPr>
            <w:tcW w:w="560" w:type="dxa"/>
            <w:vAlign w:val="bottom"/>
          </w:tcPr>
          <w:p>
            <w:pPr>
              <w:spacing w:after="0"/>
              <w:rPr>
                <w:sz w:val="21"/>
                <w:szCs w:val="21"/>
                <w:color w:val="auto"/>
              </w:rPr>
            </w:pPr>
          </w:p>
        </w:tc>
        <w:tc>
          <w:tcPr>
            <w:tcW w:w="478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Van A. Dukeman</w:t>
            </w:r>
          </w:p>
        </w:tc>
        <w:tc>
          <w:tcPr>
            <w:tcW w:w="500" w:type="dxa"/>
            <w:vAlign w:val="bottom"/>
          </w:tcPr>
          <w:p>
            <w:pPr>
              <w:spacing w:after="0"/>
              <w:rPr>
                <w:sz w:val="21"/>
                <w:szCs w:val="21"/>
                <w:color w:val="auto"/>
              </w:rPr>
            </w:pPr>
          </w:p>
        </w:tc>
        <w:tc>
          <w:tcPr>
            <w:tcW w:w="538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Monica L. Bowe</w:t>
            </w:r>
          </w:p>
        </w:tc>
      </w:tr>
      <w:tr>
        <w:trPr>
          <w:trHeight w:val="216"/>
        </w:trPr>
        <w:tc>
          <w:tcPr>
            <w:tcW w:w="560" w:type="dxa"/>
            <w:vAlign w:val="bottom"/>
          </w:tcPr>
          <w:p>
            <w:pPr>
              <w:spacing w:after="0"/>
              <w:rPr>
                <w:sz w:val="18"/>
                <w:szCs w:val="18"/>
                <w:color w:val="auto"/>
              </w:rPr>
            </w:pPr>
          </w:p>
        </w:tc>
        <w:tc>
          <w:tcPr>
            <w:tcW w:w="5280" w:type="dxa"/>
            <w:vAlign w:val="bottom"/>
            <w:gridSpan w:val="2"/>
          </w:tcPr>
          <w:p>
            <w:pPr>
              <w:ind w:left="20"/>
              <w:spacing w:after="0" w:line="217" w:lineRule="exact"/>
              <w:rPr>
                <w:sz w:val="20"/>
                <w:szCs w:val="20"/>
                <w:color w:val="auto"/>
              </w:rPr>
            </w:pPr>
            <w:r>
              <w:rPr>
                <w:rFonts w:ascii="Times New Roman" w:cs="Times New Roman" w:eastAsia="Times New Roman" w:hAnsi="Times New Roman"/>
                <w:sz w:val="22"/>
                <w:szCs w:val="22"/>
                <w:color w:val="auto"/>
              </w:rPr>
              <w:t>President and Chief Executive Officer of First Busey</w:t>
            </w:r>
          </w:p>
        </w:tc>
        <w:tc>
          <w:tcPr>
            <w:tcW w:w="538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52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Corporation and Chairman of the Board of Busey</w:t>
            </w:r>
          </w:p>
        </w:tc>
        <w:tc>
          <w:tcPr>
            <w:tcW w:w="5380" w:type="dxa"/>
            <w:vAlign w:val="bottom"/>
          </w:tcPr>
          <w:p>
            <w:pPr>
              <w:spacing w:after="0"/>
              <w:rPr>
                <w:sz w:val="18"/>
                <w:szCs w:val="18"/>
                <w:color w:val="auto"/>
              </w:rPr>
            </w:pPr>
          </w:p>
        </w:tc>
      </w:tr>
      <w:tr>
        <w:trPr>
          <w:trHeight w:val="282"/>
        </w:trPr>
        <w:tc>
          <w:tcPr>
            <w:tcW w:w="560" w:type="dxa"/>
            <w:vAlign w:val="bottom"/>
          </w:tcPr>
          <w:p>
            <w:pPr>
              <w:spacing w:after="0"/>
              <w:rPr>
                <w:sz w:val="24"/>
                <w:szCs w:val="24"/>
                <w:color w:val="auto"/>
              </w:rPr>
            </w:pPr>
          </w:p>
        </w:tc>
        <w:tc>
          <w:tcPr>
            <w:tcW w:w="52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Bank</w:t>
            </w:r>
          </w:p>
        </w:tc>
        <w:tc>
          <w:tcPr>
            <w:tcW w:w="53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383838"/>
        </w:rPr>
        <w:t>Signature Page to Bowe Employment Agreement</w:t>
      </w:r>
    </w:p>
    <w:p>
      <w:pPr>
        <w:sectPr>
          <w:pgSz w:w="11900" w:h="16838" w:orient="portrait"/>
          <w:cols w:equalWidth="0" w:num="1">
            <w:col w:w="11240"/>
          </w:cols>
          <w:pgMar w:left="320" w:top="1440" w:right="339" w:bottom="1440" w:gutter="0" w:footer="0" w:header="0"/>
        </w:sectPr>
      </w:pPr>
    </w:p>
    <w:bookmarkStart w:id="116" w:name="page117"/>
    <w:bookmarkEnd w:id="116"/>
    <w:p>
      <w:pPr>
        <w:ind w:left="7800"/>
        <w:spacing w:after="0"/>
        <w:rPr>
          <w:sz w:val="20"/>
          <w:szCs w:val="20"/>
          <w:color w:val="auto"/>
        </w:rPr>
      </w:pPr>
      <w:r>
        <w:rPr>
          <w:rFonts w:ascii="Times New Roman" w:cs="Times New Roman" w:eastAsia="Times New Roman" w:hAnsi="Times New Roman"/>
          <w:sz w:val="21"/>
          <w:szCs w:val="21"/>
          <w:b w:val="1"/>
          <w:bCs w:val="1"/>
          <w:u w:val="single" w:color="auto"/>
          <w:color w:val="auto"/>
        </w:rPr>
        <w:t>Exhibit A to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 AND RELEASE</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 xml:space="preserve">This Agreement and Release (this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is made and entered into by [•]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in favor of First Busey Corporation (</w:t>
      </w:r>
      <w:r>
        <w:rPr>
          <w:rFonts w:ascii="Times New Roman" w:cs="Times New Roman" w:eastAsia="Times New Roman" w:hAnsi="Times New Roman"/>
          <w:sz w:val="22"/>
          <w:szCs w:val="22"/>
          <w:b w:val="1"/>
          <w:bCs w:val="1"/>
          <w:color w:val="auto"/>
        </w:rPr>
        <w:t>“First Busey”</w:t>
      </w:r>
      <w:r>
        <w:rPr>
          <w:rFonts w:ascii="Times New Roman" w:cs="Times New Roman" w:eastAsia="Times New Roman" w:hAnsi="Times New Roman"/>
          <w:sz w:val="22"/>
          <w:szCs w:val="22"/>
          <w:color w:val="auto"/>
        </w:rPr>
        <w:t xml:space="preserve">), Busey Bank (the </w:t>
      </w: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 xml:space="preserve"> and together with First Busey, </w:t>
      </w:r>
      <w:r>
        <w:rPr>
          <w:rFonts w:ascii="Times New Roman" w:cs="Times New Roman" w:eastAsia="Times New Roman" w:hAnsi="Times New Roman"/>
          <w:sz w:val="22"/>
          <w:szCs w:val="22"/>
          <w:b w:val="1"/>
          <w:bCs w:val="1"/>
          <w:color w:val="auto"/>
        </w:rPr>
        <w:t>“Employer”</w:t>
      </w:r>
      <w:r>
        <w:rPr>
          <w:rFonts w:ascii="Times New Roman" w:cs="Times New Roman" w:eastAsia="Times New Roman" w:hAnsi="Times New Roman"/>
          <w:sz w:val="22"/>
          <w:szCs w:val="22"/>
          <w:color w:val="auto"/>
        </w:rPr>
        <w:t xml:space="preserve">) and its subsidiaries, affiliates, stockholders, beneficial owners of its stock, its current or former officers, directors, employees, members, attorneys and agents, and their predecessors, successors and assigns, individually and in their official capacities (together, the </w:t>
      </w:r>
      <w:r>
        <w:rPr>
          <w:rFonts w:ascii="Times New Roman" w:cs="Times New Roman" w:eastAsia="Times New Roman" w:hAnsi="Times New Roman"/>
          <w:sz w:val="22"/>
          <w:szCs w:val="22"/>
          <w:b w:val="1"/>
          <w:bCs w:val="1"/>
          <w:color w:val="auto"/>
        </w:rPr>
        <w:t>“Released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Employee has been employed as [•];</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WHEREAS, Employee's employment with Employer was terminated, effective as of [•] (the </w:t>
      </w:r>
      <w:r>
        <w:rPr>
          <w:rFonts w:ascii="Times New Roman" w:cs="Times New Roman" w:eastAsia="Times New Roman" w:hAnsi="Times New Roman"/>
          <w:sz w:val="22"/>
          <w:szCs w:val="22"/>
          <w:b w:val="1"/>
          <w:bCs w:val="1"/>
          <w:color w:val="auto"/>
        </w:rPr>
        <w:t>“Termination</w:t>
      </w:r>
    </w:p>
    <w:p>
      <w:pPr>
        <w:spacing w:after="0"/>
        <w:rPr>
          <w:sz w:val="20"/>
          <w:szCs w:val="20"/>
          <w:color w:val="auto"/>
        </w:rPr>
      </w:pP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and</w:t>
      </w:r>
    </w:p>
    <w:p>
      <w:pPr>
        <w:spacing w:after="0" w:line="151"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 xml:space="preserve">WHEREAS, Employee is seeking certain payments under </w:t>
      </w:r>
      <w:r>
        <w:rPr>
          <w:rFonts w:ascii="Times New Roman" w:cs="Times New Roman" w:eastAsia="Times New Roman" w:hAnsi="Times New Roman"/>
          <w:sz w:val="22"/>
          <w:szCs w:val="22"/>
          <w:b w:val="1"/>
          <w:bCs w:val="1"/>
          <w:color w:val="auto"/>
        </w:rPr>
        <w:t>Section 6[•]</w:t>
      </w:r>
      <w:r>
        <w:rPr>
          <w:rFonts w:ascii="Times New Roman" w:cs="Times New Roman" w:eastAsia="Times New Roman" w:hAnsi="Times New Roman"/>
          <w:sz w:val="22"/>
          <w:szCs w:val="22"/>
          <w:color w:val="auto"/>
        </w:rPr>
        <w:t xml:space="preserve"> of the employment agreement entered into with Employer dated [•]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that are conditioned on the effectiveness of this Release.</w:t>
      </w:r>
    </w:p>
    <w:p>
      <w:pPr>
        <w:spacing w:after="0" w:line="1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in consideration of the covenants and agreements hereinafter set forth, the parties agree as</w:t>
      </w: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51" w:lineRule="exact"/>
        <w:rPr>
          <w:sz w:val="20"/>
          <w:szCs w:val="20"/>
          <w:color w:val="auto"/>
        </w:rPr>
      </w:pPr>
    </w:p>
    <w:p>
      <w:pPr>
        <w:jc w:val="both"/>
        <w:ind w:firstLine="1304"/>
        <w:spacing w:after="0" w:line="218" w:lineRule="auto"/>
        <w:tabs>
          <w:tab w:leader="none" w:pos="1944"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General Release.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knowingly and voluntarily waives, terminates, cancels, releases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discharges forever the Released Parties from any and all suits, actions, causes of action, claims, allegations, rights, obligations, liabilities, demands, entitlements or charges (collectively,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that Employee (or Employee's heirs, executors, administrators, successors and assigns) has or may have, whether known, unknown or unforeseen, vested or contingent, by reason of any matter, cause or thing occurring at any time before and including the date of this Release, arising under or in connection with Employee's employment or termination of employment with Employer, including, without limitation: Claims under United States federal, state or local law and the national or local law of any foreign country (statutory or decisional), for wrongful, abusive, constructive or unlawful discharge or dismissal, for breach of any contract, or for discrimination based upon race, color, ethnicity, sex, age, national origin, religion, disability, sexual orientation, or any other unlawful criterion or circumstance, including, without limitation, rights or Claims under the Age Discrimination in Employment Act of 1967 (</w:t>
      </w:r>
      <w:r>
        <w:rPr>
          <w:rFonts w:ascii="Times New Roman" w:cs="Times New Roman" w:eastAsia="Times New Roman" w:hAnsi="Times New Roman"/>
          <w:sz w:val="21"/>
          <w:szCs w:val="21"/>
          <w:b w:val="1"/>
          <w:bCs w:val="1"/>
          <w:color w:val="auto"/>
        </w:rPr>
        <w:t>“ADEA”</w:t>
      </w:r>
      <w:r>
        <w:rPr>
          <w:rFonts w:ascii="Times New Roman" w:cs="Times New Roman" w:eastAsia="Times New Roman" w:hAnsi="Times New Roman"/>
          <w:sz w:val="21"/>
          <w:szCs w:val="21"/>
          <w:color w:val="auto"/>
        </w:rPr>
        <w:t>), the Older Workers Benefit Protection Act of 1990 (</w:t>
      </w:r>
      <w:r>
        <w:rPr>
          <w:rFonts w:ascii="Times New Roman" w:cs="Times New Roman" w:eastAsia="Times New Roman" w:hAnsi="Times New Roman"/>
          <w:sz w:val="21"/>
          <w:szCs w:val="21"/>
          <w:b w:val="1"/>
          <w:bCs w:val="1"/>
          <w:color w:val="auto"/>
        </w:rPr>
        <w:t>“OWBPA”</w:t>
      </w:r>
      <w:r>
        <w:rPr>
          <w:rFonts w:ascii="Times New Roman" w:cs="Times New Roman" w:eastAsia="Times New Roman" w:hAnsi="Times New Roman"/>
          <w:sz w:val="21"/>
          <w:szCs w:val="21"/>
          <w:color w:val="auto"/>
        </w:rPr>
        <w:t>), violations of the Equal Pay Act, Title VII of the Civil Rights Act of 1964, the Civil Rights Act of 1991, the Americans with Disabilities Act of 1991, the Employee Retirement Income Security Act of 1974 (</w:t>
      </w:r>
      <w:r>
        <w:rPr>
          <w:rFonts w:ascii="Times New Roman" w:cs="Times New Roman" w:eastAsia="Times New Roman" w:hAnsi="Times New Roman"/>
          <w:sz w:val="21"/>
          <w:szCs w:val="21"/>
          <w:b w:val="1"/>
          <w:bCs w:val="1"/>
          <w:color w:val="auto"/>
        </w:rPr>
        <w:t>“ERISA”</w:t>
      </w:r>
      <w:r>
        <w:rPr>
          <w:rFonts w:ascii="Times New Roman" w:cs="Times New Roman" w:eastAsia="Times New Roman" w:hAnsi="Times New Roman"/>
          <w:sz w:val="21"/>
          <w:szCs w:val="21"/>
          <w:color w:val="auto"/>
        </w:rPr>
        <w:t xml:space="preserve">), the Fair Labor Standards Act, the Worker Adjustment Retraining and Notification Act, the Family Medical Leave Act, including all amendments to any of the aforementioned acts; and violations of any other federal, state, or municipal fair employment statutes or laws, including, without limitation, violations of any other law, rule, regulation, or ordinance pertaining to employment, wages, compensation, hours worked, or any other Claims for compensation or bonuses, whether or not paid under any compensation plan or arrangement; breach of contract; tort and other common law Claims; defamation; libel; slander; impairment of economic opportunity defamation; sexual harassment; retaliation; attorneys' fees; emotional distress; intentional infliction of emotional distress; assault; battery, pain and suffering; and punitive or exemplary damages (the </w:t>
      </w:r>
      <w:r>
        <w:rPr>
          <w:rFonts w:ascii="Times New Roman" w:cs="Times New Roman" w:eastAsia="Times New Roman" w:hAnsi="Times New Roman"/>
          <w:sz w:val="21"/>
          <w:szCs w:val="21"/>
          <w:b w:val="1"/>
          <w:bCs w:val="1"/>
          <w:color w:val="auto"/>
        </w:rPr>
        <w:t>“Released Matters”</w:t>
      </w:r>
      <w:r>
        <w:rPr>
          <w:rFonts w:ascii="Times New Roman" w:cs="Times New Roman" w:eastAsia="Times New Roman" w:hAnsi="Times New Roman"/>
          <w:sz w:val="21"/>
          <w:szCs w:val="21"/>
          <w:color w:val="auto"/>
        </w:rPr>
        <w:t>). In addition, in consideration of the provisions of this Release, Employee further agrees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311" w:right="339" w:bottom="1440" w:gutter="0" w:footer="0" w:header="0"/>
        </w:sectPr>
      </w:pPr>
    </w:p>
    <w:bookmarkStart w:id="117" w:name="page118"/>
    <w:bookmarkEnd w:id="117"/>
    <w:p>
      <w:pPr>
        <w:spacing w:after="0" w:line="38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to waive any and all rights under the laws of any jurisdiction in the United States, or any other country, that limit a general release to those Claims that are known or suspected to exist in Employee's favor as of the Effective Date (as defined below).</w:t>
      </w:r>
    </w:p>
    <w:p>
      <w:pPr>
        <w:spacing w:after="0" w:line="146" w:lineRule="exact"/>
        <w:rPr>
          <w:sz w:val="20"/>
          <w:szCs w:val="20"/>
          <w:color w:val="auto"/>
        </w:rPr>
      </w:pPr>
    </w:p>
    <w:p>
      <w:pPr>
        <w:ind w:left="1960" w:hanging="656"/>
        <w:spacing w:after="0"/>
        <w:tabs>
          <w:tab w:leader="none" w:pos="196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Surviving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herein to the contrary, this Release shall not:</w:t>
      </w:r>
    </w:p>
    <w:p>
      <w:pPr>
        <w:spacing w:after="0" w:line="183" w:lineRule="exact"/>
        <w:rPr>
          <w:rFonts w:ascii="Times New Roman" w:cs="Times New Roman" w:eastAsia="Times New Roman" w:hAnsi="Times New Roman"/>
          <w:sz w:val="22"/>
          <w:szCs w:val="22"/>
          <w:color w:val="auto"/>
        </w:rPr>
      </w:pPr>
    </w:p>
    <w:p>
      <w:pPr>
        <w:jc w:val="both"/>
        <w:ind w:left="1960" w:hanging="850"/>
        <w:spacing w:after="0" w:line="225" w:lineRule="auto"/>
        <w:tabs>
          <w:tab w:leader="none" w:pos="19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release any Claims for payment of amounts payable under the Employment Agreement (including under </w:t>
      </w:r>
      <w:r>
        <w:rPr>
          <w:rFonts w:ascii="Times New Roman" w:cs="Times New Roman" w:eastAsia="Times New Roman" w:hAnsi="Times New Roman"/>
          <w:sz w:val="22"/>
          <w:szCs w:val="22"/>
          <w:b w:val="1"/>
          <w:bCs w:val="1"/>
          <w:color w:val="auto"/>
        </w:rPr>
        <w:t xml:space="preserve">Section 6[•] </w:t>
      </w:r>
      <w:r>
        <w:rPr>
          <w:rFonts w:ascii="Times New Roman" w:cs="Times New Roman" w:eastAsia="Times New Roman" w:hAnsi="Times New Roman"/>
          <w:sz w:val="22"/>
          <w:szCs w:val="22"/>
          <w:color w:val="auto"/>
        </w:rPr>
        <w:t>thereof) or any rights or obligations imposed by the surviving Sections of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which include but are not limited to Sections 9, 10, 11, 12, 13, 14 and 15;</w:t>
      </w:r>
    </w:p>
    <w:p>
      <w:pPr>
        <w:spacing w:after="0" w:line="152" w:lineRule="exact"/>
        <w:rPr>
          <w:rFonts w:ascii="Times New Roman" w:cs="Times New Roman" w:eastAsia="Times New Roman" w:hAnsi="Times New Roman"/>
          <w:sz w:val="22"/>
          <w:szCs w:val="22"/>
          <w:color w:val="auto"/>
        </w:rPr>
      </w:pPr>
    </w:p>
    <w:p>
      <w:pPr>
        <w:jc w:val="both"/>
        <w:ind w:left="1960" w:hanging="850"/>
        <w:spacing w:after="0" w:line="225" w:lineRule="auto"/>
        <w:tabs>
          <w:tab w:leader="none" w:pos="194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Claim for employee benefits under plans covered by ERISA to the extent any such Claim may not lawfully be waived or for any payments or benefits under any Employer plans that have vested according to the terms of those plans;</w:t>
      </w:r>
    </w:p>
    <w:p>
      <w:pPr>
        <w:spacing w:after="0" w:line="152" w:lineRule="exact"/>
        <w:rPr>
          <w:rFonts w:ascii="Times New Roman" w:cs="Times New Roman" w:eastAsia="Times New Roman" w:hAnsi="Times New Roman"/>
          <w:sz w:val="22"/>
          <w:szCs w:val="22"/>
          <w:color w:val="auto"/>
        </w:rPr>
      </w:pPr>
    </w:p>
    <w:p>
      <w:pPr>
        <w:ind w:left="1940" w:hanging="830"/>
        <w:spacing w:after="0"/>
        <w:tabs>
          <w:tab w:leader="none" w:pos="1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Claim that may not lawfully be waived;</w:t>
      </w:r>
    </w:p>
    <w:p>
      <w:pPr>
        <w:spacing w:after="0" w:line="179" w:lineRule="exact"/>
        <w:rPr>
          <w:rFonts w:ascii="Times New Roman" w:cs="Times New Roman" w:eastAsia="Times New Roman" w:hAnsi="Times New Roman"/>
          <w:sz w:val="22"/>
          <w:szCs w:val="22"/>
          <w:color w:val="auto"/>
        </w:rPr>
      </w:pPr>
    </w:p>
    <w:p>
      <w:pPr>
        <w:ind w:left="1960" w:hanging="850"/>
        <w:spacing w:after="0" w:line="236" w:lineRule="auto"/>
        <w:tabs>
          <w:tab w:leader="none" w:pos="19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Claim for indemnification and D&amp;O insurance in accordance with the Employment Agreement and with applicable laws and the corporate governance documents of Employer; or</w:t>
      </w:r>
    </w:p>
    <w:p>
      <w:pPr>
        <w:spacing w:after="0" w:line="150" w:lineRule="exact"/>
        <w:rPr>
          <w:rFonts w:ascii="Times New Roman" w:cs="Times New Roman" w:eastAsia="Times New Roman" w:hAnsi="Times New Roman"/>
          <w:sz w:val="22"/>
          <w:szCs w:val="22"/>
          <w:color w:val="auto"/>
        </w:rPr>
      </w:pPr>
    </w:p>
    <w:p>
      <w:pPr>
        <w:jc w:val="both"/>
        <w:ind w:left="1960" w:hanging="850"/>
        <w:spacing w:after="0" w:line="213" w:lineRule="auto"/>
        <w:tabs>
          <w:tab w:leader="none" w:pos="195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limit Employee's rights under applicable law to provide truthful information to any governmental entity or to file a charge with or participate in an investigation conducted by any governmental entity. Notwithstanding the foregoing, Employee agrees to waive Employee's right to recover monetary damages in connection with any charge, complaint or lawsuit filed by Employee or anyone else on Employee's behalf (whether involving a governmental entity or not);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Employee is not agreeing to waive, and this Release shall not be read as requiring Employee to waive, any right Employee may have to receive an award for information provided to any governmental entity.</w:t>
      </w:r>
    </w:p>
    <w:p>
      <w:pPr>
        <w:spacing w:after="0" w:line="152"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Additional Representations.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further represents and warrants that Employee has not filed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civil action, suit, arbitration, administrative charge, or legal proceeding against any Released Party, nor has Employee assigned, pledged, or hypothecated as of the Effective Date any Claim to any person and no other person has an interest in the Claims that he is releasing.</w:t>
      </w:r>
    </w:p>
    <w:p>
      <w:pPr>
        <w:spacing w:after="0" w:line="148"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Acknowledgements by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acknowledges and agrees that Employee has read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Release in its entirety and that this Release is a general release of all known and unknown Claims. Employee further acknowledges and agrees that:</w:t>
      </w:r>
    </w:p>
    <w:p>
      <w:pPr>
        <w:spacing w:after="0" w:line="150" w:lineRule="exact"/>
        <w:rPr>
          <w:sz w:val="20"/>
          <w:szCs w:val="20"/>
          <w:color w:val="auto"/>
        </w:rPr>
      </w:pPr>
    </w:p>
    <w:p>
      <w:pPr>
        <w:jc w:val="both"/>
        <w:ind w:left="1960" w:hanging="850"/>
        <w:spacing w:after="0" w:line="225" w:lineRule="auto"/>
        <w:tabs>
          <w:tab w:leader="none" w:pos="195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does not release, waive or discharge any rights or Claims that may arise for actions or omissions after the Effective Date of this Release and Employee acknowledges that he is not releasing, waiving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discharging any ADEA Claims that may arise after the Effective Date of this Release;</w:t>
      </w:r>
    </w:p>
    <w:p>
      <w:pPr>
        <w:spacing w:after="0" w:line="179" w:lineRule="exact"/>
        <w:rPr>
          <w:sz w:val="20"/>
          <w:szCs w:val="20"/>
          <w:color w:val="auto"/>
        </w:rPr>
      </w:pPr>
    </w:p>
    <w:p>
      <w:pPr>
        <w:ind w:left="1960" w:hanging="850"/>
        <w:spacing w:after="0" w:line="236" w:lineRule="auto"/>
        <w:tabs>
          <w:tab w:leader="none" w:pos="194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is entering into this Release and releasing, waiving and discharging rights or Claims only in exchange for consideration which Employee is not already entitled to receive;</w:t>
      </w:r>
    </w:p>
    <w:p>
      <w:pPr>
        <w:spacing w:after="0" w:line="150" w:lineRule="exact"/>
        <w:rPr>
          <w:rFonts w:ascii="Times New Roman" w:cs="Times New Roman" w:eastAsia="Times New Roman" w:hAnsi="Times New Roman"/>
          <w:sz w:val="22"/>
          <w:szCs w:val="22"/>
          <w:color w:val="auto"/>
        </w:rPr>
      </w:pPr>
    </w:p>
    <w:p>
      <w:pPr>
        <w:jc w:val="both"/>
        <w:ind w:left="1960" w:hanging="850"/>
        <w:spacing w:after="0" w:line="225" w:lineRule="auto"/>
        <w:tabs>
          <w:tab w:leader="none" w:pos="195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been advised, and is being advised by the Release, to consult with an attorney before executing this Release; Employee acknowledges that Employee has consulted with counsel of Employee's choice concerning the terms and conditions of this Release;</w:t>
      </w:r>
    </w:p>
    <w:p>
      <w:pPr>
        <w:spacing w:after="0" w:line="152" w:lineRule="exact"/>
        <w:rPr>
          <w:rFonts w:ascii="Times New Roman" w:cs="Times New Roman" w:eastAsia="Times New Roman" w:hAnsi="Times New Roman"/>
          <w:sz w:val="22"/>
          <w:szCs w:val="22"/>
          <w:color w:val="auto"/>
        </w:rPr>
      </w:pPr>
    </w:p>
    <w:p>
      <w:pPr>
        <w:jc w:val="both"/>
        <w:ind w:left="1960" w:hanging="850"/>
        <w:spacing w:after="0" w:line="225" w:lineRule="auto"/>
        <w:tabs>
          <w:tab w:leader="none" w:pos="195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been advised, and is being advised by this Release, that Employee has been given at least [twenty-one (21)] [forty-five (45)] days within which to consider the Release, but Employee can execute this Release at any time prior to the expiration of such review period; [and]</w:t>
      </w:r>
    </w:p>
    <w:p>
      <w:pPr>
        <w:spacing w:after="0" w:line="152" w:lineRule="exact"/>
        <w:rPr>
          <w:rFonts w:ascii="Times New Roman" w:cs="Times New Roman" w:eastAsia="Times New Roman" w:hAnsi="Times New Roman"/>
          <w:sz w:val="22"/>
          <w:szCs w:val="22"/>
          <w:color w:val="auto"/>
        </w:rPr>
      </w:pPr>
    </w:p>
    <w:p>
      <w:pPr>
        <w:ind w:left="1960" w:hanging="850"/>
        <w:spacing w:after="0" w:line="236" w:lineRule="auto"/>
        <w:tabs>
          <w:tab w:leader="none" w:pos="195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[Because this Release includes a release of claims under ADEA, Employee is being provided with the information contained in </w:t>
      </w:r>
      <w:r>
        <w:rPr>
          <w:rFonts w:ascii="Times New Roman" w:cs="Times New Roman" w:eastAsia="Times New Roman" w:hAnsi="Times New Roman"/>
          <w:sz w:val="22"/>
          <w:szCs w:val="22"/>
          <w:b w:val="1"/>
          <w:bCs w:val="1"/>
          <w:u w:val="single" w:color="auto"/>
          <w:color w:val="auto"/>
        </w:rPr>
        <w:t>Schedule 1</w:t>
      </w:r>
      <w:r>
        <w:rPr>
          <w:rFonts w:ascii="Times New Roman" w:cs="Times New Roman" w:eastAsia="Times New Roman" w:hAnsi="Times New Roman"/>
          <w:sz w:val="22"/>
          <w:szCs w:val="22"/>
          <w:color w:val="auto"/>
        </w:rPr>
        <w:t xml:space="preserve"> hereto in accordance with the OWBPA; and]</w:t>
      </w:r>
    </w:p>
    <w:p>
      <w:pPr>
        <w:spacing w:after="0" w:line="150" w:lineRule="exact"/>
        <w:rPr>
          <w:rFonts w:ascii="Times New Roman" w:cs="Times New Roman" w:eastAsia="Times New Roman" w:hAnsi="Times New Roman"/>
          <w:sz w:val="22"/>
          <w:szCs w:val="22"/>
          <w:color w:val="auto"/>
        </w:rPr>
      </w:pPr>
    </w:p>
    <w:p>
      <w:pPr>
        <w:jc w:val="both"/>
        <w:ind w:left="1960" w:hanging="850"/>
        <w:spacing w:after="0" w:line="213" w:lineRule="auto"/>
        <w:tabs>
          <w:tab w:leader="none" w:pos="195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Employee is aware that this Release shall become null and void if Employee revokes Employee's agreement to this Release within seven (7) days following the date of execution of this Release. Employee may revoke this Release at any time during such seven-day period by delivering (or causing to be delivered) to Employer written notice of Employee's revocation of this Release no later than 5:00 p.m. Central time on the seventh (7th) full day following the date of execution of this Release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Employee agrees and acknowledges that a letter of revocation that is not received by such date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will be invalid and will not revoke this Release.</w:t>
      </w:r>
    </w:p>
    <w:p>
      <w:pPr>
        <w:spacing w:after="0" w:line="152"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4"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and Employer shall keep the existence and the terms of this Release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confidential, except for Executive's immediate family members or their legal or tax advisors in connection with services related hereto and except as may be required by law or in connection with the preparation of tax returns. For purposes of this Section 5, “immediate family members” shall be limited to Employee's spouse or domestic partner and any person (other than a tenant or employee) sharing Employee's household.</w:t>
      </w:r>
    </w:p>
    <w:p>
      <w:pPr>
        <w:spacing w:after="0" w:line="147" w:lineRule="exact"/>
        <w:rPr>
          <w:rFonts w:ascii="Times New Roman" w:cs="Times New Roman" w:eastAsia="Times New Roman" w:hAnsi="Times New Roman"/>
          <w:sz w:val="22"/>
          <w:szCs w:val="22"/>
          <w:color w:val="auto"/>
        </w:rPr>
      </w:pPr>
    </w:p>
    <w:p>
      <w:pPr>
        <w:ind w:firstLine="1304"/>
        <w:spacing w:after="0" w:line="238" w:lineRule="auto"/>
        <w:tabs>
          <w:tab w:leader="none" w:pos="1944"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Employer's waiver of a breach of this Release by Employee shall not be construed or operate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waiver of any subsequent breach by Employee of the same or of any other provision of this Release.</w:t>
      </w:r>
    </w:p>
    <w:p>
      <w:pPr>
        <w:spacing w:after="0" w:line="146"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4"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 shall instruct in writing each member of the Board of Directors of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Busey and each executive officer of First Busey that at all times following the Termination Date, such individual shall not engage in any vilification of the Employee, and shall refrain from making any false, negative, critical or disparaging statements, implied or expressed, concerning Employee, including Employee's management style, methods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38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doing business, the quality of Employee's work or Employee's role in the community. At all times following the Termination Date, Employee shall not engage in any vilification of the Employer and its and their officers and directors, and Employee shall refrain from making any false, negative, critical or disparaging statements, implied or expressed, concerning Employer and its and their officers and directors, including management style, methods of doing business, the quality of products and services, or role in the community. Employee shall do nothing that would damage Employer's business reputation or good will.</w:t>
      </w:r>
    </w:p>
    <w:p>
      <w:pPr>
        <w:spacing w:after="0" w:line="148" w:lineRule="exact"/>
        <w:rPr>
          <w:sz w:val="20"/>
          <w:szCs w:val="20"/>
          <w:color w:val="auto"/>
        </w:rPr>
      </w:pPr>
    </w:p>
    <w:p>
      <w:pPr>
        <w:ind w:firstLine="1304"/>
        <w:spacing w:after="0" w:line="238" w:lineRule="auto"/>
        <w:tabs>
          <w:tab w:leader="none" w:pos="194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shall abide by the terms set forth in</w:t>
      </w:r>
      <w:r>
        <w:rPr>
          <w:rFonts w:ascii="Times New Roman" w:cs="Times New Roman" w:eastAsia="Times New Roman" w:hAnsi="Times New Roman"/>
          <w:sz w:val="22"/>
          <w:szCs w:val="22"/>
          <w:b w:val="1"/>
          <w:bCs w:val="1"/>
          <w:color w:val="auto"/>
        </w:rPr>
        <w:t xml:space="preserve"> Sections 9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10 </w:t>
      </w:r>
      <w:r>
        <w:rPr>
          <w:rFonts w:ascii="Times New Roman" w:cs="Times New Roman" w:eastAsia="Times New Roman" w:hAnsi="Times New Roman"/>
          <w:sz w:val="22"/>
          <w:szCs w:val="22"/>
          <w:color w:val="auto"/>
        </w:rPr>
        <w:t>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Agreement.</w:t>
      </w:r>
    </w:p>
    <w:p>
      <w:pPr>
        <w:spacing w:after="0" w:line="146"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4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and Enforcement.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Release shall be construed and the legal relations of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Employer shall be determined in accordance with the laws of the State of Illinois without reference to the law regarding conflicts of law.</w:t>
      </w:r>
    </w:p>
    <w:p>
      <w:pPr>
        <w:spacing w:after="0" w:line="146" w:lineRule="exact"/>
        <w:rPr>
          <w:rFonts w:ascii="Times New Roman" w:cs="Times New Roman" w:eastAsia="Times New Roman" w:hAnsi="Times New Roman"/>
          <w:sz w:val="22"/>
          <w:szCs w:val="22"/>
          <w:color w:val="auto"/>
        </w:rPr>
      </w:pPr>
    </w:p>
    <w:p>
      <w:pPr>
        <w:ind w:right="20" w:firstLine="1304"/>
        <w:spacing w:after="0" w:line="238" w:lineRule="auto"/>
        <w:tabs>
          <w:tab w:leader="none" w:pos="194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Release may be executed in any number of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Release.</w:t>
      </w:r>
    </w:p>
    <w:p>
      <w:pPr>
        <w:spacing w:after="0" w:line="146" w:lineRule="exact"/>
        <w:rPr>
          <w:rFonts w:ascii="Times New Roman" w:cs="Times New Roman" w:eastAsia="Times New Roman" w:hAnsi="Times New Roman"/>
          <w:sz w:val="22"/>
          <w:szCs w:val="22"/>
          <w:color w:val="auto"/>
        </w:rPr>
      </w:pPr>
    </w:p>
    <w:p>
      <w:pPr>
        <w:ind w:firstLine="1304"/>
        <w:spacing w:after="0" w:line="259" w:lineRule="auto"/>
        <w:tabs>
          <w:tab w:leader="none" w:pos="193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prov1s10ns of Section 15(1) of the Employment Agreement shall apply to this Release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that the word "Release" shall take the place of the word "Agreement" in such Section 15(1), where applicable.</w:t>
      </w:r>
    </w:p>
    <w:p>
      <w:pPr>
        <w:spacing w:after="0" w:line="1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have executed this Release as of dates set forth below their respective signatures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FIRST BUSEY CORPORATION and</w:t>
            </w:r>
          </w:p>
        </w:tc>
        <w:tc>
          <w:tcPr>
            <w:tcW w:w="500" w:type="dxa"/>
            <w:vAlign w:val="bottom"/>
          </w:tcPr>
          <w:p>
            <w:pPr>
              <w:spacing w:after="0"/>
              <w:rPr>
                <w:sz w:val="22"/>
                <w:szCs w:val="22"/>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EXECUTIVE</w:t>
            </w:r>
          </w:p>
        </w:tc>
      </w:tr>
      <w:tr>
        <w:trPr>
          <w:trHeight w:val="2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BUSEY BANK</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3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50"/>
        </w:trPr>
        <w:tc>
          <w:tcPr>
            <w:tcW w:w="780" w:type="dxa"/>
            <w:vAlign w:val="bottom"/>
          </w:tcPr>
          <w:p>
            <w:pPr>
              <w:spacing w:after="0"/>
              <w:rPr>
                <w:sz w:val="21"/>
                <w:szCs w:val="21"/>
                <w:color w:val="auto"/>
              </w:rPr>
            </w:pPr>
          </w:p>
        </w:tc>
        <w:tc>
          <w:tcPr>
            <w:tcW w:w="4560" w:type="dxa"/>
            <w:vAlign w:val="bottom"/>
            <w:tcBorders>
              <w:top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[Name]</w:t>
            </w:r>
          </w:p>
        </w:tc>
        <w:tc>
          <w:tcPr>
            <w:tcW w:w="500" w:type="dxa"/>
            <w:vAlign w:val="bottom"/>
          </w:tcPr>
          <w:p>
            <w:pPr>
              <w:spacing w:after="0"/>
              <w:rPr>
                <w:sz w:val="21"/>
                <w:szCs w:val="21"/>
                <w:color w:val="auto"/>
              </w:rPr>
            </w:pPr>
          </w:p>
        </w:tc>
        <w:tc>
          <w:tcPr>
            <w:tcW w:w="5380" w:type="dxa"/>
            <w:vAlign w:val="bottom"/>
            <w:tcBorders>
              <w:top w:val="single" w:sz="8" w:color="auto"/>
            </w:tcBorders>
            <w:gridSpan w:val="2"/>
          </w:tcPr>
          <w:p>
            <w:pPr>
              <w:ind w:left="20"/>
              <w:spacing w:after="0" w:line="250" w:lineRule="exact"/>
              <w:rPr>
                <w:sz w:val="20"/>
                <w:szCs w:val="20"/>
                <w:color w:val="auto"/>
              </w:rPr>
            </w:pPr>
            <w:r>
              <w:rPr>
                <w:rFonts w:ascii="Times New Roman" w:cs="Times New Roman" w:eastAsia="Times New Roman" w:hAnsi="Times New Roman"/>
                <w:sz w:val="22"/>
                <w:szCs w:val="22"/>
                <w:color w:val="auto"/>
              </w:rPr>
              <w:t>[Name]</w:t>
            </w:r>
          </w:p>
        </w:tc>
      </w:tr>
      <w:tr>
        <w:trPr>
          <w:trHeight w:val="216"/>
        </w:trPr>
        <w:tc>
          <w:tcPr>
            <w:tcW w:w="780" w:type="dxa"/>
            <w:vAlign w:val="bottom"/>
          </w:tcPr>
          <w:p>
            <w:pPr>
              <w:spacing w:after="0"/>
              <w:rPr>
                <w:sz w:val="18"/>
                <w:szCs w:val="18"/>
                <w:color w:val="auto"/>
              </w:rPr>
            </w:pPr>
          </w:p>
        </w:tc>
        <w:tc>
          <w:tcPr>
            <w:tcW w:w="45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President and Chief Executive Officer of First</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456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Busey Corporation and Chairman of the Board of</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70"/>
        </w:trPr>
        <w:tc>
          <w:tcPr>
            <w:tcW w:w="780" w:type="dxa"/>
            <w:vAlign w:val="bottom"/>
          </w:tcPr>
          <w:p>
            <w:pPr>
              <w:spacing w:after="0"/>
              <w:rPr>
                <w:sz w:val="23"/>
                <w:szCs w:val="23"/>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22"/>
                <w:szCs w:val="22"/>
                <w:color w:val="auto"/>
              </w:rPr>
              <w:t>Busey Bank</w:t>
            </w: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600" w:type="dxa"/>
            <w:vAlign w:val="bottom"/>
          </w:tcPr>
          <w:p>
            <w:pPr>
              <w:spacing w:after="0"/>
              <w:rPr>
                <w:sz w:val="23"/>
                <w:szCs w:val="23"/>
                <w:color w:val="auto"/>
              </w:rPr>
            </w:pP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5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w:t>
            </w:r>
          </w:p>
        </w:tc>
        <w:tc>
          <w:tcPr>
            <w:tcW w:w="46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313131"/>
        </w:rPr>
        <w:t>Signature Page to [•] Agreement and Release</w:t>
      </w:r>
    </w:p>
    <w:p>
      <w:pPr>
        <w:sectPr>
          <w:pgSz w:w="11900" w:h="16838" w:orient="portrait"/>
          <w:cols w:equalWidth="0" w:num="1">
            <w:col w:w="11240"/>
          </w:cols>
          <w:pgMar w:left="320" w:top="1440" w:right="339" w:bottom="1440" w:gutter="0" w:footer="0" w:header="0"/>
        </w:sectPr>
      </w:pPr>
    </w:p>
    <w:bookmarkStart w:id="121" w:name="page122"/>
    <w:bookmarkEnd w:id="121"/>
    <w:p>
      <w:pPr>
        <w:jc w:val="right"/>
        <w:spacing w:after="0"/>
        <w:rPr>
          <w:sz w:val="20"/>
          <w:szCs w:val="20"/>
          <w:color w:val="auto"/>
        </w:rPr>
      </w:pPr>
      <w:r>
        <w:rPr>
          <w:rFonts w:ascii="Verdana" w:cs="Verdana" w:eastAsia="Verdana" w:hAnsi="Verdana"/>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80"/>
        <w:spacing w:after="0"/>
        <w:rPr>
          <w:sz w:val="20"/>
          <w:szCs w:val="20"/>
          <w:color w:val="auto"/>
        </w:rPr>
      </w:pPr>
      <w:r>
        <w:rPr>
          <w:rFonts w:ascii="Verdana" w:cs="Verdana" w:eastAsia="Verdana" w:hAnsi="Verdana"/>
          <w:sz w:val="18"/>
          <w:szCs w:val="18"/>
          <w:b w:val="1"/>
          <w:bCs w:val="1"/>
          <w:color w:val="auto"/>
        </w:rPr>
        <w:t>CERTIFICATION OF PRINCIPAL EXECUTIVE OFFICER</w:t>
      </w:r>
    </w:p>
    <w:p>
      <w:pPr>
        <w:spacing w:after="0" w:line="146" w:lineRule="exact"/>
        <w:rPr>
          <w:sz w:val="20"/>
          <w:szCs w:val="20"/>
          <w:color w:val="auto"/>
        </w:rPr>
      </w:pPr>
    </w:p>
    <w:p>
      <w:pPr>
        <w:spacing w:after="0"/>
        <w:rPr>
          <w:sz w:val="20"/>
          <w:szCs w:val="20"/>
          <w:color w:val="auto"/>
        </w:rPr>
      </w:pPr>
      <w:r>
        <w:rPr>
          <w:rFonts w:ascii="Verdana" w:cs="Verdana" w:eastAsia="Verdana" w:hAnsi="Verdana"/>
          <w:sz w:val="18"/>
          <w:szCs w:val="18"/>
          <w:color w:val="auto"/>
        </w:rPr>
        <w:t>I, Van A. Dukeman, Chairman and Chief Executive Officer of First Busey Corporation, certify that:</w:t>
      </w:r>
    </w:p>
    <w:p>
      <w:pPr>
        <w:spacing w:after="0" w:line="146" w:lineRule="exact"/>
        <w:rPr>
          <w:sz w:val="20"/>
          <w:szCs w:val="20"/>
          <w:color w:val="auto"/>
        </w:rPr>
      </w:pPr>
    </w:p>
    <w:p>
      <w:pPr>
        <w:ind w:left="320" w:hanging="312"/>
        <w:spacing w:after="0"/>
        <w:tabs>
          <w:tab w:leader="none" w:pos="320" w:val="left"/>
        </w:tabs>
        <w:numPr>
          <w:ilvl w:val="0"/>
          <w:numId w:val="68"/>
        </w:numPr>
        <w:rPr>
          <w:rFonts w:ascii="Verdana" w:cs="Verdana" w:eastAsia="Verdana" w:hAnsi="Verdana"/>
          <w:sz w:val="18"/>
          <w:szCs w:val="18"/>
          <w:color w:val="auto"/>
        </w:rPr>
      </w:pPr>
      <w:r>
        <w:rPr>
          <w:rFonts w:ascii="Verdana" w:cs="Verdana" w:eastAsia="Verdana" w:hAnsi="Verdana"/>
          <w:sz w:val="18"/>
          <w:szCs w:val="18"/>
          <w:color w:val="auto"/>
        </w:rPr>
        <w:t>I have reviewed this Quarterly Report on Form 10-Q of First Busey Corporation;</w:t>
      </w:r>
    </w:p>
    <w:p>
      <w:pPr>
        <w:spacing w:after="0" w:line="145" w:lineRule="exact"/>
        <w:rPr>
          <w:rFonts w:ascii="Verdana" w:cs="Verdana" w:eastAsia="Verdana" w:hAnsi="Verdana"/>
          <w:sz w:val="18"/>
          <w:szCs w:val="18"/>
          <w:color w:val="auto"/>
        </w:rPr>
      </w:pPr>
    </w:p>
    <w:p>
      <w:pPr>
        <w:jc w:val="both"/>
        <w:ind w:left="340" w:hanging="332"/>
        <w:spacing w:after="0" w:line="214" w:lineRule="auto"/>
        <w:tabs>
          <w:tab w:leader="none" w:pos="333" w:val="left"/>
        </w:tabs>
        <w:numPr>
          <w:ilvl w:val="0"/>
          <w:numId w:val="68"/>
        </w:numPr>
        <w:rPr>
          <w:rFonts w:ascii="Verdana" w:cs="Verdana" w:eastAsia="Verdana" w:hAnsi="Verdana"/>
          <w:sz w:val="18"/>
          <w:szCs w:val="18"/>
          <w:color w:val="auto"/>
        </w:rPr>
      </w:pPr>
      <w:r>
        <w:rPr>
          <w:rFonts w:ascii="Verdana" w:cs="Verdana" w:eastAsia="Verdana" w:hAnsi="Verdana"/>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0"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68"/>
        </w:numPr>
        <w:rPr>
          <w:rFonts w:ascii="Verdana" w:cs="Verdana" w:eastAsia="Verdana" w:hAnsi="Verdana"/>
          <w:sz w:val="18"/>
          <w:szCs w:val="18"/>
          <w:color w:val="auto"/>
        </w:rPr>
      </w:pPr>
      <w:r>
        <w:rPr>
          <w:rFonts w:ascii="Verdana" w:cs="Verdana" w:eastAsia="Verdana" w:hAnsi="Verdana"/>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6"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68"/>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Verdana" w:cs="Verdana" w:eastAsia="Verdana" w:hAnsi="Verdana"/>
          <w:sz w:val="18"/>
          <w:szCs w:val="18"/>
          <w:color w:val="auto"/>
        </w:rPr>
      </w:pPr>
    </w:p>
    <w:p>
      <w:pPr>
        <w:jc w:val="both"/>
        <w:ind w:left="660" w:hanging="328"/>
        <w:spacing w:after="0" w:line="212" w:lineRule="auto"/>
        <w:tabs>
          <w:tab w:leader="none" w:pos="647" w:val="left"/>
        </w:tabs>
        <w:numPr>
          <w:ilvl w:val="1"/>
          <w:numId w:val="68"/>
        </w:numPr>
        <w:rPr>
          <w:rFonts w:ascii="Verdana" w:cs="Verdana" w:eastAsia="Verdana" w:hAnsi="Verdana"/>
          <w:sz w:val="18"/>
          <w:szCs w:val="18"/>
          <w:color w:val="auto"/>
        </w:rPr>
      </w:pPr>
      <w:r>
        <w:rPr>
          <w:rFonts w:ascii="Verdana" w:cs="Verdana" w:eastAsia="Verdana" w:hAnsi="Verdana"/>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18"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68"/>
        </w:numPr>
        <w:rPr>
          <w:rFonts w:ascii="Verdana" w:cs="Verdana" w:eastAsia="Verdana" w:hAnsi="Verdana"/>
          <w:sz w:val="18"/>
          <w:szCs w:val="18"/>
          <w:color w:val="auto"/>
        </w:rPr>
      </w:pPr>
      <w:r>
        <w:rPr>
          <w:rFonts w:ascii="Verdana" w:cs="Verdana" w:eastAsia="Verdana" w:hAnsi="Verdana"/>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Verdana" w:cs="Verdana" w:eastAsia="Verdana" w:hAnsi="Verdana"/>
          <w:sz w:val="18"/>
          <w:szCs w:val="18"/>
          <w:color w:val="auto"/>
        </w:rPr>
      </w:pPr>
    </w:p>
    <w:p>
      <w:pPr>
        <w:jc w:val="both"/>
        <w:ind w:left="660" w:hanging="328"/>
        <w:spacing w:after="0" w:line="219" w:lineRule="auto"/>
        <w:tabs>
          <w:tab w:leader="none" w:pos="660" w:val="left"/>
        </w:tabs>
        <w:numPr>
          <w:ilvl w:val="1"/>
          <w:numId w:val="68"/>
        </w:numPr>
        <w:rPr>
          <w:rFonts w:ascii="Verdana" w:cs="Verdana" w:eastAsia="Verdana" w:hAnsi="Verdana"/>
          <w:sz w:val="18"/>
          <w:szCs w:val="18"/>
          <w:color w:val="auto"/>
        </w:rPr>
      </w:pPr>
      <w:r>
        <w:rPr>
          <w:rFonts w:ascii="Verdana" w:cs="Verdana" w:eastAsia="Verdana" w:hAnsi="Verdana"/>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16"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68"/>
        </w:numPr>
        <w:rPr>
          <w:rFonts w:ascii="Verdana" w:cs="Verdana" w:eastAsia="Verdana" w:hAnsi="Verdana"/>
          <w:sz w:val="18"/>
          <w:szCs w:val="18"/>
          <w:color w:val="auto"/>
        </w:rPr>
      </w:pPr>
      <w:r>
        <w:rPr>
          <w:rFonts w:ascii="Verdana" w:cs="Verdana" w:eastAsia="Verdana" w:hAnsi="Verdana"/>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Verdana" w:cs="Verdana" w:eastAsia="Verdana" w:hAnsi="Verdana"/>
          <w:sz w:val="18"/>
          <w:szCs w:val="18"/>
          <w:color w:val="auto"/>
        </w:rPr>
      </w:pPr>
    </w:p>
    <w:p>
      <w:pPr>
        <w:jc w:val="both"/>
        <w:ind w:left="340" w:right="20" w:hanging="332"/>
        <w:spacing w:after="0" w:line="214" w:lineRule="auto"/>
        <w:tabs>
          <w:tab w:leader="none" w:pos="333" w:val="left"/>
        </w:tabs>
        <w:numPr>
          <w:ilvl w:val="0"/>
          <w:numId w:val="68"/>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Verdana" w:cs="Verdana" w:eastAsia="Verdana" w:hAnsi="Verdana"/>
          <w:sz w:val="18"/>
          <w:szCs w:val="18"/>
          <w:color w:val="auto"/>
        </w:rPr>
      </w:pPr>
    </w:p>
    <w:p>
      <w:pPr>
        <w:jc w:val="both"/>
        <w:ind w:left="660" w:hanging="328"/>
        <w:spacing w:after="0" w:line="219" w:lineRule="auto"/>
        <w:tabs>
          <w:tab w:leader="none" w:pos="647" w:val="left"/>
        </w:tabs>
        <w:numPr>
          <w:ilvl w:val="1"/>
          <w:numId w:val="68"/>
        </w:numPr>
        <w:rPr>
          <w:rFonts w:ascii="Verdana" w:cs="Verdana" w:eastAsia="Verdana" w:hAnsi="Verdana"/>
          <w:sz w:val="18"/>
          <w:szCs w:val="18"/>
          <w:color w:val="auto"/>
        </w:rPr>
      </w:pPr>
      <w:r>
        <w:rPr>
          <w:rFonts w:ascii="Verdana" w:cs="Verdana" w:eastAsia="Verdana" w:hAnsi="Verdana"/>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Verdana" w:cs="Verdana" w:eastAsia="Verdana" w:hAnsi="Verdana"/>
          <w:sz w:val="18"/>
          <w:szCs w:val="18"/>
          <w:color w:val="auto"/>
        </w:rPr>
      </w:pPr>
    </w:p>
    <w:p>
      <w:pPr>
        <w:ind w:left="660" w:hanging="328"/>
        <w:spacing w:after="0" w:line="232" w:lineRule="auto"/>
        <w:tabs>
          <w:tab w:leader="none" w:pos="651" w:val="left"/>
        </w:tabs>
        <w:numPr>
          <w:ilvl w:val="1"/>
          <w:numId w:val="68"/>
        </w:numPr>
        <w:rPr>
          <w:rFonts w:ascii="Verdana" w:cs="Verdana" w:eastAsia="Verdana" w:hAnsi="Verdana"/>
          <w:sz w:val="18"/>
          <w:szCs w:val="18"/>
          <w:color w:val="auto"/>
        </w:rPr>
      </w:pPr>
      <w:r>
        <w:rPr>
          <w:rFonts w:ascii="Verdana" w:cs="Verdana" w:eastAsia="Verdana" w:hAnsi="Verdana"/>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Van A. Dukeman</w:t>
      </w:r>
    </w:p>
    <w:p>
      <w:pPr>
        <w:spacing w:after="0" w:line="22"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Chairman and Chief Executive Officer</w:t>
      </w:r>
    </w:p>
    <w:p>
      <w:pPr>
        <w:spacing w:after="0" w:line="260" w:lineRule="exact"/>
        <w:rPr>
          <w:sz w:val="20"/>
          <w:szCs w:val="20"/>
          <w:color w:val="auto"/>
        </w:rPr>
      </w:pPr>
    </w:p>
    <w:p>
      <w:pPr>
        <w:spacing w:after="0"/>
        <w:rPr>
          <w:sz w:val="20"/>
          <w:szCs w:val="20"/>
          <w:color w:val="auto"/>
        </w:rPr>
      </w:pPr>
      <w:r>
        <w:rPr>
          <w:rFonts w:ascii="Verdana" w:cs="Verdana" w:eastAsia="Verdana" w:hAnsi="Verdana"/>
          <w:sz w:val="18"/>
          <w:szCs w:val="18"/>
          <w:color w:val="auto"/>
        </w:rPr>
        <w:t>Date: May 7, 2024</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122" w:name="page123"/>
    <w:bookmarkEnd w:id="122"/>
    <w:p>
      <w:pPr>
        <w:jc w:val="right"/>
        <w:spacing w:after="0"/>
        <w:rPr>
          <w:sz w:val="20"/>
          <w:szCs w:val="20"/>
          <w:color w:val="auto"/>
        </w:rPr>
      </w:pPr>
      <w:r>
        <w:rPr>
          <w:rFonts w:ascii="Verdana" w:cs="Verdana" w:eastAsia="Verdana" w:hAnsi="Verdana"/>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960" w:firstLine="2965"/>
        <w:spacing w:after="0" w:line="399" w:lineRule="auto"/>
        <w:rPr>
          <w:sz w:val="20"/>
          <w:szCs w:val="20"/>
          <w:color w:val="auto"/>
        </w:rPr>
      </w:pPr>
      <w:r>
        <w:rPr>
          <w:rFonts w:ascii="Verdana" w:cs="Verdana" w:eastAsia="Verdana" w:hAnsi="Verdana"/>
          <w:sz w:val="18"/>
          <w:szCs w:val="18"/>
          <w:b w:val="1"/>
          <w:bCs w:val="1"/>
          <w:color w:val="auto"/>
        </w:rPr>
        <w:t xml:space="preserve">CERTIFICATION OF PRINCIPAL FINANCIAL OFFICER </w:t>
      </w:r>
      <w:r>
        <w:rPr>
          <w:rFonts w:ascii="Verdana" w:cs="Verdana" w:eastAsia="Verdana" w:hAnsi="Verdana"/>
          <w:sz w:val="18"/>
          <w:szCs w:val="18"/>
          <w:color w:val="auto"/>
        </w:rPr>
        <w:t>I, Jeffrey D. Jones, Chief Financial Officer of First Busey Corporation, certify that:</w:t>
      </w:r>
    </w:p>
    <w:p>
      <w:pPr>
        <w:spacing w:after="0" w:line="2" w:lineRule="exact"/>
        <w:rPr>
          <w:sz w:val="20"/>
          <w:szCs w:val="20"/>
          <w:color w:val="auto"/>
        </w:rPr>
      </w:pPr>
    </w:p>
    <w:p>
      <w:pPr>
        <w:ind w:left="320" w:hanging="312"/>
        <w:spacing w:after="0"/>
        <w:tabs>
          <w:tab w:leader="none" w:pos="320" w:val="left"/>
        </w:tabs>
        <w:numPr>
          <w:ilvl w:val="0"/>
          <w:numId w:val="69"/>
        </w:numPr>
        <w:rPr>
          <w:rFonts w:ascii="Verdana" w:cs="Verdana" w:eastAsia="Verdana" w:hAnsi="Verdana"/>
          <w:sz w:val="18"/>
          <w:szCs w:val="18"/>
          <w:color w:val="auto"/>
        </w:rPr>
      </w:pPr>
      <w:r>
        <w:rPr>
          <w:rFonts w:ascii="Verdana" w:cs="Verdana" w:eastAsia="Verdana" w:hAnsi="Verdana"/>
          <w:sz w:val="18"/>
          <w:szCs w:val="18"/>
          <w:color w:val="auto"/>
        </w:rPr>
        <w:t>I have reviewed this Quarterly Report on Form 10-Q of First Busey Corporation;</w:t>
      </w:r>
    </w:p>
    <w:p>
      <w:pPr>
        <w:spacing w:after="0" w:line="145" w:lineRule="exact"/>
        <w:rPr>
          <w:rFonts w:ascii="Verdana" w:cs="Verdana" w:eastAsia="Verdana" w:hAnsi="Verdana"/>
          <w:sz w:val="18"/>
          <w:szCs w:val="18"/>
          <w:color w:val="auto"/>
        </w:rPr>
      </w:pPr>
    </w:p>
    <w:p>
      <w:pPr>
        <w:jc w:val="both"/>
        <w:ind w:left="340" w:hanging="332"/>
        <w:spacing w:after="0" w:line="214" w:lineRule="auto"/>
        <w:tabs>
          <w:tab w:leader="none" w:pos="333" w:val="left"/>
        </w:tabs>
        <w:numPr>
          <w:ilvl w:val="0"/>
          <w:numId w:val="69"/>
        </w:numPr>
        <w:rPr>
          <w:rFonts w:ascii="Verdana" w:cs="Verdana" w:eastAsia="Verdana" w:hAnsi="Verdana"/>
          <w:sz w:val="18"/>
          <w:szCs w:val="18"/>
          <w:color w:val="auto"/>
        </w:rPr>
      </w:pPr>
      <w:r>
        <w:rPr>
          <w:rFonts w:ascii="Verdana" w:cs="Verdana" w:eastAsia="Verdana" w:hAnsi="Verdana"/>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0"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69"/>
        </w:numPr>
        <w:rPr>
          <w:rFonts w:ascii="Verdana" w:cs="Verdana" w:eastAsia="Verdana" w:hAnsi="Verdana"/>
          <w:sz w:val="18"/>
          <w:szCs w:val="18"/>
          <w:color w:val="auto"/>
        </w:rPr>
      </w:pPr>
      <w:r>
        <w:rPr>
          <w:rFonts w:ascii="Verdana" w:cs="Verdana" w:eastAsia="Verdana" w:hAnsi="Verdana"/>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6"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69"/>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Verdana" w:cs="Verdana" w:eastAsia="Verdana" w:hAnsi="Verdana"/>
          <w:sz w:val="18"/>
          <w:szCs w:val="18"/>
          <w:color w:val="auto"/>
        </w:rPr>
      </w:pPr>
    </w:p>
    <w:p>
      <w:pPr>
        <w:jc w:val="both"/>
        <w:ind w:left="660" w:hanging="328"/>
        <w:spacing w:after="0" w:line="212" w:lineRule="auto"/>
        <w:tabs>
          <w:tab w:leader="none" w:pos="647" w:val="left"/>
        </w:tabs>
        <w:numPr>
          <w:ilvl w:val="1"/>
          <w:numId w:val="69"/>
        </w:numPr>
        <w:rPr>
          <w:rFonts w:ascii="Verdana" w:cs="Verdana" w:eastAsia="Verdana" w:hAnsi="Verdana"/>
          <w:sz w:val="18"/>
          <w:szCs w:val="18"/>
          <w:color w:val="auto"/>
        </w:rPr>
      </w:pPr>
      <w:r>
        <w:rPr>
          <w:rFonts w:ascii="Verdana" w:cs="Verdana" w:eastAsia="Verdana" w:hAnsi="Verdana"/>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18"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69"/>
        </w:numPr>
        <w:rPr>
          <w:rFonts w:ascii="Verdana" w:cs="Verdana" w:eastAsia="Verdana" w:hAnsi="Verdana"/>
          <w:sz w:val="18"/>
          <w:szCs w:val="18"/>
          <w:color w:val="auto"/>
        </w:rPr>
      </w:pPr>
      <w:r>
        <w:rPr>
          <w:rFonts w:ascii="Verdana" w:cs="Verdana" w:eastAsia="Verdana" w:hAnsi="Verdana"/>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Verdana" w:cs="Verdana" w:eastAsia="Verdana" w:hAnsi="Verdana"/>
          <w:sz w:val="18"/>
          <w:szCs w:val="18"/>
          <w:color w:val="auto"/>
        </w:rPr>
      </w:pPr>
    </w:p>
    <w:p>
      <w:pPr>
        <w:jc w:val="both"/>
        <w:ind w:left="660" w:hanging="328"/>
        <w:spacing w:after="0" w:line="219" w:lineRule="auto"/>
        <w:tabs>
          <w:tab w:leader="none" w:pos="660" w:val="left"/>
        </w:tabs>
        <w:numPr>
          <w:ilvl w:val="1"/>
          <w:numId w:val="69"/>
        </w:numPr>
        <w:rPr>
          <w:rFonts w:ascii="Verdana" w:cs="Verdana" w:eastAsia="Verdana" w:hAnsi="Verdana"/>
          <w:sz w:val="18"/>
          <w:szCs w:val="18"/>
          <w:color w:val="auto"/>
        </w:rPr>
      </w:pPr>
      <w:r>
        <w:rPr>
          <w:rFonts w:ascii="Verdana" w:cs="Verdana" w:eastAsia="Verdana" w:hAnsi="Verdana"/>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16"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69"/>
        </w:numPr>
        <w:rPr>
          <w:rFonts w:ascii="Verdana" w:cs="Verdana" w:eastAsia="Verdana" w:hAnsi="Verdana"/>
          <w:sz w:val="18"/>
          <w:szCs w:val="18"/>
          <w:color w:val="auto"/>
        </w:rPr>
      </w:pPr>
      <w:r>
        <w:rPr>
          <w:rFonts w:ascii="Verdana" w:cs="Verdana" w:eastAsia="Verdana" w:hAnsi="Verdana"/>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Verdana" w:cs="Verdana" w:eastAsia="Verdana" w:hAnsi="Verdana"/>
          <w:sz w:val="18"/>
          <w:szCs w:val="18"/>
          <w:color w:val="auto"/>
        </w:rPr>
      </w:pPr>
    </w:p>
    <w:p>
      <w:pPr>
        <w:jc w:val="both"/>
        <w:ind w:left="340" w:right="20" w:hanging="332"/>
        <w:spacing w:after="0" w:line="214" w:lineRule="auto"/>
        <w:tabs>
          <w:tab w:leader="none" w:pos="333" w:val="left"/>
        </w:tabs>
        <w:numPr>
          <w:ilvl w:val="0"/>
          <w:numId w:val="69"/>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Verdana" w:cs="Verdana" w:eastAsia="Verdana" w:hAnsi="Verdana"/>
          <w:sz w:val="18"/>
          <w:szCs w:val="18"/>
          <w:color w:val="auto"/>
        </w:rPr>
      </w:pPr>
    </w:p>
    <w:p>
      <w:pPr>
        <w:jc w:val="both"/>
        <w:ind w:left="660" w:hanging="328"/>
        <w:spacing w:after="0" w:line="219" w:lineRule="auto"/>
        <w:tabs>
          <w:tab w:leader="none" w:pos="647" w:val="left"/>
        </w:tabs>
        <w:numPr>
          <w:ilvl w:val="1"/>
          <w:numId w:val="69"/>
        </w:numPr>
        <w:rPr>
          <w:rFonts w:ascii="Verdana" w:cs="Verdana" w:eastAsia="Verdana" w:hAnsi="Verdana"/>
          <w:sz w:val="18"/>
          <w:szCs w:val="18"/>
          <w:color w:val="auto"/>
        </w:rPr>
      </w:pPr>
      <w:r>
        <w:rPr>
          <w:rFonts w:ascii="Verdana" w:cs="Verdana" w:eastAsia="Verdana" w:hAnsi="Verdana"/>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Verdana" w:cs="Verdana" w:eastAsia="Verdana" w:hAnsi="Verdana"/>
          <w:sz w:val="18"/>
          <w:szCs w:val="18"/>
          <w:color w:val="auto"/>
        </w:rPr>
      </w:pPr>
    </w:p>
    <w:p>
      <w:pPr>
        <w:ind w:left="660" w:hanging="328"/>
        <w:spacing w:after="0" w:line="232" w:lineRule="auto"/>
        <w:tabs>
          <w:tab w:leader="none" w:pos="651" w:val="left"/>
        </w:tabs>
        <w:numPr>
          <w:ilvl w:val="1"/>
          <w:numId w:val="69"/>
        </w:numPr>
        <w:rPr>
          <w:rFonts w:ascii="Verdana" w:cs="Verdana" w:eastAsia="Verdana" w:hAnsi="Verdana"/>
          <w:sz w:val="18"/>
          <w:szCs w:val="18"/>
          <w:color w:val="auto"/>
        </w:rPr>
      </w:pPr>
      <w:r>
        <w:rPr>
          <w:rFonts w:ascii="Verdana" w:cs="Verdana" w:eastAsia="Verdana" w:hAnsi="Verdana"/>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Jeffrey D. Jones</w:t>
      </w:r>
    </w:p>
    <w:p>
      <w:pPr>
        <w:spacing w:after="0" w:line="1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Chief Financial Officer</w:t>
      </w:r>
    </w:p>
    <w:p>
      <w:pPr>
        <w:spacing w:after="0" w:line="254" w:lineRule="exact"/>
        <w:rPr>
          <w:sz w:val="20"/>
          <w:szCs w:val="20"/>
          <w:color w:val="auto"/>
        </w:rPr>
      </w:pPr>
    </w:p>
    <w:p>
      <w:pPr>
        <w:spacing w:after="0"/>
        <w:rPr>
          <w:sz w:val="20"/>
          <w:szCs w:val="20"/>
          <w:color w:val="auto"/>
        </w:rPr>
      </w:pPr>
      <w:r>
        <w:rPr>
          <w:rFonts w:ascii="Verdana" w:cs="Verdana" w:eastAsia="Verdana" w:hAnsi="Verdana"/>
          <w:sz w:val="18"/>
          <w:szCs w:val="18"/>
          <w:color w:val="auto"/>
        </w:rPr>
        <w:t>Date: May 7, 2024</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123" w:name="page124"/>
    <w:bookmarkEnd w:id="123"/>
    <w:p>
      <w:pPr>
        <w:jc w:val="right"/>
        <w:spacing w:after="0"/>
        <w:rPr>
          <w:sz w:val="20"/>
          <w:szCs w:val="20"/>
          <w:color w:val="auto"/>
        </w:rPr>
      </w:pPr>
      <w:r>
        <w:rPr>
          <w:rFonts w:ascii="Verdana" w:cs="Verdana" w:eastAsia="Verdana" w:hAnsi="Verdana"/>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CERTIFICATION</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I hereby certify, pursuant to 18 U.S.C. Section 1350, as adopted pursuant to Section 906 of the Sarbanes-Oxley Act of 2002, that the accompanying Quarterly Report of First Busey Corporation on Form 10-Q for the quarter ended March 31, 2024,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29"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Van A. Dukeman</w:t>
      </w:r>
    </w:p>
    <w:p>
      <w:pPr>
        <w:spacing w:after="0" w:line="22"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Chairman and Chief Executive Officer</w:t>
      </w:r>
    </w:p>
    <w:p>
      <w:pPr>
        <w:spacing w:after="0" w:line="287" w:lineRule="exact"/>
        <w:rPr>
          <w:sz w:val="20"/>
          <w:szCs w:val="20"/>
          <w:color w:val="auto"/>
        </w:rPr>
      </w:pPr>
    </w:p>
    <w:p>
      <w:pPr>
        <w:spacing w:after="0"/>
        <w:rPr>
          <w:sz w:val="20"/>
          <w:szCs w:val="20"/>
          <w:color w:val="auto"/>
        </w:rPr>
      </w:pPr>
      <w:r>
        <w:rPr>
          <w:rFonts w:ascii="Verdana" w:cs="Verdana" w:eastAsia="Verdana" w:hAnsi="Verdana"/>
          <w:sz w:val="18"/>
          <w:szCs w:val="18"/>
          <w:color w:val="auto"/>
        </w:rPr>
        <w:t>Date: May 7, 2024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124" w:name="page125"/>
    <w:bookmarkEnd w:id="124"/>
    <w:p>
      <w:pPr>
        <w:jc w:val="right"/>
        <w:spacing w:after="0"/>
        <w:rPr>
          <w:sz w:val="20"/>
          <w:szCs w:val="20"/>
          <w:color w:val="auto"/>
        </w:rPr>
      </w:pPr>
      <w:r>
        <w:rPr>
          <w:rFonts w:ascii="Verdana" w:cs="Verdana" w:eastAsia="Verdana" w:hAnsi="Verdana"/>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CERTIFICATION</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I hereby certify, pursuant to 18 U.S.C. Section 1350, as adopted pursuant to Section 906 of the Sarbanes-Oxley Act of 2002, that the accompanying Quarterly Report of First Busey Corporation on Form 10-Q for the quarter ended March 31, 2024,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1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3566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5"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Jeffrey D. Jones</w:t>
      </w:r>
    </w:p>
    <w:p>
      <w:pPr>
        <w:spacing w:after="0" w:line="5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Chief Financial Officer</w:t>
      </w:r>
    </w:p>
    <w:p>
      <w:pPr>
        <w:spacing w:after="0" w:line="294" w:lineRule="exact"/>
        <w:rPr>
          <w:sz w:val="20"/>
          <w:szCs w:val="20"/>
          <w:color w:val="auto"/>
        </w:rPr>
      </w:pPr>
    </w:p>
    <w:p>
      <w:pPr>
        <w:spacing w:after="0"/>
        <w:rPr>
          <w:sz w:val="20"/>
          <w:szCs w:val="20"/>
          <w:color w:val="auto"/>
        </w:rPr>
      </w:pPr>
      <w:r>
        <w:rPr>
          <w:rFonts w:ascii="Verdana" w:cs="Verdana" w:eastAsia="Verdana" w:hAnsi="Verdana"/>
          <w:sz w:val="18"/>
          <w:szCs w:val="18"/>
          <w:color w:val="auto"/>
        </w:rPr>
        <w:t>Date: May 7, 2024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o"/>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2"/>
      <w:numFmt w:val="bullet"/>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3"/>
      <w:numFmt w:val="bullet"/>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0"/>
    </w:lvl>
  </w:abstractNum>
  <w:abstractNum w:abstractNumId="28">
    <w:nsid w:val="684A481A"/>
    <w:multiLevelType w:val="hybridMultilevel"/>
    <w:lvl w:ilvl="0">
      <w:lvlJc w:val="left"/>
      <w:lvlText w:val="(%1)"/>
      <w:numFmt w:val="decimal"/>
      <w:start w:val="12"/>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decimal"/>
      <w:start w:val="104"/>
    </w:lvl>
  </w:abstractNum>
  <w:abstractNum w:abstractNumId="33">
    <w:nsid w:val="79A1DEAA"/>
    <w:multiLevelType w:val="hybridMultilevel"/>
    <w:lvl w:ilvl="0">
      <w:lvlJc w:val="left"/>
      <w:lvlText w:val="%1."/>
      <w:numFmt w:val="upperLetter"/>
      <w:start w:val="1"/>
    </w:lvl>
  </w:abstractNum>
  <w:abstractNum w:abstractNumId="34">
    <w:nsid w:val="75C6C33A"/>
    <w:multiLevelType w:val="hybridMultilevel"/>
    <w:lvl w:ilvl="0">
      <w:lvlJc w:val="left"/>
      <w:lvlText w:val="(%1)"/>
      <w:numFmt w:val="decimal"/>
      <w:start w:val="1"/>
    </w:lvl>
    <w:lvl w:ilvl="1">
      <w:lvlJc w:val="left"/>
      <w:lvlText w:val="(%2)"/>
      <w:numFmt w:val="lowerLetter"/>
      <w:start w:val="1"/>
    </w:lvl>
  </w:abstractNum>
  <w:abstractNum w:abstractNumId="35">
    <w:nsid w:val="12E685FB"/>
    <w:multiLevelType w:val="hybridMultilevel"/>
    <w:lvl w:ilvl="0">
      <w:lvlJc w:val="left"/>
      <w:lvlText w:val="(%1)"/>
      <w:numFmt w:val="lowerLetter"/>
      <w:start w:val="2"/>
    </w:lvl>
  </w:abstractNum>
  <w:abstractNum w:abstractNumId="36">
    <w:nsid w:val="70C6A529"/>
    <w:multiLevelType w:val="hybridMultilevel"/>
    <w:lvl w:ilvl="0">
      <w:lvlJc w:val="left"/>
      <w:lvlText w:val="(%1)"/>
      <w:numFmt w:val="lowerLetter"/>
      <w:start w:val="1"/>
    </w:lvl>
  </w:abstractNum>
  <w:abstractNum w:abstractNumId="37">
    <w:nsid w:val="520EEDD1"/>
    <w:multiLevelType w:val="hybridMultilevel"/>
    <w:lvl w:ilvl="0">
      <w:lvlJc w:val="left"/>
      <w:lvlText w:val="(%1)"/>
      <w:numFmt w:val="lowerLetter"/>
      <w:start w:val="4"/>
    </w:lvl>
  </w:abstractNum>
  <w:abstractNum w:abstractNumId="38">
    <w:nsid w:val="374A3FE6"/>
    <w:multiLevelType w:val="hybridMultilevel"/>
    <w:lvl w:ilvl="0">
      <w:lvlJc w:val="left"/>
      <w:lvlText w:val="%1"/>
      <w:numFmt w:val="lowerLetter"/>
      <w:start w:val="1"/>
    </w:lvl>
    <w:lvl w:ilvl="1">
      <w:lvlJc w:val="left"/>
      <w:lvlText w:val="(%2)"/>
      <w:numFmt w:val="lowerLetter"/>
      <w:start w:val="1"/>
    </w:lvl>
  </w:abstractNum>
  <w:abstractNum w:abstractNumId="39">
    <w:nsid w:val="4F4EF005"/>
    <w:multiLevelType w:val="hybridMultilevel"/>
    <w:lvl w:ilvl="0">
      <w:lvlJc w:val="left"/>
      <w:lvlText w:val="(%1)"/>
      <w:numFmt w:val="lowerLetter"/>
      <w:start w:val="35"/>
    </w:lvl>
    <w:lvl w:ilvl="1">
      <w:lvlJc w:val="left"/>
      <w:lvlText w:val="%2"/>
      <w:numFmt w:val="lowerLetter"/>
      <w:start w:val="1"/>
    </w:lvl>
  </w:abstractNum>
  <w:abstractNum w:abstractNumId="40">
    <w:nsid w:val="23F9C13C"/>
    <w:multiLevelType w:val="hybridMultilevel"/>
    <w:lvl w:ilvl="0">
      <w:lvlJc w:val="left"/>
      <w:lvlText w:val="(%1)"/>
      <w:numFmt w:val="lowerLetter"/>
      <w:start w:val="4"/>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1)"/>
      <w:numFmt w:val="lowerLetter"/>
      <w:start w:val="2"/>
    </w:lvl>
  </w:abstractNum>
  <w:abstractNum w:abstractNumId="43">
    <w:nsid w:val="39386575"/>
    <w:multiLevelType w:val="hybridMultilevel"/>
    <w:lvl w:ilvl="0">
      <w:lvlJc w:val="left"/>
      <w:lvlText w:val="(%1)"/>
      <w:numFmt w:val="lowerLetter"/>
      <w:start w:val="1"/>
    </w:lvl>
    <w:lvl w:ilvl="1">
      <w:lvlJc w:val="left"/>
      <w:lvlText w:val="(%2)"/>
      <w:numFmt w:val="lowerRoman"/>
      <w:start w:val="1"/>
    </w:lvl>
  </w:abstractNum>
  <w:abstractNum w:abstractNumId="44">
    <w:nsid w:val="1CF10FD8"/>
    <w:multiLevelType w:val="hybridMultilevel"/>
    <w:lvl w:ilvl="0">
      <w:lvlJc w:val="left"/>
      <w:lvlText w:val="(%1)"/>
      <w:numFmt w:val="lowerLetter"/>
      <w:start w:val="2"/>
    </w:lvl>
    <w:lvl w:ilvl="1">
      <w:lvlJc w:val="left"/>
      <w:lvlText w:val="(%2)"/>
      <w:numFmt w:val="lowerRoman"/>
      <w:start w:val="1"/>
    </w:lvl>
  </w:abstractNum>
  <w:abstractNum w:abstractNumId="45">
    <w:nsid w:val="180115BE"/>
    <w:multiLevelType w:val="hybridMultilevel"/>
    <w:lvl w:ilvl="0">
      <w:lvlJc w:val="left"/>
      <w:lvlText w:val="%1"/>
      <w:numFmt w:val="lowerLetter"/>
      <w:start w:val="1"/>
    </w:lvl>
    <w:lvl w:ilvl="1">
      <w:lvlJc w:val="left"/>
      <w:lvlText w:val="(%2)"/>
      <w:numFmt w:val="lowerRoman"/>
      <w:start w:val="3"/>
    </w:lvl>
  </w:abstractNum>
  <w:abstractNum w:abstractNumId="46">
    <w:nsid w:val="235BA861"/>
    <w:multiLevelType w:val="hybridMultilevel"/>
    <w:lvl w:ilvl="0">
      <w:lvlJc w:val="left"/>
      <w:lvlText w:val="(%1)"/>
      <w:numFmt w:val="lowerLetter"/>
      <w:start w:val="4"/>
    </w:lvl>
    <w:lvl w:ilvl="1">
      <w:lvlJc w:val="left"/>
      <w:lvlText w:val="(%2)"/>
      <w:numFmt w:val="lowerRoman"/>
      <w:start w:val="1"/>
    </w:lvl>
  </w:abstractNum>
  <w:abstractNum w:abstractNumId="47">
    <w:nsid w:val="47398C89"/>
    <w:multiLevelType w:val="hybridMultilevel"/>
    <w:lvl w:ilvl="0">
      <w:lvlJc w:val="left"/>
      <w:lvlText w:val="(%1)"/>
      <w:numFmt w:val="lowerRoman"/>
      <w:start w:val="4"/>
    </w:lvl>
  </w:abstractNum>
  <w:abstractNum w:abstractNumId="48">
    <w:nsid w:val="354FE9F9"/>
    <w:multiLevelType w:val="hybridMultilevel"/>
    <w:lvl w:ilvl="0">
      <w:lvlJc w:val="left"/>
      <w:lvlText w:val="(%1)"/>
      <w:numFmt w:val="lowerLetter"/>
      <w:start w:val="5"/>
    </w:lvl>
  </w:abstractNum>
  <w:abstractNum w:abstractNumId="49">
    <w:nsid w:val="15B5AF5C"/>
    <w:multiLevelType w:val="hybridMultilevel"/>
    <w:lvl w:ilvl="0">
      <w:lvlJc w:val="left"/>
      <w:lvlText w:val="(%1)"/>
      <w:numFmt w:val="lowerLetter"/>
      <w:start w:val="1"/>
    </w:lvl>
  </w:abstractNum>
  <w:abstractNum w:abstractNumId="50">
    <w:nsid w:val="741226BB"/>
    <w:multiLevelType w:val="hybridMultilevel"/>
    <w:lvl w:ilvl="0">
      <w:lvlJc w:val="left"/>
      <w:lvlText w:val="(%1)"/>
      <w:numFmt w:val="lowerLetter"/>
      <w:start w:val="2"/>
    </w:lvl>
  </w:abstractNum>
  <w:abstractNum w:abstractNumId="51">
    <w:nsid w:val="D34B6A8"/>
    <w:multiLevelType w:val="hybridMultilevel"/>
    <w:lvl w:ilvl="0">
      <w:lvlJc w:val="left"/>
      <w:lvlText w:val="(%1)"/>
      <w:numFmt w:val="lowerLetter"/>
      <w:start w:val="2"/>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Letter"/>
      <w:start w:val="1"/>
    </w:lvl>
  </w:abstractNum>
  <w:abstractNum w:abstractNumId="54">
    <w:nsid w:val="61574095"/>
    <w:multiLevelType w:val="hybridMultilevel"/>
    <w:lvl w:ilvl="0">
      <w:lvlJc w:val="left"/>
      <w:lvlText w:val="(%1)"/>
      <w:numFmt w:val="lowerLetter"/>
      <w:start w:val="2"/>
    </w:lvl>
  </w:abstractNum>
  <w:abstractNum w:abstractNumId="55">
    <w:nsid w:val="7E0C57B1"/>
    <w:multiLevelType w:val="hybridMultilevel"/>
    <w:lvl w:ilvl="0">
      <w:lvlJc w:val="left"/>
      <w:lvlText w:val="(%1)"/>
      <w:numFmt w:val="lowerLetter"/>
      <w:start w:val="1"/>
    </w:lvl>
  </w:abstractNum>
  <w:abstractNum w:abstractNumId="56">
    <w:nsid w:val="77AE35EB"/>
    <w:multiLevelType w:val="hybridMultilevel"/>
    <w:lvl w:ilvl="0">
      <w:lvlJc w:val="left"/>
      <w:lvlText w:val="(%1)"/>
      <w:numFmt w:val="lowerLetter"/>
      <w:start w:val="3"/>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Letter"/>
      <w:start w:val="4"/>
    </w:lvl>
  </w:abstractNum>
  <w:abstractNum w:abstractNumId="59">
    <w:nsid w:val="5FF87E05"/>
    <w:multiLevelType w:val="hybridMultilevel"/>
    <w:lvl w:ilvl="0">
      <w:lvlJc w:val="left"/>
      <w:lvlText w:val="(%1)"/>
      <w:numFmt w:val="lowerLetter"/>
      <w:start w:val="10"/>
    </w:lvl>
    <w:lvl w:ilvl="1">
      <w:lvlJc w:val="left"/>
      <w:lvlText w:val="(%2)"/>
      <w:numFmt w:val="lowerRoman"/>
      <w:start w:val="1"/>
    </w:lvl>
  </w:abstractNum>
  <w:abstractNum w:abstractNumId="60">
    <w:nsid w:val="2F305DEF"/>
    <w:multiLevelType w:val="hybridMultilevel"/>
    <w:lvl w:ilvl="0">
      <w:lvlJc w:val="left"/>
      <w:lvlText w:val="(%1)"/>
      <w:numFmt w:val="lowerLetter"/>
      <w:start w:val="1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lowerRoman"/>
      <w:start w:val="1"/>
    </w:lvl>
    <w:lvl w:ilvl="1">
      <w:lvlJc w:val="left"/>
      <w:lvlText w:val="%2."/>
      <w:numFmt w:val="decimal"/>
      <w:start w:val="2"/>
    </w:lvl>
  </w:abstractNum>
  <w:abstractNum w:abstractNumId="63">
    <w:nsid w:val="4AD084E9"/>
    <w:multiLevelType w:val="hybridMultilevel"/>
    <w:lvl w:ilvl="0">
      <w:lvlJc w:val="left"/>
      <w:lvlText w:val="(%1)"/>
      <w:numFmt w:val="lowerRoman"/>
      <w:start w:val="1"/>
    </w:lvl>
    <w:lvl w:ilvl="1">
      <w:lvlJc w:val="left"/>
      <w:lvlText w:val="%2."/>
      <w:numFmt w:val="decimal"/>
      <w:start w:val="3"/>
    </w:lvl>
  </w:abstractNum>
  <w:abstractNum w:abstractNumId="64">
    <w:nsid w:val="1F48EAA1"/>
    <w:multiLevelType w:val="hybridMultilevel"/>
    <w:lvl w:ilvl="0">
      <w:lvlJc w:val="left"/>
      <w:lvlText w:val="(%1)"/>
      <w:numFmt w:val="lowerRoman"/>
      <w:start w:val="1"/>
    </w:lvl>
  </w:abstractNum>
  <w:abstractNum w:abstractNumId="65">
    <w:nsid w:val="1381823A"/>
    <w:multiLevelType w:val="hybridMultilevel"/>
    <w:lvl w:ilvl="0">
      <w:lvlJc w:val="left"/>
      <w:lvlText w:val="(%1)"/>
      <w:numFmt w:val="lowerRoman"/>
      <w:start w:val="2"/>
    </w:lvl>
    <w:lvl w:ilvl="1">
      <w:lvlJc w:val="left"/>
      <w:lvlText w:val="%2."/>
      <w:numFmt w:val="decimal"/>
      <w:start w:val="5"/>
    </w:lvl>
  </w:abstractNum>
  <w:abstractNum w:abstractNumId="66">
    <w:nsid w:val="5DB70AE5"/>
    <w:multiLevelType w:val="hybridMultilevel"/>
    <w:lvl w:ilvl="0">
      <w:lvlJc w:val="left"/>
      <w:lvlText w:val="%1."/>
      <w:numFmt w:val="decimal"/>
      <w:start w:val="8"/>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23" Type="http://schemas.openxmlformats.org/officeDocument/2006/relationships/hyperlink" Target="https://www.sec.gov/Archives/edgar/data/314489/000031448924000057/buse-20231231.htm#i91c5b2e56ae04e0c9c26295734265101_220" TargetMode="External"/><Relationship Id="rId24" Type="http://schemas.openxmlformats.org/officeDocument/2006/relationships/hyperlink" Target="https://www.sec.gov/Archives/edgar/data/314489/000031448924000057/buse-20231231.htm" TargetMode="External"/><Relationship Id="rId27" Type="http://schemas.openxmlformats.org/officeDocument/2006/relationships/hyperlink" Target="https://www.sec.gov/ix?doc=/Archives/edgar/data/314489/000031448924000112/buse-20240401.htm" TargetMode="External"/><Relationship Id="rId64" Type="http://schemas.openxmlformats.org/officeDocument/2006/relationships/hyperlink" Target="https://www.sec.gov/Archives/edgar/data/314489/000104746920002220/a2241264zdef14a.htm" TargetMode="External"/><Relationship Id="rId65" Type="http://schemas.openxmlformats.org/officeDocument/2006/relationships/hyperlink" Target="https://www.sec.gov/ix?doc=/Archives/edgar/data/0000314489/000110465923045566/tm231845d3_def14a.htm" TargetMode="External"/><Relationship Id="rId68" Type="http://schemas.openxmlformats.org/officeDocument/2006/relationships/hyperlink" Target="https://www.sec.gov/Archives/edgar/data/314489/000110465921048078/tm212379-1_def14a.htm#tAPA" TargetMode="External"/><Relationship Id="rId69" Type="http://schemas.openxmlformats.org/officeDocument/2006/relationships/hyperlink" Target="https://www.sec.gov/Archives/edgar/data/314489/000110465921048078/tm212379-1_def14a.htm" TargetMode="External"/><Relationship Id="rId108" Type="http://schemas.openxmlformats.org/officeDocument/2006/relationships/hyperlink" Target="https://www.sec.gov/Archives/edgar/data/314489/000031448924000057/buse-20231231.htm#i91c5b2e56ae04e0c9c26295734265101_238" TargetMode="External"/><Relationship Id="rId117" Type="http://schemas.openxmlformats.org/officeDocument/2006/relationships/hyperlink" Target="https://www.sec.gov/Archives/edgar/data/314489/000031448924000057/buse-20231231.htm#ifbe7a92941164f7d99ac6ae217bb0211" TargetMode="External"/><Relationship Id="rId144" Type="http://schemas.openxmlformats.org/officeDocument/2006/relationships/hyperlink" Target="https://www.sec.gov/Archives/edgar/data/314489/000031448924000057/buse-20231231.htm#i91c5b2e56ae04e0c9c26295734265101_241" TargetMode="External"/><Relationship Id="rId149" Type="http://schemas.openxmlformats.org/officeDocument/2006/relationships/hyperlink" Target="https://www.sec.gov/Archives/edgar/data/314489/000031448924000057/buse-20231231.htm#i91c5b2e56ae04e0c9c26295734265101_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2024-05-07T15:27:20Z</dcterms:created>
  <dcterms:modified xsi:type="dcterms:W3CDTF">2024-05-07T15:27:20Z</dcterms:modified>
</cp:coreProperties>
</file>