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700405</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 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-199390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5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126" w:lineRule="exact"/>
        <w:rPr>
          <w:sz w:val="24"/>
          <w:szCs w:val="24"/>
          <w:color w:val="auto"/>
        </w:rPr>
      </w:pPr>
    </w:p>
    <w:p>
      <w:pPr>
        <w:ind w:left="2640" w:right="1599" w:hanging="2375"/>
        <w:spacing w:after="0" w:line="305" w:lineRule="auto"/>
        <w:tabs>
          <w:tab w:leader="none" w:pos="630" w:val="left"/>
        </w:tabs>
        <w:numPr>
          <w:ilvl w:val="0"/>
          <w:numId w:val="1"/>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Quarterly Report Pursuant to Section 13 or 15(d) of the Securities Exchange Act of 1934 For the Quarterly Period Ended March 31, 2021</w:t>
      </w:r>
    </w:p>
    <w:p>
      <w:pPr>
        <w:spacing w:after="0" w:line="30" w:lineRule="exact"/>
        <w:rPr>
          <w:sz w:val="24"/>
          <w:szCs w:val="24"/>
          <w:color w:val="auto"/>
        </w:rPr>
      </w:pPr>
    </w:p>
    <w:p>
      <w:pPr>
        <w:ind w:left="3380" w:right="1579" w:hanging="3115"/>
        <w:spacing w:after="0" w:line="336" w:lineRule="auto"/>
        <w:tabs>
          <w:tab w:leader="none" w:pos="632"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 Commission File No. 0-15950</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FIRST BUSEY CORPORATION</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72" w:lineRule="exact"/>
        <w:rPr>
          <w:sz w:val="24"/>
          <w:szCs w:val="24"/>
          <w:color w:val="auto"/>
        </w:rPr>
      </w:pPr>
    </w:p>
    <w:tbl>
      <w:tblPr>
        <w:tblLayout w:type="fixed"/>
        <w:tblInd w:w="660" w:type="dxa"/>
        <w:tblCellMar>
          <w:top w:w="0" w:type="dxa"/>
          <w:left w:w="0" w:type="dxa"/>
          <w:bottom w:w="0" w:type="dxa"/>
          <w:right w:w="0" w:type="dxa"/>
        </w:tblCellMar>
      </w:tblPr>
      <w:tr>
        <w:trPr>
          <w:trHeight w:val="207"/>
        </w:trPr>
        <w:tc>
          <w:tcPr>
            <w:tcW w:w="3960" w:type="dxa"/>
            <w:vAlign w:val="bottom"/>
          </w:tcPr>
          <w:p>
            <w:pPr>
              <w:jc w:val="center"/>
              <w:ind w:right="770"/>
              <w:spacing w:after="0"/>
              <w:rPr>
                <w:sz w:val="20"/>
                <w:szCs w:val="20"/>
                <w:color w:val="auto"/>
              </w:rPr>
            </w:pPr>
            <w:r>
              <w:rPr>
                <w:rFonts w:ascii="Arial" w:cs="Arial" w:eastAsia="Arial" w:hAnsi="Arial"/>
                <w:sz w:val="18"/>
                <w:szCs w:val="18"/>
                <w:b w:val="1"/>
                <w:bCs w:val="1"/>
                <w:color w:val="auto"/>
                <w:w w:val="90"/>
              </w:rPr>
              <w:t>Nevada</w:t>
            </w:r>
          </w:p>
        </w:tc>
        <w:tc>
          <w:tcPr>
            <w:tcW w:w="3480" w:type="dxa"/>
            <w:vAlign w:val="bottom"/>
          </w:tcPr>
          <w:p>
            <w:pPr>
              <w:jc w:val="right"/>
              <w:ind w:right="770"/>
              <w:spacing w:after="0"/>
              <w:rPr>
                <w:sz w:val="20"/>
                <w:szCs w:val="20"/>
                <w:color w:val="auto"/>
              </w:rPr>
            </w:pPr>
            <w:r>
              <w:rPr>
                <w:rFonts w:ascii="Arial" w:cs="Arial" w:eastAsia="Arial" w:hAnsi="Arial"/>
                <w:sz w:val="18"/>
                <w:szCs w:val="18"/>
                <w:b w:val="1"/>
                <w:bCs w:val="1"/>
                <w:color w:val="auto"/>
              </w:rPr>
              <w:t>37-1078406</w:t>
            </w:r>
          </w:p>
        </w:tc>
      </w:tr>
      <w:tr>
        <w:trPr>
          <w:trHeight w:val="202"/>
        </w:trPr>
        <w:tc>
          <w:tcPr>
            <w:tcW w:w="3960" w:type="dxa"/>
            <w:vAlign w:val="bottom"/>
          </w:tcPr>
          <w:p>
            <w:pPr>
              <w:jc w:val="center"/>
              <w:ind w:right="770"/>
              <w:spacing w:after="0" w:line="202" w:lineRule="exact"/>
              <w:rPr>
                <w:sz w:val="20"/>
                <w:szCs w:val="20"/>
                <w:color w:val="auto"/>
              </w:rPr>
            </w:pPr>
            <w:r>
              <w:rPr>
                <w:rFonts w:ascii="Arial" w:cs="Arial" w:eastAsia="Arial" w:hAnsi="Arial"/>
                <w:sz w:val="18"/>
                <w:szCs w:val="18"/>
                <w:color w:val="auto"/>
                <w:w w:val="92"/>
              </w:rPr>
              <w:t>(State or other jurisdiction of incorporation</w:t>
            </w:r>
          </w:p>
        </w:tc>
        <w:tc>
          <w:tcPr>
            <w:tcW w:w="3480" w:type="dxa"/>
            <w:vAlign w:val="bottom"/>
          </w:tcPr>
          <w:p>
            <w:pPr>
              <w:jc w:val="center"/>
              <w:ind w:left="790"/>
              <w:spacing w:after="0" w:line="202" w:lineRule="exact"/>
              <w:rPr>
                <w:sz w:val="20"/>
                <w:szCs w:val="20"/>
                <w:color w:val="auto"/>
              </w:rPr>
            </w:pPr>
            <w:r>
              <w:rPr>
                <w:rFonts w:ascii="Arial" w:cs="Arial" w:eastAsia="Arial" w:hAnsi="Arial"/>
                <w:sz w:val="18"/>
                <w:szCs w:val="18"/>
                <w:color w:val="auto"/>
                <w:w w:val="93"/>
              </w:rPr>
              <w:t>(I.R.S. Employer Identification No.)</w:t>
            </w:r>
          </w:p>
        </w:tc>
      </w:tr>
      <w:tr>
        <w:trPr>
          <w:trHeight w:val="212"/>
        </w:trPr>
        <w:tc>
          <w:tcPr>
            <w:tcW w:w="3960" w:type="dxa"/>
            <w:vAlign w:val="bottom"/>
          </w:tcPr>
          <w:p>
            <w:pPr>
              <w:jc w:val="center"/>
              <w:ind w:right="790"/>
              <w:spacing w:after="0"/>
              <w:rPr>
                <w:sz w:val="20"/>
                <w:szCs w:val="20"/>
                <w:color w:val="auto"/>
              </w:rPr>
            </w:pPr>
            <w:r>
              <w:rPr>
                <w:rFonts w:ascii="Arial" w:cs="Arial" w:eastAsia="Arial" w:hAnsi="Arial"/>
                <w:sz w:val="18"/>
                <w:szCs w:val="18"/>
                <w:color w:val="auto"/>
                <w:w w:val="92"/>
              </w:rPr>
              <w:t>or organization)</w:t>
            </w:r>
          </w:p>
        </w:tc>
        <w:tc>
          <w:tcPr>
            <w:tcW w:w="3480" w:type="dxa"/>
            <w:vAlign w:val="bottom"/>
          </w:tcPr>
          <w:p>
            <w:pPr>
              <w:spacing w:after="0"/>
              <w:rPr>
                <w:sz w:val="18"/>
                <w:szCs w:val="18"/>
                <w:color w:val="auto"/>
              </w:rPr>
            </w:pPr>
          </w:p>
        </w:tc>
      </w:tr>
      <w:tr>
        <w:trPr>
          <w:trHeight w:val="203"/>
        </w:trPr>
        <w:tc>
          <w:tcPr>
            <w:tcW w:w="3960" w:type="dxa"/>
            <w:vAlign w:val="bottom"/>
          </w:tcPr>
          <w:p>
            <w:pPr>
              <w:jc w:val="center"/>
              <w:ind w:right="770"/>
              <w:spacing w:after="0" w:line="202" w:lineRule="exact"/>
              <w:rPr>
                <w:sz w:val="20"/>
                <w:szCs w:val="20"/>
                <w:color w:val="auto"/>
              </w:rPr>
            </w:pPr>
            <w:r>
              <w:rPr>
                <w:rFonts w:ascii="Arial" w:cs="Arial" w:eastAsia="Arial" w:hAnsi="Arial"/>
                <w:sz w:val="18"/>
                <w:szCs w:val="18"/>
                <w:b w:val="1"/>
                <w:bCs w:val="1"/>
                <w:color w:val="auto"/>
                <w:w w:val="90"/>
              </w:rPr>
              <w:t>100 W. University Ave.</w:t>
            </w:r>
          </w:p>
        </w:tc>
        <w:tc>
          <w:tcPr>
            <w:tcW w:w="3480" w:type="dxa"/>
            <w:vAlign w:val="bottom"/>
          </w:tcPr>
          <w:p>
            <w:pPr>
              <w:spacing w:after="0"/>
              <w:rPr>
                <w:sz w:val="17"/>
                <w:szCs w:val="17"/>
                <w:color w:val="auto"/>
              </w:rPr>
            </w:pPr>
          </w:p>
        </w:tc>
      </w:tr>
      <w:tr>
        <w:trPr>
          <w:trHeight w:val="207"/>
        </w:trPr>
        <w:tc>
          <w:tcPr>
            <w:tcW w:w="3960" w:type="dxa"/>
            <w:vAlign w:val="bottom"/>
          </w:tcPr>
          <w:p>
            <w:pPr>
              <w:jc w:val="center"/>
              <w:ind w:right="790"/>
              <w:spacing w:after="0"/>
              <w:rPr>
                <w:sz w:val="20"/>
                <w:szCs w:val="20"/>
                <w:color w:val="auto"/>
              </w:rPr>
            </w:pPr>
            <w:r>
              <w:rPr>
                <w:rFonts w:ascii="Arial" w:cs="Arial" w:eastAsia="Arial" w:hAnsi="Arial"/>
                <w:sz w:val="18"/>
                <w:szCs w:val="18"/>
                <w:b w:val="1"/>
                <w:bCs w:val="1"/>
                <w:color w:val="auto"/>
                <w:w w:val="92"/>
              </w:rPr>
              <w:t>Champaign, Illinois</w:t>
            </w:r>
          </w:p>
        </w:tc>
        <w:tc>
          <w:tcPr>
            <w:tcW w:w="3480" w:type="dxa"/>
            <w:vAlign w:val="bottom"/>
          </w:tcPr>
          <w:p>
            <w:pPr>
              <w:jc w:val="right"/>
              <w:ind w:right="990"/>
              <w:spacing w:after="0"/>
              <w:rPr>
                <w:sz w:val="20"/>
                <w:szCs w:val="20"/>
                <w:color w:val="auto"/>
              </w:rPr>
            </w:pPr>
            <w:r>
              <w:rPr>
                <w:rFonts w:ascii="Arial" w:cs="Arial" w:eastAsia="Arial" w:hAnsi="Arial"/>
                <w:sz w:val="18"/>
                <w:szCs w:val="18"/>
                <w:b w:val="1"/>
                <w:bCs w:val="1"/>
                <w:color w:val="auto"/>
              </w:rPr>
              <w:t>61820</w:t>
            </w:r>
          </w:p>
        </w:tc>
      </w:tr>
      <w:tr>
        <w:trPr>
          <w:trHeight w:val="230"/>
        </w:trPr>
        <w:tc>
          <w:tcPr>
            <w:tcW w:w="3960" w:type="dxa"/>
            <w:vAlign w:val="bottom"/>
          </w:tcPr>
          <w:p>
            <w:pPr>
              <w:jc w:val="center"/>
              <w:ind w:right="790"/>
              <w:spacing w:after="0"/>
              <w:rPr>
                <w:sz w:val="20"/>
                <w:szCs w:val="20"/>
                <w:color w:val="auto"/>
              </w:rPr>
            </w:pPr>
            <w:r>
              <w:rPr>
                <w:rFonts w:ascii="Arial" w:cs="Arial" w:eastAsia="Arial" w:hAnsi="Arial"/>
                <w:sz w:val="18"/>
                <w:szCs w:val="18"/>
                <w:color w:val="auto"/>
                <w:w w:val="92"/>
              </w:rPr>
              <w:t>(Address of principal executive offices)</w:t>
            </w:r>
          </w:p>
        </w:tc>
        <w:tc>
          <w:tcPr>
            <w:tcW w:w="3480" w:type="dxa"/>
            <w:vAlign w:val="bottom"/>
          </w:tcPr>
          <w:p>
            <w:pPr>
              <w:jc w:val="center"/>
              <w:ind w:left="790"/>
              <w:spacing w:after="0"/>
              <w:rPr>
                <w:sz w:val="20"/>
                <w:szCs w:val="20"/>
                <w:color w:val="auto"/>
              </w:rPr>
            </w:pPr>
            <w:r>
              <w:rPr>
                <w:rFonts w:ascii="Arial" w:cs="Arial" w:eastAsia="Arial" w:hAnsi="Arial"/>
                <w:sz w:val="18"/>
                <w:szCs w:val="18"/>
                <w:color w:val="auto"/>
                <w:w w:val="93"/>
              </w:rPr>
              <w:t>(Zip code)</w:t>
            </w:r>
          </w:p>
        </w:tc>
      </w:tr>
    </w:tbl>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(217) 365-4544</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16" w:lineRule="exact"/>
        <w:rPr>
          <w:sz w:val="24"/>
          <w:szCs w:val="24"/>
          <w:color w:val="auto"/>
        </w:rPr>
      </w:pPr>
    </w:p>
    <w:p>
      <w:pPr>
        <w:ind w:left="1540"/>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74" w:lineRule="exact"/>
        <w:rPr>
          <w:sz w:val="24"/>
          <w:szCs w:val="24"/>
          <w:color w:val="auto"/>
        </w:rPr>
      </w:pPr>
    </w:p>
    <w:p>
      <w:pPr>
        <w:ind w:left="6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00" w:lineRule="exact"/>
        <w:rPr>
          <w:sz w:val="24"/>
          <w:szCs w:val="24"/>
          <w:color w:val="auto"/>
        </w:rPr>
      </w:pPr>
    </w:p>
    <w:tbl>
      <w:tblPr>
        <w:tblLayout w:type="fixed"/>
        <w:tblInd w:w="60" w:type="dxa"/>
        <w:tblCellMar>
          <w:top w:w="0" w:type="dxa"/>
          <w:left w:w="0" w:type="dxa"/>
          <w:bottom w:w="0" w:type="dxa"/>
          <w:right w:w="0" w:type="dxa"/>
        </w:tblCellMar>
      </w:tblPr>
      <w:tr>
        <w:trPr>
          <w:trHeight w:val="221"/>
        </w:trPr>
        <w:tc>
          <w:tcPr>
            <w:tcW w:w="2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Trading Symbol (s)</w:t>
            </w:r>
          </w:p>
        </w:tc>
        <w:tc>
          <w:tcPr>
            <w:tcW w:w="4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2820" w:type="dxa"/>
            <w:vAlign w:val="bottom"/>
          </w:tcPr>
          <w:p>
            <w:pPr>
              <w:jc w:val="center"/>
              <w:spacing w:after="0"/>
              <w:rPr>
                <w:sz w:val="20"/>
                <w:szCs w:val="20"/>
                <w:color w:val="auto"/>
              </w:rPr>
            </w:pPr>
            <w:r>
              <w:rPr>
                <w:rFonts w:ascii="Arial" w:cs="Arial" w:eastAsia="Arial" w:hAnsi="Arial"/>
                <w:sz w:val="18"/>
                <w:szCs w:val="18"/>
                <w:color w:val="auto"/>
                <w:w w:val="90"/>
              </w:rPr>
              <w:t>Common Stock, $.001 par value</w:t>
            </w:r>
          </w:p>
        </w:tc>
        <w:tc>
          <w:tcPr>
            <w:tcW w:w="2020" w:type="dxa"/>
            <w:vAlign w:val="bottom"/>
          </w:tcPr>
          <w:p>
            <w:pPr>
              <w:jc w:val="center"/>
              <w:spacing w:after="0"/>
              <w:rPr>
                <w:sz w:val="20"/>
                <w:szCs w:val="20"/>
                <w:color w:val="auto"/>
              </w:rPr>
            </w:pPr>
            <w:r>
              <w:rPr>
                <w:rFonts w:ascii="Arial" w:cs="Arial" w:eastAsia="Arial" w:hAnsi="Arial"/>
                <w:sz w:val="18"/>
                <w:szCs w:val="18"/>
                <w:color w:val="auto"/>
                <w:w w:val="93"/>
              </w:rPr>
              <w:t>BUSE</w:t>
            </w:r>
          </w:p>
        </w:tc>
        <w:tc>
          <w:tcPr>
            <w:tcW w:w="4060" w:type="dxa"/>
            <w:vAlign w:val="bottom"/>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52" w:lineRule="exact"/>
        <w:rPr>
          <w:sz w:val="24"/>
          <w:szCs w:val="24"/>
          <w:color w:val="auto"/>
        </w:rPr>
      </w:pPr>
    </w:p>
    <w:p>
      <w:pPr>
        <w:ind w:left="60" w:right="399"/>
        <w:spacing w:after="0" w:line="218"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49" w:lineRule="exact"/>
        <w:rPr>
          <w:sz w:val="24"/>
          <w:szCs w:val="24"/>
          <w:color w:val="auto"/>
        </w:rPr>
      </w:pPr>
    </w:p>
    <w:p>
      <w:pPr>
        <w:ind w:left="60" w:right="239"/>
        <w:spacing w:after="0" w:line="219"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47" w:lineRule="exact"/>
        <w:rPr>
          <w:sz w:val="24"/>
          <w:szCs w:val="24"/>
          <w:color w:val="auto"/>
        </w:rPr>
      </w:pPr>
    </w:p>
    <w:p>
      <w:pPr>
        <w:ind w:left="60" w:right="219"/>
        <w:spacing w:after="0" w:line="270"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019"/>
          </w:cols>
          <w:pgMar w:left="1440" w:top="665" w:right="1440" w:bottom="1440" w:gutter="0" w:footer="0" w:header="0"/>
        </w:sectPr>
      </w:pPr>
    </w:p>
    <w:p>
      <w:pPr>
        <w:spacing w:after="0" w:line="56" w:lineRule="exact"/>
        <w:rPr>
          <w:sz w:val="24"/>
          <w:szCs w:val="24"/>
          <w:color w:val="auto"/>
        </w:rPr>
      </w:pPr>
    </w:p>
    <w:p>
      <w:pPr>
        <w:ind w:left="500"/>
        <w:spacing w:after="0" w:line="324" w:lineRule="auto"/>
        <w:rPr>
          <w:sz w:val="20"/>
          <w:szCs w:val="20"/>
          <w:color w:val="auto"/>
        </w:rPr>
      </w:pPr>
      <w:r>
        <w:rPr>
          <w:rFonts w:ascii="Arial" w:cs="Arial" w:eastAsia="Arial" w:hAnsi="Arial"/>
          <w:sz w:val="16"/>
          <w:szCs w:val="16"/>
          <w:color w:val="auto"/>
        </w:rPr>
        <w:t>Large accelerated filer Smaller reporting company</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8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jc w:val="both"/>
        <w:ind w:right="200" w:firstLine="762"/>
        <w:spacing w:after="0" w:line="243"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Emerging growth company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348" w:lineRule="exact"/>
        <w:rPr>
          <w:sz w:val="24"/>
          <w:szCs w:val="24"/>
          <w:color w:val="auto"/>
        </w:rPr>
      </w:pPr>
    </w:p>
    <w:p>
      <w:pPr>
        <w:sectPr>
          <w:pgSz w:w="11900" w:h="16838" w:orient="portrait"/>
          <w:cols w:equalWidth="0" w:num="4">
            <w:col w:w="2480" w:space="160"/>
            <w:col w:w="320" w:space="720"/>
            <w:col w:w="2380" w:space="720"/>
            <w:col w:w="2239"/>
          </w:cols>
          <w:pgMar w:left="1440" w:top="665" w:right="1440" w:bottom="1440" w:gutter="0" w:footer="0" w:header="0"/>
          <w:type w:val="continuous"/>
        </w:sectPr>
      </w:pPr>
    </w:p>
    <w:p>
      <w:pPr>
        <w:jc w:val="both"/>
        <w:ind w:left="60" w:right="439"/>
        <w:spacing w:after="0" w:line="21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7" w:lineRule="exact"/>
        <w:rPr>
          <w:sz w:val="24"/>
          <w:szCs w:val="24"/>
          <w:color w:val="auto"/>
        </w:rPr>
      </w:pPr>
    </w:p>
    <w:p>
      <w:pPr>
        <w:ind w:left="60"/>
        <w:spacing w:after="0"/>
        <w:rPr>
          <w:sz w:val="20"/>
          <w:szCs w:val="20"/>
          <w:color w:val="auto"/>
        </w:rPr>
      </w:pPr>
      <w:r>
        <w:rPr>
          <w:rFonts w:ascii="Arial" w:cs="Arial" w:eastAsia="Arial" w:hAnsi="Arial"/>
          <w:sz w:val="17"/>
          <w:szCs w:val="17"/>
          <w:color w:val="auto"/>
        </w:rPr>
        <w:t>Indicate by check mark whether the registrant is a shell company (as defined in Rule 12b-2 of the Exchange Act). Yes</w:t>
      </w:r>
    </w:p>
    <w:p>
      <w:pPr>
        <w:spacing w:after="0" w:line="16" w:lineRule="exact"/>
        <w:rPr>
          <w:sz w:val="24"/>
          <w:szCs w:val="24"/>
          <w:color w:val="auto"/>
        </w:rPr>
      </w:pPr>
    </w:p>
    <w:p>
      <w:pPr>
        <w:ind w:left="300" w:hanging="250"/>
        <w:spacing w:after="0" w:line="207" w:lineRule="exact"/>
        <w:tabs>
          <w:tab w:leader="none" w:pos="3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81" w:lineRule="exact"/>
        <w:rPr>
          <w:sz w:val="24"/>
          <w:szCs w:val="24"/>
          <w:color w:val="auto"/>
        </w:rPr>
      </w:pPr>
    </w:p>
    <w:p>
      <w:pPr>
        <w:ind w:left="60"/>
        <w:spacing w:after="0"/>
        <w:rPr>
          <w:sz w:val="20"/>
          <w:szCs w:val="20"/>
          <w:color w:val="auto"/>
        </w:rPr>
      </w:pPr>
      <w:r>
        <w:rPr>
          <w:rFonts w:ascii="Arial" w:cs="Arial" w:eastAsia="Arial" w:hAnsi="Arial"/>
          <w:sz w:val="16"/>
          <w:szCs w:val="16"/>
          <w:color w:val="auto"/>
        </w:rPr>
        <w:t>Indicate the number of shares outstanding of each of the issuer’s classes of common stock, as of the latest practicable date.</w:t>
      </w:r>
    </w:p>
    <w:p>
      <w:pPr>
        <w:spacing w:after="0" w:line="42" w:lineRule="exact"/>
        <w:rPr>
          <w:sz w:val="24"/>
          <w:szCs w:val="24"/>
          <w:color w:val="auto"/>
        </w:rPr>
      </w:pPr>
    </w:p>
    <w:tbl>
      <w:tblPr>
        <w:tblLayout w:type="fixed"/>
        <w:tblInd w:w="40" w:type="dxa"/>
        <w:tblCellMar>
          <w:top w:w="0" w:type="dxa"/>
          <w:left w:w="0" w:type="dxa"/>
          <w:bottom w:w="0" w:type="dxa"/>
          <w:right w:w="0" w:type="dxa"/>
        </w:tblCellMar>
      </w:tblPr>
      <w:tr>
        <w:trPr>
          <w:trHeight w:val="207"/>
        </w:trPr>
        <w:tc>
          <w:tcPr>
            <w:tcW w:w="920" w:type="dxa"/>
            <w:vAlign w:val="bottom"/>
          </w:tcPr>
          <w:p>
            <w:pPr>
              <w:spacing w:after="0"/>
              <w:rPr>
                <w:sz w:val="18"/>
                <w:szCs w:val="18"/>
                <w:color w:val="auto"/>
              </w:rPr>
            </w:pPr>
          </w:p>
        </w:tc>
        <w:tc>
          <w:tcPr>
            <w:tcW w:w="36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Class</w:t>
            </w:r>
          </w:p>
        </w:tc>
        <w:tc>
          <w:tcPr>
            <w:tcW w:w="4340" w:type="dxa"/>
            <w:vAlign w:val="bottom"/>
            <w:gridSpan w:val="2"/>
          </w:tcPr>
          <w:p>
            <w:pPr>
              <w:jc w:val="center"/>
              <w:ind w:right="900"/>
              <w:spacing w:after="0"/>
              <w:rPr>
                <w:sz w:val="20"/>
                <w:szCs w:val="20"/>
                <w:color w:val="auto"/>
              </w:rPr>
            </w:pPr>
            <w:r>
              <w:rPr>
                <w:rFonts w:ascii="Arial" w:cs="Arial" w:eastAsia="Arial" w:hAnsi="Arial"/>
                <w:sz w:val="18"/>
                <w:szCs w:val="18"/>
                <w:b w:val="1"/>
                <w:bCs w:val="1"/>
                <w:color w:val="auto"/>
                <w:w w:val="91"/>
              </w:rPr>
              <w:t>Outstanding at May 6, 2021</w:t>
            </w:r>
          </w:p>
        </w:tc>
      </w:tr>
      <w:tr>
        <w:trPr>
          <w:trHeight w:val="210"/>
        </w:trPr>
        <w:tc>
          <w:tcPr>
            <w:tcW w:w="920" w:type="dxa"/>
            <w:vAlign w:val="bottom"/>
            <w:tcBorders>
              <w:bottom w:val="single" w:sz="8" w:color="auto"/>
            </w:tcBorders>
          </w:tcPr>
          <w:p>
            <w:pPr>
              <w:spacing w:after="0"/>
              <w:rPr>
                <w:sz w:val="18"/>
                <w:szCs w:val="18"/>
                <w:color w:val="auto"/>
              </w:rPr>
            </w:pPr>
          </w:p>
        </w:tc>
        <w:tc>
          <w:tcPr>
            <w:tcW w:w="34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0"/>
              </w:rPr>
              <w:t>Common Stock, $.001 par value</w:t>
            </w:r>
          </w:p>
        </w:tc>
        <w:tc>
          <w:tcPr>
            <w:tcW w:w="260" w:type="dxa"/>
            <w:vAlign w:val="bottom"/>
            <w:tcBorders>
              <w:bottom w:val="single" w:sz="8" w:color="auto"/>
            </w:tcBorders>
          </w:tcPr>
          <w:p>
            <w:pPr>
              <w:spacing w:after="0"/>
              <w:rPr>
                <w:sz w:val="18"/>
                <w:szCs w:val="18"/>
                <w:color w:val="auto"/>
              </w:rPr>
            </w:pPr>
          </w:p>
        </w:tc>
        <w:tc>
          <w:tcPr>
            <w:tcW w:w="3440" w:type="dxa"/>
            <w:vAlign w:val="bottom"/>
            <w:tcBorders>
              <w:top w:val="single" w:sz="8" w:color="auto"/>
              <w:bottom w:val="single" w:sz="8" w:color="auto"/>
            </w:tcBorders>
          </w:tcPr>
          <w:p>
            <w:pPr>
              <w:jc w:val="right"/>
              <w:ind w:right="1230"/>
              <w:spacing w:after="0"/>
              <w:rPr>
                <w:sz w:val="20"/>
                <w:szCs w:val="20"/>
                <w:color w:val="auto"/>
              </w:rPr>
            </w:pPr>
            <w:r>
              <w:rPr>
                <w:rFonts w:ascii="Arial" w:cs="Arial" w:eastAsia="Arial" w:hAnsi="Arial"/>
                <w:sz w:val="18"/>
                <w:szCs w:val="18"/>
                <w:color w:val="auto"/>
              </w:rPr>
              <w:t>54,280,379</w:t>
            </w:r>
          </w:p>
        </w:tc>
        <w:tc>
          <w:tcPr>
            <w:tcW w:w="900" w:type="dxa"/>
            <w:vAlign w:val="bottom"/>
            <w:tcBorders>
              <w:bottom w:val="single" w:sz="8" w:color="auto"/>
            </w:tcBorders>
          </w:tcPr>
          <w:p>
            <w:pPr>
              <w:spacing w:after="0"/>
              <w:rPr>
                <w:sz w:val="18"/>
                <w:szCs w:val="18"/>
                <w:color w:val="auto"/>
              </w:rPr>
            </w:pPr>
          </w:p>
        </w:tc>
      </w:tr>
      <w:tr>
        <w:trPr>
          <w:trHeight w:val="81"/>
        </w:trPr>
        <w:tc>
          <w:tcPr>
            <w:tcW w:w="920" w:type="dxa"/>
            <w:vAlign w:val="bottom"/>
            <w:tcBorders>
              <w:bottom w:val="single" w:sz="8" w:color="auto"/>
            </w:tcBorders>
          </w:tcPr>
          <w:p>
            <w:pPr>
              <w:spacing w:after="0"/>
              <w:rPr>
                <w:sz w:val="7"/>
                <w:szCs w:val="7"/>
                <w:color w:val="auto"/>
              </w:rPr>
            </w:pPr>
          </w:p>
        </w:tc>
        <w:tc>
          <w:tcPr>
            <w:tcW w:w="340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344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r>
      <w:tr>
        <w:trPr>
          <w:trHeight w:val="547"/>
        </w:trPr>
        <w:tc>
          <w:tcPr>
            <w:tcW w:w="92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665" w:right="1440" w:bottom="1440" w:gutter="0" w:footer="0" w:header="0"/>
          <w:type w:val="continuous"/>
        </w:sectPr>
      </w:pPr>
    </w:p>
    <w:bookmarkStart w:id="1" w:name="page2"/>
    <w:bookmarkEnd w:id="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FIRST BUSEY CORPORATION</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jc w:val="center"/>
        <w:ind w:right="19"/>
        <w:spacing w:after="0"/>
        <w:rPr>
          <w:sz w:val="20"/>
          <w:szCs w:val="20"/>
          <w:color w:val="auto"/>
        </w:rPr>
      </w:pPr>
      <w:r>
        <w:rPr>
          <w:rFonts w:ascii="Arial" w:cs="Arial" w:eastAsia="Arial" w:hAnsi="Arial"/>
          <w:sz w:val="18"/>
          <w:szCs w:val="18"/>
          <w:b w:val="1"/>
          <w:bCs w:val="1"/>
          <w:color w:val="auto"/>
        </w:rPr>
        <w:t>March 31, 2021</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Table of Contents</w:t>
      </w:r>
    </w:p>
    <w:p>
      <w:pPr>
        <w:spacing w:after="0" w:line="212"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80" w:type="dxa"/>
            <w:vAlign w:val="bottom"/>
            <w:gridSpan w:val="22"/>
          </w:tcPr>
          <w:p>
            <w:pPr>
              <w:spacing w:after="0"/>
              <w:rPr>
                <w:sz w:val="20"/>
                <w:szCs w:val="20"/>
                <w:color w:val="auto"/>
              </w:rPr>
            </w:pPr>
            <w:r>
              <w:rPr>
                <w:rFonts w:ascii="Arial" w:cs="Arial" w:eastAsia="Arial" w:hAnsi="Arial"/>
                <w:sz w:val="18"/>
                <w:szCs w:val="18"/>
                <w:color w:val="auto"/>
              </w:rPr>
              <w:t>GLOSSARY</w:t>
            </w:r>
          </w:p>
        </w:tc>
        <w:tc>
          <w:tcPr>
            <w:tcW w:w="14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460" w:type="dxa"/>
            <w:vAlign w:val="bottom"/>
          </w:tcPr>
          <w:p>
            <w:pPr>
              <w:spacing w:after="0"/>
              <w:rPr>
                <w:rFonts w:ascii="Arial" w:cs="Arial" w:eastAsia="Arial" w:hAnsi="Arial"/>
                <w:sz w:val="18"/>
                <w:szCs w:val="18"/>
                <w:b w:val="1"/>
                <w:bCs w:val="1"/>
                <w:color w:val="0000EE"/>
                <w:w w:val="97"/>
              </w:rPr>
            </w:pPr>
            <w:hyperlink w:anchor="page5">
              <w:r>
                <w:rPr>
                  <w:rFonts w:ascii="Arial" w:cs="Arial" w:eastAsia="Arial" w:hAnsi="Arial"/>
                  <w:sz w:val="18"/>
                  <w:szCs w:val="18"/>
                  <w:b w:val="1"/>
                  <w:bCs w:val="1"/>
                  <w:color w:val="0000EE"/>
                  <w:w w:val="97"/>
                </w:rPr>
                <w:t>Part I</w:t>
              </w:r>
            </w:hyperlink>
          </w:p>
        </w:tc>
        <w:tc>
          <w:tcPr>
            <w:tcW w:w="280" w:type="dxa"/>
            <w:vAlign w:val="bottom"/>
            <w:gridSpan w:val="5"/>
          </w:tcPr>
          <w:p>
            <w:pPr>
              <w:spacing w:after="0"/>
              <w:rPr>
                <w:sz w:val="24"/>
                <w:szCs w:val="24"/>
                <w:color w:val="auto"/>
              </w:rPr>
            </w:pPr>
          </w:p>
        </w:tc>
        <w:tc>
          <w:tcPr>
            <w:tcW w:w="6680" w:type="dxa"/>
            <w:vAlign w:val="bottom"/>
            <w:gridSpan w:val="22"/>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FINANCIAL INFORMATION</w:t>
              </w:r>
            </w:hyperlink>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740" w:type="dxa"/>
            <w:vAlign w:val="bottom"/>
            <w:gridSpan w:val="6"/>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Item 1.</w:t>
              </w:r>
            </w:hyperlink>
          </w:p>
        </w:tc>
        <w:tc>
          <w:tcPr>
            <w:tcW w:w="6680" w:type="dxa"/>
            <w:vAlign w:val="bottom"/>
            <w:gridSpan w:val="22"/>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FINANCIAL STATEMENTS (UNAUDITED)</w:t>
              </w:r>
            </w:hyperlink>
          </w:p>
        </w:tc>
        <w:tc>
          <w:tcPr>
            <w:tcW w:w="14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6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360" w:type="dxa"/>
            <w:vAlign w:val="bottom"/>
            <w:tcBorders>
              <w:top w:val="single" w:sz="8" w:color="0000EE"/>
            </w:tcBorders>
            <w:gridSpan w:val="13"/>
          </w:tcPr>
          <w:p>
            <w:pPr>
              <w:spacing w:after="0" w:line="182" w:lineRule="exact"/>
              <w:rPr>
                <w:rFonts w:ascii="Arial" w:cs="Arial" w:eastAsia="Arial" w:hAnsi="Arial"/>
                <w:sz w:val="18"/>
                <w:szCs w:val="18"/>
                <w:color w:val="0000EE"/>
              </w:rPr>
            </w:pPr>
            <w:hyperlink w:anchor="page6">
              <w:r>
                <w:rPr>
                  <w:rFonts w:ascii="Arial" w:cs="Arial" w:eastAsia="Arial" w:hAnsi="Arial"/>
                  <w:sz w:val="18"/>
                  <w:szCs w:val="18"/>
                  <w:color w:val="0000EE"/>
                </w:rPr>
                <w:t>CONSOLIDATED BALANCE SHEETS</w:t>
              </w:r>
            </w:hyperlink>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80" w:type="dxa"/>
            <w:vAlign w:val="bottom"/>
          </w:tcPr>
          <w:p>
            <w:pPr>
              <w:jc w:val="right"/>
              <w:spacing w:after="0" w:line="18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960" w:type="dxa"/>
            <w:vAlign w:val="bottom"/>
            <w:tcBorders>
              <w:top w:val="single" w:sz="8" w:color="0000EE"/>
              <w:bottom w:val="single" w:sz="8" w:color="0000EE"/>
            </w:tcBorders>
            <w:gridSpan w:val="12"/>
          </w:tcPr>
          <w:p>
            <w:pPr>
              <w:spacing w:after="0" w:line="182" w:lineRule="exact"/>
              <w:rPr>
                <w:rFonts w:ascii="Arial" w:cs="Arial" w:eastAsia="Arial" w:hAnsi="Arial"/>
                <w:sz w:val="18"/>
                <w:szCs w:val="18"/>
                <w:color w:val="0000EE"/>
                <w:w w:val="98"/>
              </w:rPr>
            </w:pPr>
            <w:hyperlink w:anchor="page7">
              <w:r>
                <w:rPr>
                  <w:rFonts w:ascii="Arial" w:cs="Arial" w:eastAsia="Arial" w:hAnsi="Arial"/>
                  <w:sz w:val="18"/>
                  <w:szCs w:val="18"/>
                  <w:color w:val="0000EE"/>
                  <w:w w:val="98"/>
                </w:rPr>
                <w:t>CONSOLIDATED STATEMENTS OF</w:t>
              </w:r>
            </w:hyperlink>
          </w:p>
        </w:tc>
        <w:tc>
          <w:tcPr>
            <w:tcW w:w="620" w:type="dxa"/>
            <w:vAlign w:val="bottom"/>
            <w:tcBorders>
              <w:bottom w:val="single" w:sz="8" w:color="0000EE"/>
            </w:tcBorders>
            <w:gridSpan w:val="3"/>
          </w:tcPr>
          <w:p>
            <w:pPr>
              <w:spacing w:after="0" w:line="182" w:lineRule="exact"/>
              <w:rPr>
                <w:rFonts w:ascii="Arial" w:cs="Arial" w:eastAsia="Arial" w:hAnsi="Arial"/>
                <w:sz w:val="18"/>
                <w:szCs w:val="18"/>
                <w:color w:val="0000EE"/>
                <w:w w:val="83"/>
              </w:rPr>
            </w:pPr>
            <w:hyperlink w:anchor="page7">
              <w:r>
                <w:rPr>
                  <w:rFonts w:ascii="Arial" w:cs="Arial" w:eastAsia="Arial" w:hAnsi="Arial"/>
                  <w:sz w:val="18"/>
                  <w:szCs w:val="18"/>
                  <w:color w:val="0000EE"/>
                  <w:w w:val="83"/>
                </w:rPr>
                <w:t>INCOME</w:t>
              </w:r>
            </w:hyperlink>
          </w:p>
        </w:tc>
        <w:tc>
          <w:tcPr>
            <w:tcW w:w="3100" w:type="dxa"/>
            <w:vAlign w:val="bottom"/>
            <w:gridSpan w:val="7"/>
          </w:tcPr>
          <w:p>
            <w:pPr>
              <w:spacing w:after="0"/>
              <w:rPr>
                <w:sz w:val="15"/>
                <w:szCs w:val="15"/>
                <w:color w:val="auto"/>
              </w:rPr>
            </w:pPr>
          </w:p>
        </w:tc>
        <w:tc>
          <w:tcPr>
            <w:tcW w:w="148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80" w:type="dxa"/>
            <w:vAlign w:val="bottom"/>
            <w:gridSpan w:val="22"/>
          </w:tcPr>
          <w:p>
            <w:pPr>
              <w:spacing w:after="0" w:line="182" w:lineRule="exact"/>
              <w:rPr>
                <w:rFonts w:ascii="Arial" w:cs="Arial" w:eastAsia="Arial" w:hAnsi="Arial"/>
                <w:sz w:val="18"/>
                <w:szCs w:val="18"/>
                <w:color w:val="0000EE"/>
              </w:rPr>
            </w:pPr>
            <w:hyperlink w:anchor="page8">
              <w:r>
                <w:rPr>
                  <w:rFonts w:ascii="Arial" w:cs="Arial" w:eastAsia="Arial" w:hAnsi="Arial"/>
                  <w:sz w:val="18"/>
                  <w:szCs w:val="18"/>
                  <w:color w:val="0000EE"/>
                </w:rPr>
                <w:t>CONSOLIDATED STATEMENTS OF COMPREHENSIVE INCOME</w:t>
              </w:r>
            </w:hyperlink>
          </w:p>
        </w:tc>
        <w:tc>
          <w:tcPr>
            <w:tcW w:w="1480" w:type="dxa"/>
            <w:vAlign w:val="bottom"/>
          </w:tcPr>
          <w:p>
            <w:pPr>
              <w:jc w:val="right"/>
              <w:spacing w:after="0" w:line="18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140" w:type="dxa"/>
            <w:vAlign w:val="bottom"/>
            <w:tcBorders>
              <w:top w:val="single" w:sz="8" w:color="0000EE"/>
            </w:tcBorders>
            <w:gridSpan w:val="18"/>
          </w:tcPr>
          <w:p>
            <w:pPr>
              <w:spacing w:after="0" w:line="182" w:lineRule="exact"/>
              <w:rPr>
                <w:rFonts w:ascii="Arial" w:cs="Arial" w:eastAsia="Arial" w:hAnsi="Arial"/>
                <w:sz w:val="18"/>
                <w:szCs w:val="18"/>
                <w:color w:val="0000EE"/>
                <w:w w:val="96"/>
              </w:rPr>
            </w:pPr>
            <w:hyperlink w:anchor="page9">
              <w:r>
                <w:rPr>
                  <w:rFonts w:ascii="Arial" w:cs="Arial" w:eastAsia="Arial" w:hAnsi="Arial"/>
                  <w:sz w:val="18"/>
                  <w:szCs w:val="18"/>
                  <w:color w:val="0000EE"/>
                  <w:w w:val="96"/>
                </w:rPr>
                <w:t>CONSOLIDATED STATEMENTS OF STOCKHOLDERS’ EQUITY</w:t>
              </w:r>
            </w:hyperlink>
          </w:p>
        </w:tc>
        <w:tc>
          <w:tcPr>
            <w:tcW w:w="4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80" w:type="dxa"/>
            <w:vAlign w:val="bottom"/>
          </w:tcPr>
          <w:p>
            <w:pPr>
              <w:jc w:val="right"/>
              <w:spacing w:after="0" w:line="18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60" w:type="dxa"/>
            <w:vAlign w:val="bottom"/>
            <w:tcBorders>
              <w:top w:val="single" w:sz="8" w:color="0000EE"/>
            </w:tcBorders>
            <w:gridSpan w:val="17"/>
          </w:tcPr>
          <w:p>
            <w:pPr>
              <w:spacing w:after="0" w:line="182" w:lineRule="exact"/>
              <w:rPr>
                <w:rFonts w:ascii="Arial" w:cs="Arial" w:eastAsia="Arial" w:hAnsi="Arial"/>
                <w:sz w:val="18"/>
                <w:szCs w:val="18"/>
                <w:color w:val="0000EE"/>
              </w:rPr>
            </w:pPr>
            <w:hyperlink w:anchor="page10">
              <w:r>
                <w:rPr>
                  <w:rFonts w:ascii="Arial" w:cs="Arial" w:eastAsia="Arial" w:hAnsi="Arial"/>
                  <w:sz w:val="18"/>
                  <w:szCs w:val="18"/>
                  <w:color w:val="0000EE"/>
                </w:rPr>
                <w:t>CONSOLIDATED STATEMENTS OF CASH FLOWS</w:t>
              </w:r>
            </w:hyperlink>
          </w:p>
        </w:tc>
        <w:tc>
          <w:tcPr>
            <w:tcW w:w="520" w:type="dxa"/>
            <w:vAlign w:val="bottom"/>
            <w:gridSpan w:val="2"/>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80" w:type="dxa"/>
            <w:vAlign w:val="bottom"/>
          </w:tcPr>
          <w:p>
            <w:pPr>
              <w:jc w:val="right"/>
              <w:spacing w:after="0" w:line="18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12</w:t>
            </w: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740" w:type="dxa"/>
            <w:vAlign w:val="bottom"/>
            <w:gridSpan w:val="6"/>
            <w:vMerge w:val="restart"/>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Item 2.</w:t>
              </w:r>
            </w:hyperlink>
          </w:p>
        </w:tc>
        <w:tc>
          <w:tcPr>
            <w:tcW w:w="5580" w:type="dxa"/>
            <w:vAlign w:val="bottom"/>
            <w:tcBorders>
              <w:bottom w:val="single" w:sz="8" w:color="0000EE"/>
            </w:tcBorders>
            <w:gridSpan w:val="19"/>
          </w:tcPr>
          <w:p>
            <w:pPr>
              <w:spacing w:after="0" w:line="182" w:lineRule="exact"/>
              <w:rPr>
                <w:rFonts w:ascii="Arial" w:cs="Arial" w:eastAsia="Arial" w:hAnsi="Arial"/>
                <w:sz w:val="18"/>
                <w:szCs w:val="18"/>
                <w:color w:val="0000EE"/>
                <w:w w:val="96"/>
              </w:rPr>
            </w:pPr>
            <w:hyperlink w:anchor="page12">
              <w:r>
                <w:rPr>
                  <w:rFonts w:ascii="Arial" w:cs="Arial" w:eastAsia="Arial" w:hAnsi="Arial"/>
                  <w:sz w:val="18"/>
                  <w:szCs w:val="18"/>
                  <w:color w:val="0000EE"/>
                  <w:w w:val="96"/>
                </w:rPr>
                <w:t>NOTES TO UNAUDITED CONSOLIDATED FINANCIAL STATEMENTS</w:t>
              </w:r>
            </w:hyperlink>
          </w:p>
        </w:tc>
        <w:tc>
          <w:tcPr>
            <w:tcW w:w="1100" w:type="dxa"/>
            <w:vAlign w:val="bottom"/>
            <w:gridSpan w:val="3"/>
          </w:tcPr>
          <w:p>
            <w:pPr>
              <w:spacing w:after="0"/>
              <w:rPr>
                <w:sz w:val="15"/>
                <w:szCs w:val="15"/>
                <w:color w:val="auto"/>
              </w:rPr>
            </w:pPr>
          </w:p>
        </w:tc>
        <w:tc>
          <w:tcPr>
            <w:tcW w:w="1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40" w:type="dxa"/>
            <w:vAlign w:val="bottom"/>
            <w:gridSpan w:val="6"/>
            <w:vMerge w:val="continue"/>
          </w:tcPr>
          <w:p>
            <w:pPr>
              <w:spacing w:after="0"/>
              <w:rPr>
                <w:sz w:val="15"/>
                <w:szCs w:val="15"/>
                <w:color w:val="auto"/>
              </w:rPr>
            </w:pPr>
          </w:p>
        </w:tc>
        <w:tc>
          <w:tcPr>
            <w:tcW w:w="6680" w:type="dxa"/>
            <w:vAlign w:val="bottom"/>
            <w:gridSpan w:val="22"/>
          </w:tcPr>
          <w:p>
            <w:pPr>
              <w:spacing w:after="0" w:line="182" w:lineRule="exact"/>
              <w:rPr>
                <w:rFonts w:ascii="Arial" w:cs="Arial" w:eastAsia="Arial" w:hAnsi="Arial"/>
                <w:sz w:val="18"/>
                <w:szCs w:val="18"/>
                <w:color w:val="0000EE"/>
                <w:w w:val="98"/>
              </w:rPr>
            </w:pPr>
            <w:hyperlink w:anchor="page40">
              <w:r>
                <w:rPr>
                  <w:rFonts w:ascii="Arial" w:cs="Arial" w:eastAsia="Arial" w:hAnsi="Arial"/>
                  <w:sz w:val="18"/>
                  <w:szCs w:val="18"/>
                  <w:color w:val="0000EE"/>
                  <w:w w:val="98"/>
                </w:rPr>
                <w:t>MANAGEMENT’S DISCUSSION AND ANALYSIS OF FINANCIAL CONDITION AND</w:t>
              </w:r>
            </w:hyperlink>
          </w:p>
        </w:tc>
        <w:tc>
          <w:tcPr>
            <w:tcW w:w="1480" w:type="dxa"/>
            <w:vAlign w:val="bottom"/>
            <w:vMerge w:val="restart"/>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6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60" w:type="dxa"/>
            <w:vAlign w:val="bottom"/>
            <w:tcBorders>
              <w:top w:val="single" w:sz="8" w:color="0000EE"/>
            </w:tcBorders>
            <w:gridSpan w:val="21"/>
          </w:tcPr>
          <w:p>
            <w:pPr>
              <w:spacing w:after="0" w:line="182" w:lineRule="exact"/>
              <w:rPr>
                <w:rFonts w:ascii="Arial" w:cs="Arial" w:eastAsia="Arial" w:hAnsi="Arial"/>
                <w:sz w:val="18"/>
                <w:szCs w:val="18"/>
                <w:color w:val="0000EE"/>
              </w:rPr>
            </w:pPr>
            <w:hyperlink w:anchor="page40">
              <w:r>
                <w:rPr>
                  <w:rFonts w:ascii="Arial" w:cs="Arial" w:eastAsia="Arial" w:hAnsi="Arial"/>
                  <w:sz w:val="18"/>
                  <w:szCs w:val="18"/>
                  <w:color w:val="0000EE"/>
                </w:rPr>
                <w:t>RESULTS OF OPERATIONS</w:t>
              </w:r>
            </w:hyperlink>
          </w:p>
        </w:tc>
        <w:tc>
          <w:tcPr>
            <w:tcW w:w="1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gridSpan w:val="6"/>
            <w:vMerge w:val="restart"/>
          </w:tcPr>
          <w:p>
            <w:pPr>
              <w:spacing w:after="0" w:line="202" w:lineRule="exact"/>
              <w:rPr>
                <w:rFonts w:ascii="Arial" w:cs="Arial" w:eastAsia="Arial" w:hAnsi="Arial"/>
                <w:sz w:val="18"/>
                <w:szCs w:val="18"/>
                <w:color w:val="0000EE"/>
              </w:rPr>
            </w:pPr>
            <w:hyperlink w:anchor="page60">
              <w:r>
                <w:rPr>
                  <w:rFonts w:ascii="Arial" w:cs="Arial" w:eastAsia="Arial" w:hAnsi="Arial"/>
                  <w:sz w:val="18"/>
                  <w:szCs w:val="18"/>
                  <w:color w:val="0000EE"/>
                </w:rPr>
                <w:t>Item 3.</w:t>
              </w:r>
            </w:hyperlink>
          </w:p>
        </w:tc>
        <w:tc>
          <w:tcPr>
            <w:tcW w:w="8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88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60</w:t>
            </w: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740" w:type="dxa"/>
            <w:vAlign w:val="bottom"/>
            <w:gridSpan w:val="6"/>
            <w:vMerge w:val="continue"/>
          </w:tcPr>
          <w:p>
            <w:pPr>
              <w:spacing w:after="0"/>
              <w:rPr>
                <w:sz w:val="15"/>
                <w:szCs w:val="15"/>
                <w:color w:val="auto"/>
              </w:rPr>
            </w:pPr>
          </w:p>
        </w:tc>
        <w:tc>
          <w:tcPr>
            <w:tcW w:w="6680" w:type="dxa"/>
            <w:vAlign w:val="bottom"/>
            <w:gridSpan w:val="22"/>
          </w:tcPr>
          <w:p>
            <w:pPr>
              <w:spacing w:after="0" w:line="182" w:lineRule="exact"/>
              <w:rPr>
                <w:rFonts w:ascii="Arial" w:cs="Arial" w:eastAsia="Arial" w:hAnsi="Arial"/>
                <w:sz w:val="18"/>
                <w:szCs w:val="18"/>
                <w:color w:val="0000EE"/>
              </w:rPr>
            </w:pPr>
            <w:hyperlink w:anchor="page60">
              <w:r>
                <w:rPr>
                  <w:rFonts w:ascii="Arial" w:cs="Arial" w:eastAsia="Arial" w:hAnsi="Arial"/>
                  <w:sz w:val="18"/>
                  <w:szCs w:val="18"/>
                  <w:color w:val="0000EE"/>
                </w:rPr>
                <w:t>QUANTITATIVE AND QUALITATIVE DISCLOSURES ABOUT MARKET RISK</w:t>
              </w:r>
            </w:hyperlink>
          </w:p>
        </w:tc>
        <w:tc>
          <w:tcPr>
            <w:tcW w:w="1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87"/>
              </w:rPr>
            </w:pPr>
            <w:hyperlink w:anchor="page61">
              <w:r>
                <w:rPr>
                  <w:rFonts w:ascii="Arial" w:cs="Arial" w:eastAsia="Arial" w:hAnsi="Arial"/>
                  <w:sz w:val="18"/>
                  <w:szCs w:val="18"/>
                  <w:color w:val="0000EE"/>
                  <w:w w:val="87"/>
                </w:rPr>
                <w:t>Item 4.</w:t>
              </w:r>
            </w:hyperlink>
          </w:p>
        </w:tc>
        <w:tc>
          <w:tcPr>
            <w:tcW w:w="20" w:type="dxa"/>
            <w:vAlign w:val="bottom"/>
            <w:tcBorders>
              <w:bottom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580" w:type="dxa"/>
            <w:vAlign w:val="bottom"/>
            <w:tcBorders>
              <w:top w:val="single" w:sz="8" w:color="0000EE"/>
              <w:bottom w:val="single" w:sz="8" w:color="0000EE"/>
            </w:tcBorders>
            <w:gridSpan w:val="10"/>
          </w:tcPr>
          <w:p>
            <w:pPr>
              <w:spacing w:after="0" w:line="182" w:lineRule="exact"/>
              <w:rPr>
                <w:rFonts w:ascii="Arial" w:cs="Arial" w:eastAsia="Arial" w:hAnsi="Arial"/>
                <w:sz w:val="18"/>
                <w:szCs w:val="18"/>
                <w:color w:val="0000EE"/>
                <w:w w:val="93"/>
              </w:rPr>
            </w:pPr>
            <w:hyperlink w:anchor="page61">
              <w:r>
                <w:rPr>
                  <w:rFonts w:ascii="Arial" w:cs="Arial" w:eastAsia="Arial" w:hAnsi="Arial"/>
                  <w:sz w:val="18"/>
                  <w:szCs w:val="18"/>
                  <w:color w:val="0000EE"/>
                  <w:w w:val="93"/>
                </w:rPr>
                <w:t>CONTROLS AND PROCEDURES</w:t>
              </w:r>
            </w:hyperlink>
          </w:p>
        </w:tc>
        <w:tc>
          <w:tcPr>
            <w:tcW w:w="3540" w:type="dxa"/>
            <w:vAlign w:val="bottom"/>
            <w:tcBorders>
              <w:top w:val="single" w:sz="8" w:color="0000EE"/>
            </w:tcBorders>
            <w:gridSpan w:val="10"/>
          </w:tcPr>
          <w:p>
            <w:pPr>
              <w:spacing w:after="0"/>
              <w:rPr>
                <w:sz w:val="15"/>
                <w:szCs w:val="15"/>
                <w:color w:val="auto"/>
              </w:rPr>
            </w:pPr>
          </w:p>
        </w:tc>
        <w:tc>
          <w:tcPr>
            <w:tcW w:w="540" w:type="dxa"/>
            <w:vAlign w:val="bottom"/>
          </w:tcPr>
          <w:p>
            <w:pPr>
              <w:spacing w:after="0"/>
              <w:rPr>
                <w:sz w:val="15"/>
                <w:szCs w:val="15"/>
                <w:color w:val="auto"/>
              </w:rPr>
            </w:pPr>
          </w:p>
        </w:tc>
        <w:tc>
          <w:tcPr>
            <w:tcW w:w="1480" w:type="dxa"/>
            <w:vAlign w:val="bottom"/>
          </w:tcPr>
          <w:p>
            <w:pPr>
              <w:jc w:val="right"/>
              <w:spacing w:after="0" w:line="182"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540" w:type="dxa"/>
            <w:vAlign w:val="bottom"/>
            <w:gridSpan w:val="4"/>
          </w:tcPr>
          <w:p>
            <w:pPr>
              <w:spacing w:after="0"/>
              <w:rPr>
                <w:rFonts w:ascii="Arial" w:cs="Arial" w:eastAsia="Arial" w:hAnsi="Arial"/>
                <w:sz w:val="18"/>
                <w:szCs w:val="18"/>
                <w:b w:val="1"/>
                <w:bCs w:val="1"/>
                <w:color w:val="0000EE"/>
              </w:rPr>
            </w:pPr>
            <w:hyperlink w:anchor="page61">
              <w:r>
                <w:rPr>
                  <w:rFonts w:ascii="Arial" w:cs="Arial" w:eastAsia="Arial" w:hAnsi="Arial"/>
                  <w:sz w:val="18"/>
                  <w:szCs w:val="18"/>
                  <w:b w:val="1"/>
                  <w:bCs w:val="1"/>
                  <w:color w:val="0000EE"/>
                </w:rPr>
                <w:t>Part II</w:t>
              </w:r>
            </w:hyperlink>
          </w:p>
        </w:tc>
        <w:tc>
          <w:tcPr>
            <w:tcW w:w="200" w:type="dxa"/>
            <w:vAlign w:val="bottom"/>
            <w:gridSpan w:val="2"/>
          </w:tcPr>
          <w:p>
            <w:pPr>
              <w:spacing w:after="0"/>
              <w:rPr>
                <w:sz w:val="24"/>
                <w:szCs w:val="24"/>
                <w:color w:val="auto"/>
              </w:rPr>
            </w:pPr>
          </w:p>
        </w:tc>
        <w:tc>
          <w:tcPr>
            <w:tcW w:w="6680" w:type="dxa"/>
            <w:vAlign w:val="bottom"/>
            <w:gridSpan w:val="22"/>
          </w:tcPr>
          <w:p>
            <w:pPr>
              <w:spacing w:after="0"/>
              <w:rPr>
                <w:rFonts w:ascii="Arial" w:cs="Arial" w:eastAsia="Arial" w:hAnsi="Arial"/>
                <w:sz w:val="18"/>
                <w:szCs w:val="18"/>
                <w:b w:val="1"/>
                <w:bCs w:val="1"/>
                <w:color w:val="0000EE"/>
              </w:rPr>
            </w:pPr>
            <w:hyperlink w:anchor="page61">
              <w:r>
                <w:rPr>
                  <w:rFonts w:ascii="Arial" w:cs="Arial" w:eastAsia="Arial" w:hAnsi="Arial"/>
                  <w:sz w:val="18"/>
                  <w:szCs w:val="18"/>
                  <w:b w:val="1"/>
                  <w:bCs w:val="1"/>
                  <w:color w:val="0000EE"/>
                </w:rPr>
                <w:t>OTHER INFORMATION</w:t>
              </w:r>
            </w:hyperlink>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2880" w:type="dxa"/>
            <w:vAlign w:val="bottom"/>
            <w:gridSpan w:val="7"/>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520" w:type="dxa"/>
            <w:vAlign w:val="bottom"/>
            <w:gridSpan w:val="3"/>
          </w:tcPr>
          <w:p>
            <w:pPr>
              <w:spacing w:after="0"/>
              <w:rPr>
                <w:rFonts w:ascii="Arial" w:cs="Arial" w:eastAsia="Arial" w:hAnsi="Arial"/>
                <w:sz w:val="18"/>
                <w:szCs w:val="18"/>
                <w:color w:val="0000EE"/>
                <w:w w:val="90"/>
              </w:rPr>
            </w:pPr>
            <w:hyperlink w:anchor="page61">
              <w:r>
                <w:rPr>
                  <w:rFonts w:ascii="Arial" w:cs="Arial" w:eastAsia="Arial" w:hAnsi="Arial"/>
                  <w:sz w:val="18"/>
                  <w:szCs w:val="18"/>
                  <w:color w:val="0000EE"/>
                  <w:w w:val="90"/>
                </w:rPr>
                <w:t>Item 1.</w:t>
              </w:r>
            </w:hyperlink>
          </w:p>
        </w:tc>
        <w:tc>
          <w:tcPr>
            <w:tcW w:w="20" w:type="dxa"/>
            <w:vAlign w:val="bottom"/>
          </w:tcPr>
          <w:p>
            <w:pPr>
              <w:spacing w:after="0"/>
              <w:rPr>
                <w:sz w:val="24"/>
                <w:szCs w:val="24"/>
                <w:color w:val="auto"/>
              </w:rPr>
            </w:pPr>
          </w:p>
        </w:tc>
        <w:tc>
          <w:tcPr>
            <w:tcW w:w="200" w:type="dxa"/>
            <w:vAlign w:val="bottom"/>
            <w:gridSpan w:val="2"/>
          </w:tcPr>
          <w:p>
            <w:pPr>
              <w:spacing w:after="0"/>
              <w:rPr>
                <w:sz w:val="24"/>
                <w:szCs w:val="24"/>
                <w:color w:val="auto"/>
              </w:rPr>
            </w:pPr>
          </w:p>
        </w:tc>
        <w:tc>
          <w:tcPr>
            <w:tcW w:w="6680" w:type="dxa"/>
            <w:vAlign w:val="bottom"/>
            <w:gridSpan w:val="22"/>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LEGAL PROCEEDINGS</w:t>
              </w:r>
            </w:hyperlink>
          </w:p>
        </w:tc>
        <w:tc>
          <w:tcPr>
            <w:tcW w:w="148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40" w:type="dxa"/>
            <w:vAlign w:val="bottom"/>
            <w:gridSpan w:val="4"/>
            <w:vMerge w:val="restart"/>
          </w:tcPr>
          <w:p>
            <w:pPr>
              <w:spacing w:after="0" w:line="20" w:lineRule="exact"/>
              <w:rPr>
                <w:sz w:val="1"/>
                <w:szCs w:val="1"/>
                <w:color w:val="auto"/>
              </w:rPr>
            </w:pPr>
          </w:p>
        </w:tc>
        <w:tc>
          <w:tcPr>
            <w:tcW w:w="740" w:type="dxa"/>
            <w:vAlign w:val="bottom"/>
            <w:gridSpan w:val="3"/>
            <w:vMerge w:val="restart"/>
          </w:tcPr>
          <w:p>
            <w:pPr>
              <w:spacing w:after="0" w:line="20" w:lineRule="exact"/>
              <w:rPr>
                <w:sz w:val="1"/>
                <w:szCs w:val="1"/>
                <w:color w:val="auto"/>
              </w:rPr>
            </w:pPr>
          </w:p>
        </w:tc>
        <w:tc>
          <w:tcPr>
            <w:tcW w:w="2880" w:type="dxa"/>
            <w:vAlign w:val="bottom"/>
            <w:gridSpan w:val="7"/>
            <w:vMerge w:val="restart"/>
          </w:tcPr>
          <w:p>
            <w:pPr>
              <w:spacing w:after="0" w:line="20" w:lineRule="exact"/>
              <w:rPr>
                <w:sz w:val="1"/>
                <w:szCs w:val="1"/>
                <w:color w:val="auto"/>
              </w:rPr>
            </w:pPr>
          </w:p>
        </w:tc>
        <w:tc>
          <w:tcPr>
            <w:tcW w:w="620" w:type="dxa"/>
            <w:vAlign w:val="bottom"/>
            <w:gridSpan w:val="2"/>
            <w:vMerge w:val="restart"/>
          </w:tcPr>
          <w:p>
            <w:pPr>
              <w:spacing w:after="0" w:line="20" w:lineRule="exact"/>
              <w:rPr>
                <w:sz w:val="1"/>
                <w:szCs w:val="1"/>
                <w:color w:val="auto"/>
              </w:rPr>
            </w:pPr>
          </w:p>
        </w:tc>
        <w:tc>
          <w:tcPr>
            <w:tcW w:w="14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61</w:t>
            </w: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740" w:type="dxa"/>
            <w:vAlign w:val="bottom"/>
            <w:gridSpan w:val="6"/>
          </w:tcPr>
          <w:p>
            <w:pPr>
              <w:spacing w:after="0" w:line="182" w:lineRule="exact"/>
              <w:rPr>
                <w:rFonts w:ascii="Arial" w:cs="Arial" w:eastAsia="Arial" w:hAnsi="Arial"/>
                <w:sz w:val="18"/>
                <w:szCs w:val="18"/>
                <w:color w:val="0000EE"/>
              </w:rPr>
            </w:pPr>
            <w:hyperlink w:anchor="page61">
              <w:r>
                <w:rPr>
                  <w:rFonts w:ascii="Arial" w:cs="Arial" w:eastAsia="Arial" w:hAnsi="Arial"/>
                  <w:sz w:val="18"/>
                  <w:szCs w:val="18"/>
                  <w:color w:val="0000EE"/>
                </w:rPr>
                <w:t>Item 1A</w:t>
              </w:r>
            </w:hyperlink>
          </w:p>
        </w:tc>
        <w:tc>
          <w:tcPr>
            <w:tcW w:w="20" w:type="dxa"/>
            <w:vAlign w:val="bottom"/>
            <w:vMerge w:val="continue"/>
          </w:tcPr>
          <w:p>
            <w:pPr>
              <w:spacing w:after="0"/>
              <w:rPr>
                <w:sz w:val="15"/>
                <w:szCs w:val="15"/>
                <w:color w:val="auto"/>
              </w:rPr>
            </w:pPr>
          </w:p>
        </w:tc>
        <w:tc>
          <w:tcPr>
            <w:tcW w:w="1860" w:type="dxa"/>
            <w:vAlign w:val="bottom"/>
            <w:gridSpan w:val="4"/>
          </w:tcPr>
          <w:p>
            <w:pPr>
              <w:spacing w:after="0" w:line="182" w:lineRule="exact"/>
              <w:rPr>
                <w:rFonts w:ascii="Arial" w:cs="Arial" w:eastAsia="Arial" w:hAnsi="Arial"/>
                <w:sz w:val="18"/>
                <w:szCs w:val="18"/>
                <w:color w:val="0000EE"/>
              </w:rPr>
            </w:pPr>
            <w:hyperlink w:anchor="page61">
              <w:r>
                <w:rPr>
                  <w:rFonts w:ascii="Arial" w:cs="Arial" w:eastAsia="Arial" w:hAnsi="Arial"/>
                  <w:sz w:val="18"/>
                  <w:szCs w:val="18"/>
                  <w:color w:val="0000EE"/>
                </w:rPr>
                <w:t>RISK FACTORS</w:t>
              </w:r>
            </w:hyperlink>
          </w:p>
        </w:tc>
        <w:tc>
          <w:tcPr>
            <w:tcW w:w="20" w:type="dxa"/>
            <w:vAlign w:val="bottom"/>
            <w:vMerge w:val="continue"/>
          </w:tcPr>
          <w:p>
            <w:pPr>
              <w:spacing w:after="0"/>
              <w:rPr>
                <w:sz w:val="15"/>
                <w:szCs w:val="15"/>
                <w:color w:val="auto"/>
              </w:rPr>
            </w:pPr>
          </w:p>
        </w:tc>
        <w:tc>
          <w:tcPr>
            <w:tcW w:w="540" w:type="dxa"/>
            <w:vAlign w:val="bottom"/>
            <w:gridSpan w:val="4"/>
            <w:vMerge w:val="continue"/>
          </w:tcPr>
          <w:p>
            <w:pPr>
              <w:spacing w:after="0"/>
              <w:rPr>
                <w:sz w:val="15"/>
                <w:szCs w:val="15"/>
                <w:color w:val="auto"/>
              </w:rPr>
            </w:pPr>
          </w:p>
        </w:tc>
        <w:tc>
          <w:tcPr>
            <w:tcW w:w="740" w:type="dxa"/>
            <w:vAlign w:val="bottom"/>
            <w:gridSpan w:val="3"/>
            <w:vMerge w:val="continue"/>
          </w:tcPr>
          <w:p>
            <w:pPr>
              <w:spacing w:after="0"/>
              <w:rPr>
                <w:sz w:val="15"/>
                <w:szCs w:val="15"/>
                <w:color w:val="auto"/>
              </w:rPr>
            </w:pPr>
          </w:p>
        </w:tc>
        <w:tc>
          <w:tcPr>
            <w:tcW w:w="2880" w:type="dxa"/>
            <w:vAlign w:val="bottom"/>
            <w:gridSpan w:val="7"/>
            <w:vMerge w:val="continue"/>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1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00" w:type="dxa"/>
            <w:vAlign w:val="bottom"/>
            <w:tcBorders>
              <w:top w:val="single" w:sz="8" w:color="0000EE"/>
            </w:tcBorders>
            <w:gridSpan w:val="5"/>
          </w:tcPr>
          <w:p>
            <w:pPr>
              <w:spacing w:after="0" w:line="182" w:lineRule="exact"/>
              <w:rPr>
                <w:rFonts w:ascii="Arial" w:cs="Arial" w:eastAsia="Arial" w:hAnsi="Arial"/>
                <w:sz w:val="18"/>
                <w:szCs w:val="18"/>
                <w:color w:val="0000EE"/>
              </w:rPr>
            </w:pPr>
            <w:hyperlink w:anchor="page62">
              <w:r>
                <w:rPr>
                  <w:rFonts w:ascii="Arial" w:cs="Arial" w:eastAsia="Arial" w:hAnsi="Arial"/>
                  <w:sz w:val="18"/>
                  <w:szCs w:val="18"/>
                  <w:color w:val="0000EE"/>
                </w:rPr>
                <w:t>Item 2.</w:t>
              </w:r>
            </w:hyperlink>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20" w:type="dxa"/>
            <w:vAlign w:val="bottom"/>
            <w:tcBorders>
              <w:top w:val="single" w:sz="8" w:color="0000EE"/>
            </w:tcBorders>
            <w:gridSpan w:val="3"/>
          </w:tcPr>
          <w:p>
            <w:pPr>
              <w:spacing w:after="0" w:line="182" w:lineRule="exact"/>
              <w:rPr>
                <w:rFonts w:ascii="Arial" w:cs="Arial" w:eastAsia="Arial" w:hAnsi="Arial"/>
                <w:sz w:val="18"/>
                <w:szCs w:val="18"/>
                <w:color w:val="0000EE"/>
                <w:w w:val="83"/>
              </w:rPr>
            </w:pPr>
            <w:hyperlink w:anchor="page62">
              <w:r>
                <w:rPr>
                  <w:rFonts w:ascii="Arial" w:cs="Arial" w:eastAsia="Arial" w:hAnsi="Arial"/>
                  <w:sz w:val="18"/>
                  <w:szCs w:val="18"/>
                  <w:color w:val="0000EE"/>
                  <w:w w:val="83"/>
                </w:rPr>
                <w:t>UNREGISTERED</w:t>
              </w:r>
            </w:hyperlink>
          </w:p>
        </w:tc>
        <w:tc>
          <w:tcPr>
            <w:tcW w:w="5440" w:type="dxa"/>
            <w:vAlign w:val="bottom"/>
            <w:gridSpan w:val="18"/>
          </w:tcPr>
          <w:p>
            <w:pPr>
              <w:ind w:left="160"/>
              <w:spacing w:after="0" w:line="182" w:lineRule="exact"/>
              <w:rPr>
                <w:rFonts w:ascii="Arial" w:cs="Arial" w:eastAsia="Arial" w:hAnsi="Arial"/>
                <w:sz w:val="18"/>
                <w:szCs w:val="18"/>
                <w:color w:val="0000EE"/>
              </w:rPr>
            </w:pPr>
            <w:hyperlink w:anchor="page62">
              <w:r>
                <w:rPr>
                  <w:rFonts w:ascii="Arial" w:cs="Arial" w:eastAsia="Arial" w:hAnsi="Arial"/>
                  <w:sz w:val="18"/>
                  <w:szCs w:val="18"/>
                  <w:color w:val="0000EE"/>
                </w:rPr>
                <w:t>SALES OF EQUITY SECURITIES AND USE OF PROCEEDS</w:t>
              </w:r>
            </w:hyperlink>
          </w:p>
        </w:tc>
        <w:tc>
          <w:tcPr>
            <w:tcW w:w="1480" w:type="dxa"/>
            <w:vAlign w:val="bottom"/>
          </w:tcPr>
          <w:p>
            <w:pPr>
              <w:jc w:val="right"/>
              <w:spacing w:after="0" w:line="182"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20" w:type="dxa"/>
            <w:vAlign w:val="bottom"/>
            <w:tcBorders>
              <w:top w:val="single" w:sz="8" w:color="0000EE"/>
            </w:tcBorders>
            <w:gridSpan w:val="3"/>
          </w:tcPr>
          <w:p>
            <w:pPr>
              <w:spacing w:after="0" w:line="182" w:lineRule="exact"/>
              <w:rPr>
                <w:rFonts w:ascii="Arial" w:cs="Arial" w:eastAsia="Arial" w:hAnsi="Arial"/>
                <w:sz w:val="18"/>
                <w:szCs w:val="18"/>
                <w:color w:val="0000EE"/>
                <w:w w:val="90"/>
              </w:rPr>
            </w:pPr>
            <w:hyperlink w:anchor="page62">
              <w:r>
                <w:rPr>
                  <w:rFonts w:ascii="Arial" w:cs="Arial" w:eastAsia="Arial" w:hAnsi="Arial"/>
                  <w:sz w:val="18"/>
                  <w:szCs w:val="18"/>
                  <w:color w:val="0000EE"/>
                  <w:w w:val="90"/>
                </w:rPr>
                <w:t>Item 3.</w:t>
              </w:r>
            </w:hyperlink>
          </w:p>
        </w:tc>
        <w:tc>
          <w:tcPr>
            <w:tcW w:w="22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6040" w:type="dxa"/>
            <w:vAlign w:val="bottom"/>
            <w:tcBorders>
              <w:top w:val="single" w:sz="8" w:color="0000EE"/>
            </w:tcBorders>
            <w:gridSpan w:val="19"/>
          </w:tcPr>
          <w:p>
            <w:pPr>
              <w:spacing w:after="0" w:line="182" w:lineRule="exact"/>
              <w:rPr>
                <w:rFonts w:ascii="Arial" w:cs="Arial" w:eastAsia="Arial" w:hAnsi="Arial"/>
                <w:sz w:val="18"/>
                <w:szCs w:val="18"/>
                <w:color w:val="0000EE"/>
              </w:rPr>
            </w:pPr>
            <w:hyperlink w:anchor="page62">
              <w:r>
                <w:rPr>
                  <w:rFonts w:ascii="Arial" w:cs="Arial" w:eastAsia="Arial" w:hAnsi="Arial"/>
                  <w:sz w:val="18"/>
                  <w:szCs w:val="18"/>
                  <w:color w:val="0000EE"/>
                </w:rPr>
                <w:t>DEFAULTS UPON SENIOR SECURITIES</w:t>
              </w:r>
            </w:hyperlink>
          </w:p>
        </w:tc>
        <w:tc>
          <w:tcPr>
            <w:tcW w:w="620" w:type="dxa"/>
            <w:vAlign w:val="bottom"/>
            <w:gridSpan w:val="2"/>
          </w:tcPr>
          <w:p>
            <w:pPr>
              <w:spacing w:after="0"/>
              <w:rPr>
                <w:sz w:val="15"/>
                <w:szCs w:val="15"/>
                <w:color w:val="auto"/>
              </w:rPr>
            </w:pPr>
          </w:p>
        </w:tc>
        <w:tc>
          <w:tcPr>
            <w:tcW w:w="1480" w:type="dxa"/>
            <w:vAlign w:val="bottom"/>
          </w:tcPr>
          <w:p>
            <w:pPr>
              <w:jc w:val="right"/>
              <w:spacing w:after="0" w:line="182"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20" w:type="dxa"/>
            <w:vAlign w:val="bottom"/>
            <w:tcBorders>
              <w:top w:val="single" w:sz="8" w:color="0000EE"/>
            </w:tcBorders>
            <w:gridSpan w:val="3"/>
          </w:tcPr>
          <w:p>
            <w:pPr>
              <w:spacing w:after="0" w:line="182" w:lineRule="exact"/>
              <w:rPr>
                <w:rFonts w:ascii="Arial" w:cs="Arial" w:eastAsia="Arial" w:hAnsi="Arial"/>
                <w:sz w:val="18"/>
                <w:szCs w:val="18"/>
                <w:color w:val="0000EE"/>
                <w:w w:val="90"/>
              </w:rPr>
            </w:pPr>
            <w:hyperlink w:anchor="page62">
              <w:r>
                <w:rPr>
                  <w:rFonts w:ascii="Arial" w:cs="Arial" w:eastAsia="Arial" w:hAnsi="Arial"/>
                  <w:sz w:val="18"/>
                  <w:szCs w:val="18"/>
                  <w:color w:val="0000EE"/>
                  <w:w w:val="90"/>
                </w:rPr>
                <w:t>Item 4.</w:t>
              </w:r>
            </w:hyperlink>
          </w:p>
        </w:tc>
        <w:tc>
          <w:tcPr>
            <w:tcW w:w="22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3160" w:type="dxa"/>
            <w:vAlign w:val="bottom"/>
            <w:tcBorders>
              <w:top w:val="single" w:sz="8" w:color="0000EE"/>
            </w:tcBorders>
            <w:gridSpan w:val="12"/>
          </w:tcPr>
          <w:p>
            <w:pPr>
              <w:spacing w:after="0" w:line="182" w:lineRule="exact"/>
              <w:rPr>
                <w:rFonts w:ascii="Arial" w:cs="Arial" w:eastAsia="Arial" w:hAnsi="Arial"/>
                <w:sz w:val="18"/>
                <w:szCs w:val="18"/>
                <w:color w:val="0000EE"/>
              </w:rPr>
            </w:pPr>
            <w:hyperlink w:anchor="page62">
              <w:r>
                <w:rPr>
                  <w:rFonts w:ascii="Arial" w:cs="Arial" w:eastAsia="Arial" w:hAnsi="Arial"/>
                  <w:sz w:val="18"/>
                  <w:szCs w:val="18"/>
                  <w:color w:val="0000EE"/>
                </w:rPr>
                <w:t>MINE SAFETY DISCLOSURES</w:t>
              </w:r>
            </w:hyperlink>
          </w:p>
        </w:tc>
        <w:tc>
          <w:tcPr>
            <w:tcW w:w="3500" w:type="dxa"/>
            <w:vAlign w:val="bottom"/>
            <w:gridSpan w:val="9"/>
          </w:tcPr>
          <w:p>
            <w:pPr>
              <w:spacing w:after="0"/>
              <w:rPr>
                <w:sz w:val="15"/>
                <w:szCs w:val="15"/>
                <w:color w:val="auto"/>
              </w:rPr>
            </w:pPr>
          </w:p>
        </w:tc>
        <w:tc>
          <w:tcPr>
            <w:tcW w:w="1480" w:type="dxa"/>
            <w:vAlign w:val="bottom"/>
          </w:tcPr>
          <w:p>
            <w:pPr>
              <w:jc w:val="right"/>
              <w:spacing w:after="0" w:line="182"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20" w:type="dxa"/>
            <w:vAlign w:val="bottom"/>
            <w:tcBorders>
              <w:top w:val="single" w:sz="8" w:color="0000EE"/>
            </w:tcBorders>
            <w:gridSpan w:val="3"/>
          </w:tcPr>
          <w:p>
            <w:pPr>
              <w:spacing w:after="0" w:line="182" w:lineRule="exact"/>
              <w:rPr>
                <w:rFonts w:ascii="Arial" w:cs="Arial" w:eastAsia="Arial" w:hAnsi="Arial"/>
                <w:sz w:val="18"/>
                <w:szCs w:val="18"/>
                <w:color w:val="0000EE"/>
                <w:w w:val="90"/>
              </w:rPr>
            </w:pPr>
            <w:hyperlink w:anchor="page62">
              <w:r>
                <w:rPr>
                  <w:rFonts w:ascii="Arial" w:cs="Arial" w:eastAsia="Arial" w:hAnsi="Arial"/>
                  <w:sz w:val="18"/>
                  <w:szCs w:val="18"/>
                  <w:color w:val="0000EE"/>
                  <w:w w:val="90"/>
                </w:rPr>
                <w:t>Item 5.</w:t>
              </w:r>
            </w:hyperlink>
          </w:p>
        </w:tc>
        <w:tc>
          <w:tcPr>
            <w:tcW w:w="22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420" w:type="dxa"/>
            <w:vAlign w:val="bottom"/>
            <w:tcBorders>
              <w:top w:val="single" w:sz="8" w:color="0000EE"/>
            </w:tcBorders>
            <w:gridSpan w:val="9"/>
          </w:tcPr>
          <w:p>
            <w:pPr>
              <w:spacing w:after="0" w:line="182" w:lineRule="exact"/>
              <w:rPr>
                <w:rFonts w:ascii="Arial" w:cs="Arial" w:eastAsia="Arial" w:hAnsi="Arial"/>
                <w:sz w:val="18"/>
                <w:szCs w:val="18"/>
                <w:color w:val="0000EE"/>
              </w:rPr>
            </w:pPr>
            <w:hyperlink w:anchor="page62">
              <w:r>
                <w:rPr>
                  <w:rFonts w:ascii="Arial" w:cs="Arial" w:eastAsia="Arial" w:hAnsi="Arial"/>
                  <w:sz w:val="18"/>
                  <w:szCs w:val="18"/>
                  <w:color w:val="0000EE"/>
                </w:rPr>
                <w:t>OTHER INFORMATION</w:t>
              </w:r>
            </w:hyperlink>
          </w:p>
        </w:tc>
        <w:tc>
          <w:tcPr>
            <w:tcW w:w="4240" w:type="dxa"/>
            <w:vAlign w:val="bottom"/>
            <w:gridSpan w:val="12"/>
          </w:tcPr>
          <w:p>
            <w:pPr>
              <w:spacing w:after="0"/>
              <w:rPr>
                <w:sz w:val="15"/>
                <w:szCs w:val="15"/>
                <w:color w:val="auto"/>
              </w:rPr>
            </w:pPr>
          </w:p>
        </w:tc>
        <w:tc>
          <w:tcPr>
            <w:tcW w:w="1480" w:type="dxa"/>
            <w:vAlign w:val="bottom"/>
          </w:tcPr>
          <w:p>
            <w:pPr>
              <w:jc w:val="right"/>
              <w:spacing w:after="0" w:line="182"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87"/>
              </w:rPr>
            </w:pPr>
            <w:hyperlink w:anchor="page63">
              <w:r>
                <w:rPr>
                  <w:rFonts w:ascii="Arial" w:cs="Arial" w:eastAsia="Arial" w:hAnsi="Arial"/>
                  <w:sz w:val="18"/>
                  <w:szCs w:val="18"/>
                  <w:color w:val="0000EE"/>
                  <w:w w:val="87"/>
                </w:rPr>
                <w:t>Item 6.</w:t>
              </w:r>
            </w:hyperlink>
          </w:p>
        </w:tc>
        <w:tc>
          <w:tcPr>
            <w:tcW w:w="20" w:type="dxa"/>
            <w:vAlign w:val="bottom"/>
            <w:tcBorders>
              <w:top w:val="single" w:sz="8" w:color="0000EE"/>
            </w:tcBorders>
          </w:tcPr>
          <w:p>
            <w:pPr>
              <w:spacing w:after="0"/>
              <w:rPr>
                <w:sz w:val="15"/>
                <w:szCs w:val="15"/>
                <w:color w:val="auto"/>
              </w:rPr>
            </w:pPr>
          </w:p>
        </w:tc>
        <w:tc>
          <w:tcPr>
            <w:tcW w:w="22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95"/>
              </w:rPr>
            </w:pPr>
            <w:hyperlink w:anchor="page63">
              <w:r>
                <w:rPr>
                  <w:rFonts w:ascii="Arial" w:cs="Arial" w:eastAsia="Arial" w:hAnsi="Arial"/>
                  <w:sz w:val="18"/>
                  <w:szCs w:val="18"/>
                  <w:color w:val="0000EE"/>
                  <w:w w:val="95"/>
                </w:rPr>
                <w:t>EXHIBITS</w:t>
              </w:r>
            </w:hyperlink>
          </w:p>
        </w:tc>
        <w:tc>
          <w:tcPr>
            <w:tcW w:w="1080" w:type="dxa"/>
            <w:vAlign w:val="bottom"/>
            <w:tcBorders>
              <w:top w:val="single" w:sz="8" w:color="0000EE"/>
            </w:tcBorders>
            <w:gridSpan w:val="4"/>
          </w:tcPr>
          <w:p>
            <w:pPr>
              <w:spacing w:after="0"/>
              <w:rPr>
                <w:sz w:val="15"/>
                <w:szCs w:val="15"/>
                <w:color w:val="auto"/>
              </w:rPr>
            </w:pPr>
          </w:p>
        </w:tc>
        <w:tc>
          <w:tcPr>
            <w:tcW w:w="4780" w:type="dxa"/>
            <w:vAlign w:val="bottom"/>
            <w:gridSpan w:val="16"/>
          </w:tcPr>
          <w:p>
            <w:pPr>
              <w:spacing w:after="0"/>
              <w:rPr>
                <w:sz w:val="15"/>
                <w:szCs w:val="15"/>
                <w:color w:val="auto"/>
              </w:rPr>
            </w:pPr>
          </w:p>
        </w:tc>
        <w:tc>
          <w:tcPr>
            <w:tcW w:w="1480" w:type="dxa"/>
            <w:vAlign w:val="bottom"/>
          </w:tcPr>
          <w:p>
            <w:pPr>
              <w:jc w:val="right"/>
              <w:spacing w:after="0" w:line="182"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tcBorders>
              <w:bottom w:val="single" w:sz="8" w:color="0000EE"/>
            </w:tcBorders>
            <w:gridSpan w:val="2"/>
          </w:tcPr>
          <w:p>
            <w:pPr>
              <w:spacing w:after="0" w:line="182" w:lineRule="exact"/>
              <w:rPr>
                <w:rFonts w:ascii="Arial" w:cs="Arial" w:eastAsia="Arial" w:hAnsi="Arial"/>
                <w:sz w:val="18"/>
                <w:szCs w:val="18"/>
                <w:color w:val="0000EE"/>
                <w:w w:val="90"/>
              </w:rPr>
            </w:pPr>
            <w:hyperlink w:anchor="page64">
              <w:r>
                <w:rPr>
                  <w:rFonts w:ascii="Arial" w:cs="Arial" w:eastAsia="Arial" w:hAnsi="Arial"/>
                  <w:sz w:val="18"/>
                  <w:szCs w:val="18"/>
                  <w:color w:val="0000EE"/>
                  <w:w w:val="90"/>
                </w:rPr>
                <w:t>SIGNATURES</w:t>
              </w:r>
            </w:hyperlink>
          </w:p>
        </w:tc>
        <w:tc>
          <w:tcPr>
            <w:tcW w:w="5580" w:type="dxa"/>
            <w:vAlign w:val="bottom"/>
            <w:gridSpan w:val="19"/>
          </w:tcPr>
          <w:p>
            <w:pPr>
              <w:spacing w:after="0"/>
              <w:rPr>
                <w:sz w:val="15"/>
                <w:szCs w:val="15"/>
                <w:color w:val="auto"/>
              </w:rPr>
            </w:pPr>
          </w:p>
        </w:tc>
        <w:tc>
          <w:tcPr>
            <w:tcW w:w="1480" w:type="dxa"/>
            <w:vAlign w:val="bottom"/>
          </w:tcPr>
          <w:p>
            <w:pPr>
              <w:jc w:val="right"/>
              <w:spacing w:after="0" w:line="182"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871"/>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0" w:type="dxa"/>
            <w:vAlign w:val="bottom"/>
            <w:gridSpan w:val="16"/>
          </w:tcPr>
          <w:p>
            <w:pPr>
              <w:ind w:left="3660"/>
              <w:spacing w:after="0"/>
              <w:rPr>
                <w:sz w:val="20"/>
                <w:szCs w:val="20"/>
                <w:color w:val="auto"/>
              </w:rPr>
            </w:pPr>
            <w:r>
              <w:rPr>
                <w:rFonts w:ascii="Arial" w:cs="Arial" w:eastAsia="Arial" w:hAnsi="Arial"/>
                <w:sz w:val="18"/>
                <w:szCs w:val="18"/>
                <w:color w:val="auto"/>
              </w:rPr>
              <w:t>2</w:t>
            </w: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GLOSSARY</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7"/>
          <w:szCs w:val="17"/>
          <w:color w:val="auto"/>
        </w:rPr>
        <w:t>We use acronyms, abbreviations, and other terms throughout this Quarterly Report, as defined in the glossary below:</w:t>
      </w:r>
    </w:p>
    <w:p>
      <w:pPr>
        <w:spacing w:after="0" w:line="215"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2500" w:type="dxa"/>
            <w:vAlign w:val="bottom"/>
            <w:gridSpan w:val="2"/>
          </w:tcPr>
          <w:p>
            <w:pPr>
              <w:ind w:left="20"/>
              <w:spacing w:after="0"/>
              <w:rPr>
                <w:sz w:val="20"/>
                <w:szCs w:val="20"/>
                <w:color w:val="auto"/>
              </w:rPr>
            </w:pPr>
            <w:r>
              <w:rPr>
                <w:rFonts w:ascii="Arial" w:cs="Arial" w:eastAsia="Arial" w:hAnsi="Arial"/>
                <w:sz w:val="14"/>
                <w:szCs w:val="14"/>
                <w:b w:val="1"/>
                <w:bCs w:val="1"/>
                <w:color w:val="auto"/>
              </w:rPr>
              <w:t>Term</w:t>
            </w:r>
          </w:p>
        </w:tc>
        <w:tc>
          <w:tcPr>
            <w:tcW w:w="6420" w:type="dxa"/>
            <w:vAlign w:val="bottom"/>
            <w:gridSpan w:val="2"/>
          </w:tcPr>
          <w:p>
            <w:pPr>
              <w:spacing w:after="0"/>
              <w:rPr>
                <w:sz w:val="20"/>
                <w:szCs w:val="20"/>
                <w:color w:val="auto"/>
              </w:rPr>
            </w:pPr>
            <w:r>
              <w:rPr>
                <w:rFonts w:ascii="Arial" w:cs="Arial" w:eastAsia="Arial" w:hAnsi="Arial"/>
                <w:sz w:val="14"/>
                <w:szCs w:val="14"/>
                <w:b w:val="1"/>
                <w:bCs w:val="1"/>
                <w:color w:val="auto"/>
              </w:rPr>
              <w:t>Definition</w:t>
            </w:r>
          </w:p>
        </w:tc>
      </w:tr>
      <w:tr>
        <w:trPr>
          <w:trHeight w:val="196"/>
        </w:trPr>
        <w:tc>
          <w:tcPr>
            <w:tcW w:w="222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2020 Equity Plan</w:t>
            </w:r>
          </w:p>
        </w:tc>
        <w:tc>
          <w:tcPr>
            <w:tcW w:w="280" w:type="dxa"/>
            <w:vAlign w:val="bottom"/>
            <w:tcBorders>
              <w:top w:val="single" w:sz="8" w:color="CCEEFF"/>
            </w:tcBorders>
            <w:shd w:val="clear" w:color="auto" w:fill="CCEEFF"/>
          </w:tcPr>
          <w:p>
            <w:pPr>
              <w:spacing w:after="0"/>
              <w:rPr>
                <w:sz w:val="17"/>
                <w:szCs w:val="17"/>
                <w:color w:val="auto"/>
              </w:rPr>
            </w:pPr>
          </w:p>
        </w:tc>
        <w:tc>
          <w:tcPr>
            <w:tcW w:w="64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First Busey's 2020 Equity Incentive Plan</w:t>
            </w:r>
          </w:p>
        </w:tc>
        <w:tc>
          <w:tcPr>
            <w:tcW w:w="20" w:type="dxa"/>
            <w:vAlign w:val="bottom"/>
          </w:tcPr>
          <w:p>
            <w:pPr>
              <w:spacing w:after="0"/>
              <w:rPr>
                <w:sz w:val="17"/>
                <w:szCs w:val="17"/>
                <w:color w:val="auto"/>
              </w:rPr>
            </w:pPr>
          </w:p>
        </w:tc>
      </w:tr>
      <w:tr>
        <w:trPr>
          <w:trHeight w:val="203"/>
        </w:trPr>
        <w:tc>
          <w:tcPr>
            <w:tcW w:w="25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2020 Annual Report</w:t>
            </w:r>
          </w:p>
        </w:tc>
        <w:tc>
          <w:tcPr>
            <w:tcW w:w="6400" w:type="dxa"/>
            <w:vAlign w:val="bottom"/>
          </w:tcPr>
          <w:p>
            <w:pPr>
              <w:spacing w:after="0" w:line="202" w:lineRule="exact"/>
              <w:rPr>
                <w:sz w:val="20"/>
                <w:szCs w:val="20"/>
                <w:color w:val="auto"/>
              </w:rPr>
            </w:pPr>
            <w:r>
              <w:rPr>
                <w:rFonts w:ascii="Arial" w:cs="Arial" w:eastAsia="Arial" w:hAnsi="Arial"/>
                <w:sz w:val="18"/>
                <w:szCs w:val="18"/>
                <w:color w:val="auto"/>
              </w:rPr>
              <w:t>Annual report for the year ended December 31, 2020</w:t>
            </w:r>
          </w:p>
        </w:tc>
        <w:tc>
          <w:tcPr>
            <w:tcW w:w="20" w:type="dxa"/>
            <w:vAlign w:val="bottom"/>
          </w:tcPr>
          <w:p>
            <w:pPr>
              <w:spacing w:after="0"/>
              <w:rPr>
                <w:sz w:val="17"/>
                <w:szCs w:val="17"/>
                <w:color w:val="auto"/>
              </w:rPr>
            </w:pPr>
          </w:p>
        </w:tc>
      </w:tr>
      <w:tr>
        <w:trPr>
          <w:trHeight w:val="203"/>
        </w:trPr>
        <w:tc>
          <w:tcPr>
            <w:tcW w:w="250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ACL</w:t>
            </w:r>
          </w:p>
        </w:tc>
        <w:tc>
          <w:tcPr>
            <w:tcW w:w="6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Allowance for credit losses</w:t>
            </w:r>
          </w:p>
        </w:tc>
        <w:tc>
          <w:tcPr>
            <w:tcW w:w="20" w:type="dxa"/>
            <w:vAlign w:val="bottom"/>
          </w:tcPr>
          <w:p>
            <w:pPr>
              <w:spacing w:after="0"/>
              <w:rPr>
                <w:sz w:val="17"/>
                <w:szCs w:val="17"/>
                <w:color w:val="auto"/>
              </w:rPr>
            </w:pPr>
          </w:p>
        </w:tc>
      </w:tr>
      <w:tr>
        <w:trPr>
          <w:trHeight w:val="188"/>
        </w:trPr>
        <w:tc>
          <w:tcPr>
            <w:tcW w:w="250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Annual Report</w:t>
            </w:r>
          </w:p>
        </w:tc>
        <w:tc>
          <w:tcPr>
            <w:tcW w:w="6400" w:type="dxa"/>
            <w:vAlign w:val="bottom"/>
          </w:tcPr>
          <w:p>
            <w:pPr>
              <w:spacing w:after="0" w:line="189" w:lineRule="exact"/>
              <w:rPr>
                <w:sz w:val="20"/>
                <w:szCs w:val="20"/>
                <w:color w:val="auto"/>
              </w:rPr>
            </w:pPr>
            <w:r>
              <w:rPr>
                <w:rFonts w:ascii="Arial" w:cs="Arial" w:eastAsia="Arial" w:hAnsi="Arial"/>
                <w:sz w:val="18"/>
                <w:szCs w:val="18"/>
                <w:color w:val="auto"/>
                <w:w w:val="94"/>
              </w:rPr>
              <w:t>Annual report filed with the SEC on Form 10-K pursuant to Section 13 or 15(d) of the</w:t>
            </w:r>
          </w:p>
        </w:tc>
        <w:tc>
          <w:tcPr>
            <w:tcW w:w="20" w:type="dxa"/>
            <w:vAlign w:val="bottom"/>
          </w:tcPr>
          <w:p>
            <w:pPr>
              <w:spacing w:after="0"/>
              <w:rPr>
                <w:sz w:val="16"/>
                <w:szCs w:val="16"/>
                <w:color w:val="auto"/>
              </w:rPr>
            </w:pPr>
          </w:p>
        </w:tc>
      </w:tr>
      <w:tr>
        <w:trPr>
          <w:trHeight w:val="217"/>
        </w:trPr>
        <w:tc>
          <w:tcPr>
            <w:tcW w:w="2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Securities Exchange Act of 1934</w:t>
            </w:r>
          </w:p>
        </w:tc>
      </w:tr>
      <w:tr>
        <w:trPr>
          <w:trHeight w:val="203"/>
        </w:trPr>
        <w:tc>
          <w:tcPr>
            <w:tcW w:w="250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ASC</w:t>
            </w:r>
          </w:p>
        </w:tc>
        <w:tc>
          <w:tcPr>
            <w:tcW w:w="6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Accounting Standards Codification</w:t>
            </w:r>
          </w:p>
        </w:tc>
        <w:tc>
          <w:tcPr>
            <w:tcW w:w="20" w:type="dxa"/>
            <w:vAlign w:val="bottom"/>
          </w:tcPr>
          <w:p>
            <w:pPr>
              <w:spacing w:after="0"/>
              <w:rPr>
                <w:sz w:val="17"/>
                <w:szCs w:val="17"/>
                <w:color w:val="auto"/>
              </w:rPr>
            </w:pPr>
          </w:p>
        </w:tc>
      </w:tr>
      <w:tr>
        <w:trPr>
          <w:trHeight w:val="203"/>
        </w:trPr>
        <w:tc>
          <w:tcPr>
            <w:tcW w:w="25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ASU</w:t>
            </w:r>
          </w:p>
        </w:tc>
        <w:tc>
          <w:tcPr>
            <w:tcW w:w="6400" w:type="dxa"/>
            <w:vAlign w:val="bottom"/>
          </w:tcPr>
          <w:p>
            <w:pPr>
              <w:spacing w:after="0" w:line="202" w:lineRule="exact"/>
              <w:rPr>
                <w:sz w:val="20"/>
                <w:szCs w:val="20"/>
                <w:color w:val="auto"/>
              </w:rPr>
            </w:pPr>
            <w:r>
              <w:rPr>
                <w:rFonts w:ascii="Arial" w:cs="Arial" w:eastAsia="Arial" w:hAnsi="Arial"/>
                <w:sz w:val="18"/>
                <w:szCs w:val="18"/>
                <w:color w:val="auto"/>
              </w:rPr>
              <w:t>Accounting Standards Update</w:t>
            </w:r>
          </w:p>
        </w:tc>
        <w:tc>
          <w:tcPr>
            <w:tcW w:w="20" w:type="dxa"/>
            <w:vAlign w:val="bottom"/>
          </w:tcPr>
          <w:p>
            <w:pPr>
              <w:spacing w:after="0"/>
              <w:rPr>
                <w:sz w:val="17"/>
                <w:szCs w:val="17"/>
                <w:color w:val="auto"/>
              </w:rPr>
            </w:pPr>
          </w:p>
        </w:tc>
      </w:tr>
      <w:tr>
        <w:trPr>
          <w:trHeight w:val="203"/>
        </w:trPr>
        <w:tc>
          <w:tcPr>
            <w:tcW w:w="250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Banc Ed</w:t>
            </w:r>
          </w:p>
        </w:tc>
        <w:tc>
          <w:tcPr>
            <w:tcW w:w="6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The Banc Ed Corp.</w:t>
            </w:r>
          </w:p>
        </w:tc>
        <w:tc>
          <w:tcPr>
            <w:tcW w:w="20" w:type="dxa"/>
            <w:vAlign w:val="bottom"/>
          </w:tcPr>
          <w:p>
            <w:pPr>
              <w:spacing w:after="0"/>
              <w:rPr>
                <w:sz w:val="17"/>
                <w:szCs w:val="17"/>
                <w:color w:val="auto"/>
              </w:rPr>
            </w:pPr>
          </w:p>
        </w:tc>
      </w:tr>
      <w:tr>
        <w:trPr>
          <w:trHeight w:val="188"/>
        </w:trPr>
        <w:tc>
          <w:tcPr>
            <w:tcW w:w="250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Basel III</w:t>
            </w:r>
          </w:p>
        </w:tc>
        <w:tc>
          <w:tcPr>
            <w:tcW w:w="6400" w:type="dxa"/>
            <w:vAlign w:val="bottom"/>
          </w:tcPr>
          <w:p>
            <w:pPr>
              <w:spacing w:after="0" w:line="189" w:lineRule="exact"/>
              <w:rPr>
                <w:sz w:val="20"/>
                <w:szCs w:val="20"/>
                <w:color w:val="auto"/>
              </w:rPr>
            </w:pPr>
            <w:r>
              <w:rPr>
                <w:rFonts w:ascii="Arial" w:cs="Arial" w:eastAsia="Arial" w:hAnsi="Arial"/>
                <w:sz w:val="18"/>
                <w:szCs w:val="18"/>
                <w:color w:val="auto"/>
              </w:rPr>
              <w:t>2010 capital accord adopted by the international Basel Committee on Banking</w:t>
            </w:r>
          </w:p>
        </w:tc>
        <w:tc>
          <w:tcPr>
            <w:tcW w:w="20" w:type="dxa"/>
            <w:vAlign w:val="bottom"/>
          </w:tcPr>
          <w:p>
            <w:pPr>
              <w:spacing w:after="0"/>
              <w:rPr>
                <w:sz w:val="16"/>
                <w:szCs w:val="16"/>
                <w:color w:val="auto"/>
              </w:rPr>
            </w:pPr>
          </w:p>
        </w:tc>
      </w:tr>
      <w:tr>
        <w:trPr>
          <w:trHeight w:val="217"/>
        </w:trPr>
        <w:tc>
          <w:tcPr>
            <w:tcW w:w="2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Supervision</w:t>
            </w:r>
          </w:p>
        </w:tc>
      </w:tr>
      <w:tr>
        <w:trPr>
          <w:trHeight w:val="188"/>
        </w:trPr>
        <w:tc>
          <w:tcPr>
            <w:tcW w:w="250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Basel III Rule</w:t>
            </w:r>
          </w:p>
        </w:tc>
        <w:tc>
          <w:tcPr>
            <w:tcW w:w="64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96"/>
              </w:rPr>
              <w:t>Regulations promulgated by U.S. federal banking agencies – the OCC, the Federal</w:t>
            </w:r>
          </w:p>
        </w:tc>
        <w:tc>
          <w:tcPr>
            <w:tcW w:w="20" w:type="dxa"/>
            <w:vAlign w:val="bottom"/>
          </w:tcPr>
          <w:p>
            <w:pPr>
              <w:spacing w:after="0"/>
              <w:rPr>
                <w:sz w:val="16"/>
                <w:szCs w:val="16"/>
                <w:color w:val="auto"/>
              </w:rPr>
            </w:pPr>
          </w:p>
        </w:tc>
      </w:tr>
      <w:tr>
        <w:trPr>
          <w:trHeight w:val="203"/>
        </w:trPr>
        <w:tc>
          <w:tcPr>
            <w:tcW w:w="2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1"/>
              </w:rPr>
              <w:t>Reserve, and the FDIC – to both enforce implementation of certain aspects of the Basel</w:t>
            </w:r>
          </w:p>
        </w:tc>
        <w:tc>
          <w:tcPr>
            <w:tcW w:w="20" w:type="dxa"/>
            <w:vAlign w:val="bottom"/>
          </w:tcPr>
          <w:p>
            <w:pPr>
              <w:spacing w:after="0"/>
              <w:rPr>
                <w:sz w:val="17"/>
                <w:szCs w:val="17"/>
                <w:color w:val="auto"/>
              </w:rPr>
            </w:pPr>
          </w:p>
        </w:tc>
      </w:tr>
      <w:tr>
        <w:trPr>
          <w:trHeight w:val="217"/>
        </w:trPr>
        <w:tc>
          <w:tcPr>
            <w:tcW w:w="2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III capital reforms and effect certain changes required by the Dodd-Frank Act</w:t>
            </w:r>
          </w:p>
        </w:tc>
        <w:tc>
          <w:tcPr>
            <w:tcW w:w="20" w:type="dxa"/>
            <w:vAlign w:val="bottom"/>
          </w:tcPr>
          <w:p>
            <w:pPr>
              <w:spacing w:after="0"/>
              <w:rPr>
                <w:sz w:val="18"/>
                <w:szCs w:val="18"/>
                <w:color w:val="auto"/>
              </w:rPr>
            </w:pPr>
          </w:p>
        </w:tc>
      </w:tr>
      <w:tr>
        <w:trPr>
          <w:trHeight w:val="203"/>
        </w:trPr>
        <w:tc>
          <w:tcPr>
            <w:tcW w:w="25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Busey Bank (or "the Bank")</w:t>
            </w:r>
          </w:p>
        </w:tc>
        <w:tc>
          <w:tcPr>
            <w:tcW w:w="6400" w:type="dxa"/>
            <w:vAlign w:val="bottom"/>
          </w:tcPr>
          <w:p>
            <w:pPr>
              <w:spacing w:after="0" w:line="202" w:lineRule="exact"/>
              <w:rPr>
                <w:sz w:val="20"/>
                <w:szCs w:val="20"/>
                <w:color w:val="auto"/>
              </w:rPr>
            </w:pPr>
            <w:r>
              <w:rPr>
                <w:rFonts w:ascii="Arial" w:cs="Arial" w:eastAsia="Arial" w:hAnsi="Arial"/>
                <w:sz w:val="18"/>
                <w:szCs w:val="18"/>
                <w:color w:val="auto"/>
              </w:rPr>
              <w:t>Busey Bank</w:t>
            </w:r>
          </w:p>
        </w:tc>
        <w:tc>
          <w:tcPr>
            <w:tcW w:w="20" w:type="dxa"/>
            <w:vAlign w:val="bottom"/>
          </w:tcPr>
          <w:p>
            <w:pPr>
              <w:spacing w:after="0"/>
              <w:rPr>
                <w:sz w:val="17"/>
                <w:szCs w:val="17"/>
                <w:color w:val="auto"/>
              </w:rPr>
            </w:pPr>
          </w:p>
        </w:tc>
      </w:tr>
      <w:tr>
        <w:trPr>
          <w:trHeight w:val="202"/>
        </w:trPr>
        <w:tc>
          <w:tcPr>
            <w:tcW w:w="250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CAC</w:t>
            </w:r>
          </w:p>
        </w:tc>
        <w:tc>
          <w:tcPr>
            <w:tcW w:w="6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Cummins-American Corp.</w:t>
            </w:r>
          </w:p>
        </w:tc>
        <w:tc>
          <w:tcPr>
            <w:tcW w:w="20" w:type="dxa"/>
            <w:vAlign w:val="bottom"/>
          </w:tcPr>
          <w:p>
            <w:pPr>
              <w:spacing w:after="0"/>
              <w:rPr>
                <w:sz w:val="17"/>
                <w:szCs w:val="17"/>
                <w:color w:val="auto"/>
              </w:rPr>
            </w:pPr>
          </w:p>
        </w:tc>
      </w:tr>
      <w:tr>
        <w:trPr>
          <w:trHeight w:val="203"/>
        </w:trPr>
        <w:tc>
          <w:tcPr>
            <w:tcW w:w="25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CARES Act</w:t>
            </w:r>
          </w:p>
        </w:tc>
        <w:tc>
          <w:tcPr>
            <w:tcW w:w="6400" w:type="dxa"/>
            <w:vAlign w:val="bottom"/>
          </w:tcPr>
          <w:p>
            <w:pPr>
              <w:spacing w:after="0" w:line="202" w:lineRule="exact"/>
              <w:rPr>
                <w:sz w:val="20"/>
                <w:szCs w:val="20"/>
                <w:color w:val="auto"/>
              </w:rPr>
            </w:pPr>
            <w:r>
              <w:rPr>
                <w:rFonts w:ascii="Arial" w:cs="Arial" w:eastAsia="Arial" w:hAnsi="Arial"/>
                <w:sz w:val="18"/>
                <w:szCs w:val="18"/>
                <w:color w:val="auto"/>
              </w:rPr>
              <w:t>Coronavirus Aid, Relief, and Economic Security Act</w:t>
            </w:r>
          </w:p>
        </w:tc>
        <w:tc>
          <w:tcPr>
            <w:tcW w:w="20" w:type="dxa"/>
            <w:vAlign w:val="bottom"/>
          </w:tcPr>
          <w:p>
            <w:pPr>
              <w:spacing w:after="0"/>
              <w:rPr>
                <w:sz w:val="17"/>
                <w:szCs w:val="17"/>
                <w:color w:val="auto"/>
              </w:rPr>
            </w:pPr>
          </w:p>
        </w:tc>
      </w:tr>
      <w:tr>
        <w:trPr>
          <w:trHeight w:val="203"/>
        </w:trPr>
        <w:tc>
          <w:tcPr>
            <w:tcW w:w="250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CECL</w:t>
            </w:r>
          </w:p>
        </w:tc>
        <w:tc>
          <w:tcPr>
            <w:tcW w:w="6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 Expected Credit Losses</w:t>
            </w:r>
          </w:p>
        </w:tc>
        <w:tc>
          <w:tcPr>
            <w:tcW w:w="20" w:type="dxa"/>
            <w:vAlign w:val="bottom"/>
          </w:tcPr>
          <w:p>
            <w:pPr>
              <w:spacing w:after="0"/>
              <w:rPr>
                <w:sz w:val="17"/>
                <w:szCs w:val="17"/>
                <w:color w:val="auto"/>
              </w:rPr>
            </w:pPr>
          </w:p>
        </w:tc>
      </w:tr>
      <w:tr>
        <w:trPr>
          <w:trHeight w:val="203"/>
        </w:trPr>
        <w:tc>
          <w:tcPr>
            <w:tcW w:w="25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COVID-19</w:t>
            </w:r>
          </w:p>
        </w:tc>
        <w:tc>
          <w:tcPr>
            <w:tcW w:w="6400" w:type="dxa"/>
            <w:vAlign w:val="bottom"/>
          </w:tcPr>
          <w:p>
            <w:pPr>
              <w:spacing w:after="0" w:line="202" w:lineRule="exact"/>
              <w:rPr>
                <w:sz w:val="20"/>
                <w:szCs w:val="20"/>
                <w:color w:val="auto"/>
              </w:rPr>
            </w:pPr>
            <w:r>
              <w:rPr>
                <w:rFonts w:ascii="Arial" w:cs="Arial" w:eastAsia="Arial" w:hAnsi="Arial"/>
                <w:sz w:val="18"/>
                <w:szCs w:val="18"/>
                <w:color w:val="auto"/>
              </w:rPr>
              <w:t>Coronavirus disease 2019</w:t>
            </w:r>
          </w:p>
        </w:tc>
        <w:tc>
          <w:tcPr>
            <w:tcW w:w="20" w:type="dxa"/>
            <w:vAlign w:val="bottom"/>
          </w:tcPr>
          <w:p>
            <w:pPr>
              <w:spacing w:after="0"/>
              <w:rPr>
                <w:sz w:val="17"/>
                <w:szCs w:val="17"/>
                <w:color w:val="auto"/>
              </w:rPr>
            </w:pPr>
          </w:p>
        </w:tc>
      </w:tr>
      <w:tr>
        <w:trPr>
          <w:trHeight w:val="203"/>
        </w:trPr>
        <w:tc>
          <w:tcPr>
            <w:tcW w:w="250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Dodd-Frank Act</w:t>
            </w:r>
          </w:p>
        </w:tc>
        <w:tc>
          <w:tcPr>
            <w:tcW w:w="6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Dodd-Frank Wall Street Reform and Consumer Protection Act</w:t>
            </w:r>
          </w:p>
        </w:tc>
        <w:tc>
          <w:tcPr>
            <w:tcW w:w="20" w:type="dxa"/>
            <w:vAlign w:val="bottom"/>
          </w:tcPr>
          <w:p>
            <w:pPr>
              <w:spacing w:after="0"/>
              <w:rPr>
                <w:sz w:val="17"/>
                <w:szCs w:val="17"/>
                <w:color w:val="auto"/>
              </w:rPr>
            </w:pPr>
          </w:p>
        </w:tc>
      </w:tr>
      <w:tr>
        <w:trPr>
          <w:trHeight w:val="203"/>
        </w:trPr>
        <w:tc>
          <w:tcPr>
            <w:tcW w:w="25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Exchange Act</w:t>
            </w:r>
          </w:p>
        </w:tc>
        <w:tc>
          <w:tcPr>
            <w:tcW w:w="6400" w:type="dxa"/>
            <w:vAlign w:val="bottom"/>
          </w:tcPr>
          <w:p>
            <w:pPr>
              <w:spacing w:after="0" w:line="202" w:lineRule="exact"/>
              <w:rPr>
                <w:sz w:val="20"/>
                <w:szCs w:val="20"/>
                <w:color w:val="auto"/>
              </w:rPr>
            </w:pPr>
            <w:r>
              <w:rPr>
                <w:rFonts w:ascii="Arial" w:cs="Arial" w:eastAsia="Arial" w:hAnsi="Arial"/>
                <w:sz w:val="18"/>
                <w:szCs w:val="18"/>
                <w:color w:val="auto"/>
              </w:rPr>
              <w:t>Securities Exchange Act of 1934, as amended</w:t>
            </w:r>
          </w:p>
        </w:tc>
        <w:tc>
          <w:tcPr>
            <w:tcW w:w="20" w:type="dxa"/>
            <w:vAlign w:val="bottom"/>
          </w:tcPr>
          <w:p>
            <w:pPr>
              <w:spacing w:after="0"/>
              <w:rPr>
                <w:sz w:val="17"/>
                <w:szCs w:val="17"/>
                <w:color w:val="auto"/>
              </w:rPr>
            </w:pPr>
          </w:p>
        </w:tc>
      </w:tr>
      <w:tr>
        <w:trPr>
          <w:trHeight w:val="188"/>
        </w:trPr>
        <w:tc>
          <w:tcPr>
            <w:tcW w:w="250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Fair value</w:t>
            </w:r>
          </w:p>
        </w:tc>
        <w:tc>
          <w:tcPr>
            <w:tcW w:w="64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96"/>
              </w:rPr>
              <w:t>The price that would be received to sell an asset, or paid to transfer a liability, in an</w:t>
            </w:r>
          </w:p>
        </w:tc>
        <w:tc>
          <w:tcPr>
            <w:tcW w:w="20" w:type="dxa"/>
            <w:vAlign w:val="bottom"/>
          </w:tcPr>
          <w:p>
            <w:pPr>
              <w:spacing w:after="0"/>
              <w:rPr>
                <w:sz w:val="16"/>
                <w:szCs w:val="16"/>
                <w:color w:val="auto"/>
              </w:rPr>
            </w:pPr>
          </w:p>
        </w:tc>
      </w:tr>
      <w:tr>
        <w:trPr>
          <w:trHeight w:val="203"/>
        </w:trPr>
        <w:tc>
          <w:tcPr>
            <w:tcW w:w="2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1"/>
              </w:rPr>
              <w:t>orderly transaction between market participants at the measurement date, as defined in</w:t>
            </w:r>
          </w:p>
        </w:tc>
        <w:tc>
          <w:tcPr>
            <w:tcW w:w="20" w:type="dxa"/>
            <w:vAlign w:val="bottom"/>
          </w:tcPr>
          <w:p>
            <w:pPr>
              <w:spacing w:after="0"/>
              <w:rPr>
                <w:sz w:val="17"/>
                <w:szCs w:val="17"/>
                <w:color w:val="auto"/>
              </w:rPr>
            </w:pPr>
          </w:p>
        </w:tc>
      </w:tr>
      <w:tr>
        <w:trPr>
          <w:trHeight w:val="217"/>
        </w:trPr>
        <w:tc>
          <w:tcPr>
            <w:tcW w:w="2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ASC 820</w:t>
            </w:r>
          </w:p>
        </w:tc>
        <w:tc>
          <w:tcPr>
            <w:tcW w:w="20" w:type="dxa"/>
            <w:vAlign w:val="bottom"/>
          </w:tcPr>
          <w:p>
            <w:pPr>
              <w:spacing w:after="0"/>
              <w:rPr>
                <w:sz w:val="18"/>
                <w:szCs w:val="18"/>
                <w:color w:val="auto"/>
              </w:rPr>
            </w:pPr>
          </w:p>
        </w:tc>
      </w:tr>
      <w:tr>
        <w:trPr>
          <w:trHeight w:val="203"/>
        </w:trPr>
        <w:tc>
          <w:tcPr>
            <w:tcW w:w="25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FASB</w:t>
            </w:r>
          </w:p>
        </w:tc>
        <w:tc>
          <w:tcPr>
            <w:tcW w:w="6400" w:type="dxa"/>
            <w:vAlign w:val="bottom"/>
          </w:tcPr>
          <w:p>
            <w:pPr>
              <w:spacing w:after="0" w:line="202" w:lineRule="exact"/>
              <w:rPr>
                <w:sz w:val="20"/>
                <w:szCs w:val="20"/>
                <w:color w:val="auto"/>
              </w:rPr>
            </w:pPr>
            <w:r>
              <w:rPr>
                <w:rFonts w:ascii="Arial" w:cs="Arial" w:eastAsia="Arial" w:hAnsi="Arial"/>
                <w:sz w:val="18"/>
                <w:szCs w:val="18"/>
                <w:color w:val="auto"/>
              </w:rPr>
              <w:t>Financial Accounting Standards Board</w:t>
            </w:r>
          </w:p>
        </w:tc>
        <w:tc>
          <w:tcPr>
            <w:tcW w:w="20" w:type="dxa"/>
            <w:vAlign w:val="bottom"/>
          </w:tcPr>
          <w:p>
            <w:pPr>
              <w:spacing w:after="0"/>
              <w:rPr>
                <w:sz w:val="17"/>
                <w:szCs w:val="17"/>
                <w:color w:val="auto"/>
              </w:rPr>
            </w:pPr>
          </w:p>
        </w:tc>
      </w:tr>
      <w:tr>
        <w:trPr>
          <w:trHeight w:val="203"/>
        </w:trPr>
        <w:tc>
          <w:tcPr>
            <w:tcW w:w="250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FDIC</w:t>
            </w:r>
          </w:p>
        </w:tc>
        <w:tc>
          <w:tcPr>
            <w:tcW w:w="6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Federal Deposit Insurance Corporation</w:t>
            </w:r>
          </w:p>
        </w:tc>
        <w:tc>
          <w:tcPr>
            <w:tcW w:w="20" w:type="dxa"/>
            <w:vAlign w:val="bottom"/>
          </w:tcPr>
          <w:p>
            <w:pPr>
              <w:spacing w:after="0"/>
              <w:rPr>
                <w:sz w:val="17"/>
                <w:szCs w:val="17"/>
                <w:color w:val="auto"/>
              </w:rPr>
            </w:pPr>
          </w:p>
        </w:tc>
      </w:tr>
      <w:tr>
        <w:trPr>
          <w:trHeight w:val="203"/>
        </w:trPr>
        <w:tc>
          <w:tcPr>
            <w:tcW w:w="25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Federal Reserve</w:t>
            </w:r>
          </w:p>
        </w:tc>
        <w:tc>
          <w:tcPr>
            <w:tcW w:w="6400" w:type="dxa"/>
            <w:vAlign w:val="bottom"/>
          </w:tcPr>
          <w:p>
            <w:pPr>
              <w:spacing w:after="0" w:line="202" w:lineRule="exact"/>
              <w:rPr>
                <w:sz w:val="20"/>
                <w:szCs w:val="20"/>
                <w:color w:val="auto"/>
              </w:rPr>
            </w:pPr>
            <w:r>
              <w:rPr>
                <w:rFonts w:ascii="Arial" w:cs="Arial" w:eastAsia="Arial" w:hAnsi="Arial"/>
                <w:sz w:val="18"/>
                <w:szCs w:val="18"/>
                <w:color w:val="auto"/>
              </w:rPr>
              <w:t>Board of Governors of the Federal Reserve System</w:t>
            </w:r>
          </w:p>
        </w:tc>
        <w:tc>
          <w:tcPr>
            <w:tcW w:w="20" w:type="dxa"/>
            <w:vAlign w:val="bottom"/>
          </w:tcPr>
          <w:p>
            <w:pPr>
              <w:spacing w:after="0"/>
              <w:rPr>
                <w:sz w:val="17"/>
                <w:szCs w:val="17"/>
                <w:color w:val="auto"/>
              </w:rPr>
            </w:pPr>
          </w:p>
        </w:tc>
      </w:tr>
      <w:tr>
        <w:trPr>
          <w:trHeight w:val="203"/>
        </w:trPr>
        <w:tc>
          <w:tcPr>
            <w:tcW w:w="250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FHFA</w:t>
            </w:r>
          </w:p>
        </w:tc>
        <w:tc>
          <w:tcPr>
            <w:tcW w:w="6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Federal Housing Finance Agency</w:t>
            </w:r>
          </w:p>
        </w:tc>
        <w:tc>
          <w:tcPr>
            <w:tcW w:w="20" w:type="dxa"/>
            <w:vAlign w:val="bottom"/>
          </w:tcPr>
          <w:p>
            <w:pPr>
              <w:spacing w:after="0"/>
              <w:rPr>
                <w:sz w:val="17"/>
                <w:szCs w:val="17"/>
                <w:color w:val="auto"/>
              </w:rPr>
            </w:pPr>
          </w:p>
        </w:tc>
      </w:tr>
      <w:tr>
        <w:trPr>
          <w:trHeight w:val="203"/>
        </w:trPr>
        <w:tc>
          <w:tcPr>
            <w:tcW w:w="25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FHLB</w:t>
            </w:r>
          </w:p>
        </w:tc>
        <w:tc>
          <w:tcPr>
            <w:tcW w:w="6400" w:type="dxa"/>
            <w:vAlign w:val="bottom"/>
          </w:tcPr>
          <w:p>
            <w:pPr>
              <w:spacing w:after="0" w:line="202" w:lineRule="exact"/>
              <w:rPr>
                <w:sz w:val="20"/>
                <w:szCs w:val="20"/>
                <w:color w:val="auto"/>
              </w:rPr>
            </w:pPr>
            <w:r>
              <w:rPr>
                <w:rFonts w:ascii="Arial" w:cs="Arial" w:eastAsia="Arial" w:hAnsi="Arial"/>
                <w:sz w:val="18"/>
                <w:szCs w:val="18"/>
                <w:color w:val="auto"/>
              </w:rPr>
              <w:t>Federal Home Loan Bank</w:t>
            </w:r>
          </w:p>
        </w:tc>
        <w:tc>
          <w:tcPr>
            <w:tcW w:w="20" w:type="dxa"/>
            <w:vAlign w:val="bottom"/>
          </w:tcPr>
          <w:p>
            <w:pPr>
              <w:spacing w:after="0"/>
              <w:rPr>
                <w:sz w:val="17"/>
                <w:szCs w:val="17"/>
                <w:color w:val="auto"/>
              </w:rPr>
            </w:pPr>
          </w:p>
        </w:tc>
      </w:tr>
      <w:tr>
        <w:trPr>
          <w:trHeight w:val="188"/>
        </w:trPr>
        <w:tc>
          <w:tcPr>
            <w:tcW w:w="250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First Busey</w:t>
            </w:r>
          </w:p>
        </w:tc>
        <w:tc>
          <w:tcPr>
            <w:tcW w:w="64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92"/>
              </w:rPr>
              <w:t>First Busey Corporation and its wholly-owned consolidated subsidiaries; also, "Busey,"</w:t>
            </w:r>
          </w:p>
        </w:tc>
        <w:tc>
          <w:tcPr>
            <w:tcW w:w="20" w:type="dxa"/>
            <w:vAlign w:val="bottom"/>
          </w:tcPr>
          <w:p>
            <w:pPr>
              <w:spacing w:after="0"/>
              <w:rPr>
                <w:sz w:val="16"/>
                <w:szCs w:val="16"/>
                <w:color w:val="auto"/>
              </w:rPr>
            </w:pPr>
          </w:p>
        </w:tc>
      </w:tr>
      <w:tr>
        <w:trPr>
          <w:trHeight w:val="217"/>
        </w:trPr>
        <w:tc>
          <w:tcPr>
            <w:tcW w:w="2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"the Company," "we," "us," and "our"</w:t>
            </w:r>
          </w:p>
        </w:tc>
        <w:tc>
          <w:tcPr>
            <w:tcW w:w="20" w:type="dxa"/>
            <w:vAlign w:val="bottom"/>
          </w:tcPr>
          <w:p>
            <w:pPr>
              <w:spacing w:after="0"/>
              <w:rPr>
                <w:sz w:val="18"/>
                <w:szCs w:val="18"/>
                <w:color w:val="auto"/>
              </w:rPr>
            </w:pPr>
          </w:p>
        </w:tc>
      </w:tr>
      <w:tr>
        <w:trPr>
          <w:trHeight w:val="203"/>
        </w:trPr>
        <w:tc>
          <w:tcPr>
            <w:tcW w:w="25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First Busey Risk Management</w:t>
            </w:r>
          </w:p>
        </w:tc>
        <w:tc>
          <w:tcPr>
            <w:tcW w:w="6400" w:type="dxa"/>
            <w:vAlign w:val="bottom"/>
          </w:tcPr>
          <w:p>
            <w:pPr>
              <w:spacing w:after="0" w:line="202" w:lineRule="exact"/>
              <w:rPr>
                <w:sz w:val="20"/>
                <w:szCs w:val="20"/>
                <w:color w:val="auto"/>
              </w:rPr>
            </w:pPr>
            <w:r>
              <w:rPr>
                <w:rFonts w:ascii="Arial" w:cs="Arial" w:eastAsia="Arial" w:hAnsi="Arial"/>
                <w:sz w:val="18"/>
                <w:szCs w:val="18"/>
                <w:color w:val="auto"/>
              </w:rPr>
              <w:t>First Busey Risk Management, Inc.</w:t>
            </w:r>
          </w:p>
        </w:tc>
        <w:tc>
          <w:tcPr>
            <w:tcW w:w="20" w:type="dxa"/>
            <w:vAlign w:val="bottom"/>
          </w:tcPr>
          <w:p>
            <w:pPr>
              <w:spacing w:after="0"/>
              <w:rPr>
                <w:sz w:val="17"/>
                <w:szCs w:val="17"/>
                <w:color w:val="auto"/>
              </w:rPr>
            </w:pPr>
          </w:p>
        </w:tc>
      </w:tr>
      <w:tr>
        <w:trPr>
          <w:trHeight w:val="203"/>
        </w:trPr>
        <w:tc>
          <w:tcPr>
            <w:tcW w:w="250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FirsTech</w:t>
            </w:r>
          </w:p>
        </w:tc>
        <w:tc>
          <w:tcPr>
            <w:tcW w:w="6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FirsTech, Inc.</w:t>
            </w:r>
          </w:p>
        </w:tc>
        <w:tc>
          <w:tcPr>
            <w:tcW w:w="20" w:type="dxa"/>
            <w:vAlign w:val="bottom"/>
          </w:tcPr>
          <w:p>
            <w:pPr>
              <w:spacing w:after="0"/>
              <w:rPr>
                <w:sz w:val="17"/>
                <w:szCs w:val="17"/>
                <w:color w:val="auto"/>
              </w:rPr>
            </w:pPr>
          </w:p>
        </w:tc>
      </w:tr>
      <w:tr>
        <w:trPr>
          <w:trHeight w:val="203"/>
        </w:trPr>
        <w:tc>
          <w:tcPr>
            <w:tcW w:w="25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FOMC</w:t>
            </w:r>
          </w:p>
        </w:tc>
        <w:tc>
          <w:tcPr>
            <w:tcW w:w="6400" w:type="dxa"/>
            <w:vAlign w:val="bottom"/>
          </w:tcPr>
          <w:p>
            <w:pPr>
              <w:spacing w:after="0" w:line="202" w:lineRule="exact"/>
              <w:rPr>
                <w:sz w:val="20"/>
                <w:szCs w:val="20"/>
                <w:color w:val="auto"/>
              </w:rPr>
            </w:pPr>
            <w:r>
              <w:rPr>
                <w:rFonts w:ascii="Arial" w:cs="Arial" w:eastAsia="Arial" w:hAnsi="Arial"/>
                <w:sz w:val="18"/>
                <w:szCs w:val="18"/>
                <w:color w:val="auto"/>
              </w:rPr>
              <w:t>Federal Open Market Committee</w:t>
            </w:r>
          </w:p>
        </w:tc>
        <w:tc>
          <w:tcPr>
            <w:tcW w:w="20" w:type="dxa"/>
            <w:vAlign w:val="bottom"/>
          </w:tcPr>
          <w:p>
            <w:pPr>
              <w:spacing w:after="0"/>
              <w:rPr>
                <w:sz w:val="17"/>
                <w:szCs w:val="17"/>
                <w:color w:val="auto"/>
              </w:rPr>
            </w:pPr>
          </w:p>
        </w:tc>
      </w:tr>
      <w:tr>
        <w:trPr>
          <w:trHeight w:val="203"/>
        </w:trPr>
        <w:tc>
          <w:tcPr>
            <w:tcW w:w="250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GAAP</w:t>
            </w:r>
          </w:p>
        </w:tc>
        <w:tc>
          <w:tcPr>
            <w:tcW w:w="6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U.S. Generally Accepted Accounting Principles</w:t>
            </w:r>
          </w:p>
        </w:tc>
        <w:tc>
          <w:tcPr>
            <w:tcW w:w="20" w:type="dxa"/>
            <w:vAlign w:val="bottom"/>
          </w:tcPr>
          <w:p>
            <w:pPr>
              <w:spacing w:after="0"/>
              <w:rPr>
                <w:sz w:val="17"/>
                <w:szCs w:val="17"/>
                <w:color w:val="auto"/>
              </w:rPr>
            </w:pPr>
          </w:p>
        </w:tc>
      </w:tr>
      <w:tr>
        <w:trPr>
          <w:trHeight w:val="203"/>
        </w:trPr>
        <w:tc>
          <w:tcPr>
            <w:tcW w:w="25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GSB</w:t>
            </w:r>
          </w:p>
        </w:tc>
        <w:tc>
          <w:tcPr>
            <w:tcW w:w="6400" w:type="dxa"/>
            <w:vAlign w:val="bottom"/>
          </w:tcPr>
          <w:p>
            <w:pPr>
              <w:spacing w:after="0" w:line="202" w:lineRule="exact"/>
              <w:rPr>
                <w:sz w:val="20"/>
                <w:szCs w:val="20"/>
                <w:color w:val="auto"/>
              </w:rPr>
            </w:pPr>
            <w:r>
              <w:rPr>
                <w:rFonts w:ascii="Arial" w:cs="Arial" w:eastAsia="Arial" w:hAnsi="Arial"/>
                <w:sz w:val="18"/>
                <w:szCs w:val="18"/>
                <w:color w:val="auto"/>
              </w:rPr>
              <w:t>Glenview State Bank</w:t>
            </w:r>
          </w:p>
        </w:tc>
        <w:tc>
          <w:tcPr>
            <w:tcW w:w="20" w:type="dxa"/>
            <w:vAlign w:val="bottom"/>
          </w:tcPr>
          <w:p>
            <w:pPr>
              <w:spacing w:after="0"/>
              <w:rPr>
                <w:sz w:val="17"/>
                <w:szCs w:val="17"/>
                <w:color w:val="auto"/>
              </w:rPr>
            </w:pPr>
          </w:p>
        </w:tc>
      </w:tr>
      <w:tr>
        <w:trPr>
          <w:trHeight w:val="188"/>
        </w:trPr>
        <w:tc>
          <w:tcPr>
            <w:tcW w:w="250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Interagency Statement</w:t>
            </w:r>
          </w:p>
        </w:tc>
        <w:tc>
          <w:tcPr>
            <w:tcW w:w="64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94"/>
              </w:rPr>
              <w:t>Interagency Statement on Loan Modifications and Reporting for Financial Institutions</w:t>
            </w:r>
          </w:p>
        </w:tc>
        <w:tc>
          <w:tcPr>
            <w:tcW w:w="20" w:type="dxa"/>
            <w:vAlign w:val="bottom"/>
          </w:tcPr>
          <w:p>
            <w:pPr>
              <w:spacing w:after="0"/>
              <w:rPr>
                <w:sz w:val="16"/>
                <w:szCs w:val="16"/>
                <w:color w:val="auto"/>
              </w:rPr>
            </w:pPr>
          </w:p>
        </w:tc>
      </w:tr>
      <w:tr>
        <w:trPr>
          <w:trHeight w:val="203"/>
        </w:trPr>
        <w:tc>
          <w:tcPr>
            <w:tcW w:w="2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3"/>
              </w:rPr>
              <w:t>Working with Customers Affected by the Coronavirus, issued on March 22, 2020, and</w:t>
            </w:r>
          </w:p>
        </w:tc>
        <w:tc>
          <w:tcPr>
            <w:tcW w:w="20" w:type="dxa"/>
            <w:vAlign w:val="bottom"/>
          </w:tcPr>
          <w:p>
            <w:pPr>
              <w:spacing w:after="0"/>
              <w:rPr>
                <w:sz w:val="17"/>
                <w:szCs w:val="17"/>
                <w:color w:val="auto"/>
              </w:rPr>
            </w:pPr>
          </w:p>
        </w:tc>
      </w:tr>
      <w:tr>
        <w:trPr>
          <w:trHeight w:val="217"/>
        </w:trPr>
        <w:tc>
          <w:tcPr>
            <w:tcW w:w="2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revised on April 7, 2020</w:t>
            </w:r>
          </w:p>
        </w:tc>
        <w:tc>
          <w:tcPr>
            <w:tcW w:w="20" w:type="dxa"/>
            <w:vAlign w:val="bottom"/>
          </w:tcPr>
          <w:p>
            <w:pPr>
              <w:spacing w:after="0"/>
              <w:rPr>
                <w:sz w:val="18"/>
                <w:szCs w:val="18"/>
                <w:color w:val="auto"/>
              </w:rPr>
            </w:pPr>
          </w:p>
        </w:tc>
      </w:tr>
      <w:tr>
        <w:trPr>
          <w:trHeight w:val="203"/>
        </w:trPr>
        <w:tc>
          <w:tcPr>
            <w:tcW w:w="25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LIBOR</w:t>
            </w:r>
          </w:p>
        </w:tc>
        <w:tc>
          <w:tcPr>
            <w:tcW w:w="6400" w:type="dxa"/>
            <w:vAlign w:val="bottom"/>
          </w:tcPr>
          <w:p>
            <w:pPr>
              <w:spacing w:after="0" w:line="202" w:lineRule="exact"/>
              <w:rPr>
                <w:sz w:val="20"/>
                <w:szCs w:val="20"/>
                <w:color w:val="auto"/>
              </w:rPr>
            </w:pPr>
            <w:r>
              <w:rPr>
                <w:rFonts w:ascii="Arial" w:cs="Arial" w:eastAsia="Arial" w:hAnsi="Arial"/>
                <w:sz w:val="18"/>
                <w:szCs w:val="18"/>
                <w:color w:val="auto"/>
              </w:rPr>
              <w:t>London Inter-bank Offered Rate</w:t>
            </w:r>
          </w:p>
        </w:tc>
        <w:tc>
          <w:tcPr>
            <w:tcW w:w="20" w:type="dxa"/>
            <w:vAlign w:val="bottom"/>
          </w:tcPr>
          <w:p>
            <w:pPr>
              <w:spacing w:after="0"/>
              <w:rPr>
                <w:sz w:val="17"/>
                <w:szCs w:val="17"/>
                <w:color w:val="auto"/>
              </w:rPr>
            </w:pPr>
          </w:p>
        </w:tc>
      </w:tr>
      <w:tr>
        <w:trPr>
          <w:trHeight w:val="203"/>
        </w:trPr>
        <w:tc>
          <w:tcPr>
            <w:tcW w:w="250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Nasdaq</w:t>
            </w:r>
          </w:p>
        </w:tc>
        <w:tc>
          <w:tcPr>
            <w:tcW w:w="6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National Association of Securities Dealers Automated Quotations</w:t>
            </w:r>
          </w:p>
        </w:tc>
        <w:tc>
          <w:tcPr>
            <w:tcW w:w="20" w:type="dxa"/>
            <w:vAlign w:val="bottom"/>
          </w:tcPr>
          <w:p>
            <w:pPr>
              <w:spacing w:after="0"/>
              <w:rPr>
                <w:sz w:val="17"/>
                <w:szCs w:val="17"/>
                <w:color w:val="auto"/>
              </w:rPr>
            </w:pPr>
          </w:p>
        </w:tc>
      </w:tr>
      <w:tr>
        <w:trPr>
          <w:trHeight w:val="203"/>
        </w:trPr>
        <w:tc>
          <w:tcPr>
            <w:tcW w:w="25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NM</w:t>
            </w:r>
          </w:p>
        </w:tc>
        <w:tc>
          <w:tcPr>
            <w:tcW w:w="6400" w:type="dxa"/>
            <w:vAlign w:val="bottom"/>
          </w:tcPr>
          <w:p>
            <w:pPr>
              <w:spacing w:after="0" w:line="202" w:lineRule="exact"/>
              <w:rPr>
                <w:sz w:val="20"/>
                <w:szCs w:val="20"/>
                <w:color w:val="auto"/>
              </w:rPr>
            </w:pPr>
            <w:r>
              <w:rPr>
                <w:rFonts w:ascii="Arial" w:cs="Arial" w:eastAsia="Arial" w:hAnsi="Arial"/>
                <w:sz w:val="18"/>
                <w:szCs w:val="18"/>
                <w:color w:val="auto"/>
              </w:rPr>
              <w:t>Not meaningful</w:t>
            </w:r>
          </w:p>
        </w:tc>
        <w:tc>
          <w:tcPr>
            <w:tcW w:w="20" w:type="dxa"/>
            <w:vAlign w:val="bottom"/>
          </w:tcPr>
          <w:p>
            <w:pPr>
              <w:spacing w:after="0"/>
              <w:rPr>
                <w:sz w:val="17"/>
                <w:szCs w:val="17"/>
                <w:color w:val="auto"/>
              </w:rPr>
            </w:pPr>
          </w:p>
        </w:tc>
      </w:tr>
      <w:tr>
        <w:trPr>
          <w:trHeight w:val="203"/>
        </w:trPr>
        <w:tc>
          <w:tcPr>
            <w:tcW w:w="250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OCI</w:t>
            </w:r>
          </w:p>
        </w:tc>
        <w:tc>
          <w:tcPr>
            <w:tcW w:w="6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comprehensive income (loss)</w:t>
            </w:r>
          </w:p>
        </w:tc>
        <w:tc>
          <w:tcPr>
            <w:tcW w:w="20" w:type="dxa"/>
            <w:vAlign w:val="bottom"/>
          </w:tcPr>
          <w:p>
            <w:pPr>
              <w:spacing w:after="0"/>
              <w:rPr>
                <w:sz w:val="17"/>
                <w:szCs w:val="17"/>
                <w:color w:val="auto"/>
              </w:rPr>
            </w:pPr>
          </w:p>
        </w:tc>
      </w:tr>
      <w:tr>
        <w:trPr>
          <w:trHeight w:val="203"/>
        </w:trPr>
        <w:tc>
          <w:tcPr>
            <w:tcW w:w="25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OREO</w:t>
            </w:r>
          </w:p>
        </w:tc>
        <w:tc>
          <w:tcPr>
            <w:tcW w:w="6400" w:type="dxa"/>
            <w:vAlign w:val="bottom"/>
          </w:tcPr>
          <w:p>
            <w:pPr>
              <w:spacing w:after="0" w:line="202" w:lineRule="exact"/>
              <w:rPr>
                <w:sz w:val="20"/>
                <w:szCs w:val="20"/>
                <w:color w:val="auto"/>
              </w:rPr>
            </w:pPr>
            <w:r>
              <w:rPr>
                <w:rFonts w:ascii="Arial" w:cs="Arial" w:eastAsia="Arial" w:hAnsi="Arial"/>
                <w:sz w:val="18"/>
                <w:szCs w:val="18"/>
                <w:color w:val="auto"/>
              </w:rPr>
              <w:t>Other real estate owned</w:t>
            </w:r>
          </w:p>
        </w:tc>
        <w:tc>
          <w:tcPr>
            <w:tcW w:w="20" w:type="dxa"/>
            <w:vAlign w:val="bottom"/>
          </w:tcPr>
          <w:p>
            <w:pPr>
              <w:spacing w:after="0"/>
              <w:rPr>
                <w:sz w:val="17"/>
                <w:szCs w:val="17"/>
                <w:color w:val="auto"/>
              </w:rPr>
            </w:pPr>
          </w:p>
        </w:tc>
      </w:tr>
      <w:tr>
        <w:trPr>
          <w:trHeight w:val="203"/>
        </w:trPr>
        <w:tc>
          <w:tcPr>
            <w:tcW w:w="250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PCD</w:t>
            </w:r>
          </w:p>
        </w:tc>
        <w:tc>
          <w:tcPr>
            <w:tcW w:w="6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Purchased credit deteriorated</w:t>
            </w:r>
          </w:p>
        </w:tc>
        <w:tc>
          <w:tcPr>
            <w:tcW w:w="20" w:type="dxa"/>
            <w:vAlign w:val="bottom"/>
          </w:tcPr>
          <w:p>
            <w:pPr>
              <w:spacing w:after="0"/>
              <w:rPr>
                <w:sz w:val="17"/>
                <w:szCs w:val="17"/>
                <w:color w:val="auto"/>
              </w:rPr>
            </w:pPr>
          </w:p>
        </w:tc>
      </w:tr>
      <w:tr>
        <w:trPr>
          <w:trHeight w:val="230"/>
        </w:trPr>
        <w:tc>
          <w:tcPr>
            <w:tcW w:w="2500" w:type="dxa"/>
            <w:vAlign w:val="bottom"/>
            <w:gridSpan w:val="2"/>
          </w:tcPr>
          <w:p>
            <w:pPr>
              <w:ind w:left="20"/>
              <w:spacing w:after="0"/>
              <w:rPr>
                <w:sz w:val="20"/>
                <w:szCs w:val="20"/>
                <w:color w:val="auto"/>
              </w:rPr>
            </w:pPr>
            <w:r>
              <w:rPr>
                <w:rFonts w:ascii="Arial" w:cs="Arial" w:eastAsia="Arial" w:hAnsi="Arial"/>
                <w:sz w:val="18"/>
                <w:szCs w:val="18"/>
                <w:color w:val="auto"/>
              </w:rPr>
              <w:t>PPP</w:t>
            </w:r>
          </w:p>
        </w:tc>
        <w:tc>
          <w:tcPr>
            <w:tcW w:w="6400" w:type="dxa"/>
            <w:vAlign w:val="bottom"/>
          </w:tcPr>
          <w:p>
            <w:pPr>
              <w:spacing w:after="0"/>
              <w:rPr>
                <w:sz w:val="20"/>
                <w:szCs w:val="20"/>
                <w:color w:val="auto"/>
              </w:rPr>
            </w:pPr>
            <w:r>
              <w:rPr>
                <w:rFonts w:ascii="Arial" w:cs="Arial" w:eastAsia="Arial" w:hAnsi="Arial"/>
                <w:sz w:val="18"/>
                <w:szCs w:val="18"/>
                <w:color w:val="auto"/>
              </w:rPr>
              <w:t>Paycheck Protection Program</w:t>
            </w:r>
          </w:p>
        </w:tc>
        <w:tc>
          <w:tcPr>
            <w:tcW w:w="20" w:type="dxa"/>
            <w:vAlign w:val="bottom"/>
          </w:tcPr>
          <w:p>
            <w:pPr>
              <w:spacing w:after="0"/>
              <w:rPr>
                <w:sz w:val="20"/>
                <w:szCs w:val="20"/>
                <w:color w:val="auto"/>
              </w:rPr>
            </w:pPr>
          </w:p>
        </w:tc>
      </w:tr>
      <w:tr>
        <w:trPr>
          <w:trHeight w:val="823"/>
        </w:trPr>
        <w:tc>
          <w:tcPr>
            <w:tcW w:w="2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0" w:type="dxa"/>
            <w:vAlign w:val="bottom"/>
          </w:tcPr>
          <w:p>
            <w:pPr>
              <w:ind w:left="192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4"/>
                <w:szCs w:val="24"/>
                <w:color w:val="auto"/>
              </w:rPr>
            </w:pPr>
          </w:p>
        </w:tc>
      </w:tr>
      <w:tr>
        <w:trPr>
          <w:trHeight w:val="547"/>
        </w:trPr>
        <w:tc>
          <w:tcPr>
            <w:tcW w:w="2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3" w:name="page4"/>
    <w:bookmarkEnd w:id="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2480" w:type="dxa"/>
            <w:vAlign w:val="bottom"/>
            <w:gridSpan w:val="2"/>
          </w:tcPr>
          <w:p>
            <w:pPr>
              <w:ind w:left="20"/>
              <w:spacing w:after="0"/>
              <w:rPr>
                <w:sz w:val="20"/>
                <w:szCs w:val="20"/>
                <w:color w:val="auto"/>
              </w:rPr>
            </w:pPr>
            <w:r>
              <w:rPr>
                <w:rFonts w:ascii="Arial" w:cs="Arial" w:eastAsia="Arial" w:hAnsi="Arial"/>
                <w:sz w:val="14"/>
                <w:szCs w:val="14"/>
                <w:b w:val="1"/>
                <w:bCs w:val="1"/>
                <w:color w:val="auto"/>
              </w:rPr>
              <w:t>Term</w:t>
            </w:r>
          </w:p>
        </w:tc>
        <w:tc>
          <w:tcPr>
            <w:tcW w:w="6440" w:type="dxa"/>
            <w:vAlign w:val="bottom"/>
            <w:gridSpan w:val="2"/>
          </w:tcPr>
          <w:p>
            <w:pPr>
              <w:spacing w:after="0"/>
              <w:rPr>
                <w:sz w:val="20"/>
                <w:szCs w:val="20"/>
                <w:color w:val="auto"/>
              </w:rPr>
            </w:pPr>
            <w:r>
              <w:rPr>
                <w:rFonts w:ascii="Arial" w:cs="Arial" w:eastAsia="Arial" w:hAnsi="Arial"/>
                <w:sz w:val="14"/>
                <w:szCs w:val="14"/>
                <w:b w:val="1"/>
                <w:bCs w:val="1"/>
                <w:color w:val="auto"/>
              </w:rPr>
              <w:t>Definition</w:t>
            </w:r>
          </w:p>
        </w:tc>
      </w:tr>
      <w:tr>
        <w:trPr>
          <w:trHeight w:val="182"/>
        </w:trPr>
        <w:tc>
          <w:tcPr>
            <w:tcW w:w="2180" w:type="dxa"/>
            <w:vAlign w:val="bottom"/>
            <w:tcBorders>
              <w:top w:val="single" w:sz="8" w:color="auto"/>
            </w:tcBorders>
            <w:shd w:val="clear" w:color="auto" w:fill="CCEEFF"/>
          </w:tcPr>
          <w:p>
            <w:pPr>
              <w:ind w:left="20"/>
              <w:spacing w:after="0" w:line="182" w:lineRule="exact"/>
              <w:rPr>
                <w:sz w:val="20"/>
                <w:szCs w:val="20"/>
                <w:color w:val="auto"/>
              </w:rPr>
            </w:pPr>
            <w:r>
              <w:rPr>
                <w:rFonts w:ascii="Arial" w:cs="Arial" w:eastAsia="Arial" w:hAnsi="Arial"/>
                <w:sz w:val="18"/>
                <w:szCs w:val="18"/>
                <w:color w:val="auto"/>
              </w:rPr>
              <w:t>Quarterly Report</w:t>
            </w:r>
          </w:p>
        </w:tc>
        <w:tc>
          <w:tcPr>
            <w:tcW w:w="300" w:type="dxa"/>
            <w:vAlign w:val="bottom"/>
            <w:tcBorders>
              <w:top w:val="single" w:sz="8" w:color="CCEEFF"/>
            </w:tcBorders>
            <w:shd w:val="clear" w:color="auto" w:fill="CCEEFF"/>
          </w:tcPr>
          <w:p>
            <w:pPr>
              <w:spacing w:after="0"/>
              <w:rPr>
                <w:sz w:val="15"/>
                <w:szCs w:val="15"/>
                <w:color w:val="auto"/>
              </w:rPr>
            </w:pPr>
          </w:p>
        </w:tc>
        <w:tc>
          <w:tcPr>
            <w:tcW w:w="642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w w:val="92"/>
              </w:rPr>
              <w:t>Quarterly report filed with the SEC on Form 10-Q pursuant to Section 13 or 15(d) of the</w:t>
            </w:r>
          </w:p>
        </w:tc>
        <w:tc>
          <w:tcPr>
            <w:tcW w:w="20" w:type="dxa"/>
            <w:vAlign w:val="bottom"/>
          </w:tcPr>
          <w:p>
            <w:pPr>
              <w:spacing w:after="0"/>
              <w:rPr>
                <w:sz w:val="15"/>
                <w:szCs w:val="15"/>
                <w:color w:val="auto"/>
              </w:rPr>
            </w:pPr>
          </w:p>
        </w:tc>
      </w:tr>
      <w:tr>
        <w:trPr>
          <w:trHeight w:val="217"/>
        </w:trPr>
        <w:tc>
          <w:tcPr>
            <w:tcW w:w="2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Securities Exchange Act of 1934</w:t>
            </w:r>
          </w:p>
        </w:tc>
        <w:tc>
          <w:tcPr>
            <w:tcW w:w="20" w:type="dxa"/>
            <w:vAlign w:val="bottom"/>
          </w:tcPr>
          <w:p>
            <w:pPr>
              <w:spacing w:after="0"/>
              <w:rPr>
                <w:sz w:val="18"/>
                <w:szCs w:val="18"/>
                <w:color w:val="auto"/>
              </w:rPr>
            </w:pPr>
          </w:p>
        </w:tc>
      </w:tr>
      <w:tr>
        <w:trPr>
          <w:trHeight w:val="203"/>
        </w:trPr>
        <w:tc>
          <w:tcPr>
            <w:tcW w:w="24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SBA</w:t>
            </w:r>
          </w:p>
        </w:tc>
        <w:tc>
          <w:tcPr>
            <w:tcW w:w="6420" w:type="dxa"/>
            <w:vAlign w:val="bottom"/>
          </w:tcPr>
          <w:p>
            <w:pPr>
              <w:spacing w:after="0" w:line="202" w:lineRule="exact"/>
              <w:rPr>
                <w:sz w:val="20"/>
                <w:szCs w:val="20"/>
                <w:color w:val="auto"/>
              </w:rPr>
            </w:pPr>
            <w:r>
              <w:rPr>
                <w:rFonts w:ascii="Arial" w:cs="Arial" w:eastAsia="Arial" w:hAnsi="Arial"/>
                <w:sz w:val="18"/>
                <w:szCs w:val="18"/>
                <w:color w:val="auto"/>
              </w:rPr>
              <w:t>U.S. Small Business Administration</w:t>
            </w:r>
          </w:p>
        </w:tc>
        <w:tc>
          <w:tcPr>
            <w:tcW w:w="20" w:type="dxa"/>
            <w:vAlign w:val="bottom"/>
          </w:tcPr>
          <w:p>
            <w:pPr>
              <w:spacing w:after="0"/>
              <w:rPr>
                <w:sz w:val="17"/>
                <w:szCs w:val="17"/>
                <w:color w:val="auto"/>
              </w:rPr>
            </w:pPr>
          </w:p>
        </w:tc>
      </w:tr>
      <w:tr>
        <w:trPr>
          <w:trHeight w:val="203"/>
        </w:trPr>
        <w:tc>
          <w:tcPr>
            <w:tcW w:w="248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SEC</w:t>
            </w:r>
          </w:p>
        </w:tc>
        <w:tc>
          <w:tcPr>
            <w:tcW w:w="6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U.S. Securities and Exchange Commission</w:t>
            </w:r>
          </w:p>
        </w:tc>
        <w:tc>
          <w:tcPr>
            <w:tcW w:w="20" w:type="dxa"/>
            <w:vAlign w:val="bottom"/>
          </w:tcPr>
          <w:p>
            <w:pPr>
              <w:spacing w:after="0"/>
              <w:rPr>
                <w:sz w:val="17"/>
                <w:szCs w:val="17"/>
                <w:color w:val="auto"/>
              </w:rPr>
            </w:pPr>
          </w:p>
        </w:tc>
      </w:tr>
      <w:tr>
        <w:trPr>
          <w:trHeight w:val="203"/>
        </w:trPr>
        <w:tc>
          <w:tcPr>
            <w:tcW w:w="24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TDR</w:t>
            </w:r>
          </w:p>
        </w:tc>
        <w:tc>
          <w:tcPr>
            <w:tcW w:w="6420" w:type="dxa"/>
            <w:vAlign w:val="bottom"/>
          </w:tcPr>
          <w:p>
            <w:pPr>
              <w:spacing w:after="0" w:line="202" w:lineRule="exact"/>
              <w:rPr>
                <w:sz w:val="20"/>
                <w:szCs w:val="20"/>
                <w:color w:val="auto"/>
              </w:rPr>
            </w:pPr>
            <w:r>
              <w:rPr>
                <w:rFonts w:ascii="Arial" w:cs="Arial" w:eastAsia="Arial" w:hAnsi="Arial"/>
                <w:sz w:val="18"/>
                <w:szCs w:val="18"/>
                <w:color w:val="auto"/>
              </w:rPr>
              <w:t>Troubled debt restructuring</w:t>
            </w:r>
          </w:p>
        </w:tc>
        <w:tc>
          <w:tcPr>
            <w:tcW w:w="20" w:type="dxa"/>
            <w:vAlign w:val="bottom"/>
          </w:tcPr>
          <w:p>
            <w:pPr>
              <w:spacing w:after="0"/>
              <w:rPr>
                <w:sz w:val="17"/>
                <w:szCs w:val="17"/>
                <w:color w:val="auto"/>
              </w:rPr>
            </w:pPr>
          </w:p>
        </w:tc>
      </w:tr>
      <w:tr>
        <w:trPr>
          <w:trHeight w:val="203"/>
        </w:trPr>
        <w:tc>
          <w:tcPr>
            <w:tcW w:w="248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U.S.</w:t>
            </w:r>
          </w:p>
        </w:tc>
        <w:tc>
          <w:tcPr>
            <w:tcW w:w="6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Unites States of America</w:t>
            </w:r>
          </w:p>
        </w:tc>
        <w:tc>
          <w:tcPr>
            <w:tcW w:w="20" w:type="dxa"/>
            <w:vAlign w:val="bottom"/>
          </w:tcPr>
          <w:p>
            <w:pPr>
              <w:spacing w:after="0"/>
              <w:rPr>
                <w:sz w:val="17"/>
                <w:szCs w:val="17"/>
                <w:color w:val="auto"/>
              </w:rPr>
            </w:pPr>
          </w:p>
        </w:tc>
      </w:tr>
      <w:tr>
        <w:trPr>
          <w:trHeight w:val="230"/>
        </w:trPr>
        <w:tc>
          <w:tcPr>
            <w:tcW w:w="2480" w:type="dxa"/>
            <w:vAlign w:val="bottom"/>
            <w:gridSpan w:val="2"/>
          </w:tcPr>
          <w:p>
            <w:pPr>
              <w:ind w:left="20"/>
              <w:spacing w:after="0"/>
              <w:rPr>
                <w:sz w:val="20"/>
                <w:szCs w:val="20"/>
                <w:color w:val="auto"/>
              </w:rPr>
            </w:pPr>
            <w:r>
              <w:rPr>
                <w:rFonts w:ascii="Arial" w:cs="Arial" w:eastAsia="Arial" w:hAnsi="Arial"/>
                <w:sz w:val="18"/>
                <w:szCs w:val="18"/>
                <w:color w:val="auto"/>
              </w:rPr>
              <w:t>U.S. Treasury</w:t>
            </w:r>
          </w:p>
        </w:tc>
        <w:tc>
          <w:tcPr>
            <w:tcW w:w="6420" w:type="dxa"/>
            <w:vAlign w:val="bottom"/>
          </w:tcPr>
          <w:p>
            <w:pPr>
              <w:spacing w:after="0"/>
              <w:rPr>
                <w:sz w:val="20"/>
                <w:szCs w:val="20"/>
                <w:color w:val="auto"/>
              </w:rPr>
            </w:pPr>
            <w:r>
              <w:rPr>
                <w:rFonts w:ascii="Arial" w:cs="Arial" w:eastAsia="Arial" w:hAnsi="Arial"/>
                <w:sz w:val="18"/>
                <w:szCs w:val="18"/>
                <w:color w:val="auto"/>
              </w:rPr>
              <w:t>U.S. Department of the Treasury</w:t>
            </w:r>
          </w:p>
        </w:tc>
        <w:tc>
          <w:tcPr>
            <w:tcW w:w="20" w:type="dxa"/>
            <w:vAlign w:val="bottom"/>
          </w:tcPr>
          <w:p>
            <w:pPr>
              <w:spacing w:after="0"/>
              <w:rPr>
                <w:sz w:val="20"/>
                <w:szCs w:val="20"/>
                <w:color w:val="auto"/>
              </w:rPr>
            </w:pPr>
          </w:p>
        </w:tc>
      </w:tr>
      <w:tr>
        <w:trPr>
          <w:trHeight w:val="836"/>
        </w:trPr>
        <w:tc>
          <w:tcPr>
            <w:tcW w:w="2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20" w:type="dxa"/>
            <w:vAlign w:val="bottom"/>
          </w:tcPr>
          <w:p>
            <w:pPr>
              <w:ind w:left="1940"/>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4"/>
                <w:szCs w:val="24"/>
                <w:color w:val="auto"/>
              </w:rPr>
            </w:pPr>
          </w:p>
        </w:tc>
      </w:tr>
      <w:tr>
        <w:trPr>
          <w:trHeight w:val="547"/>
        </w:trPr>
        <w:tc>
          <w:tcPr>
            <w:tcW w:w="21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4" w:name="page5"/>
    <w:bookmarkEnd w:id="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 - FINANCIAL INFORMATION</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1. FINANCIAL STATEMENTS</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FIRST BUSEY CORPORATION</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 (Unaudited)</w:t>
      </w:r>
    </w:p>
    <w:p>
      <w:pPr>
        <w:jc w:val="center"/>
        <w:ind w:right="19"/>
        <w:spacing w:after="0"/>
        <w:rPr>
          <w:sz w:val="20"/>
          <w:szCs w:val="20"/>
          <w:color w:val="auto"/>
        </w:rPr>
      </w:pPr>
      <w:r>
        <w:rPr>
          <w:rFonts w:ascii="Arial" w:cs="Arial" w:eastAsia="Arial" w:hAnsi="Arial"/>
          <w:sz w:val="18"/>
          <w:szCs w:val="18"/>
          <w:i w:val="1"/>
          <w:iCs w:val="1"/>
          <w:color w:val="auto"/>
        </w:rPr>
        <w:t>(dollars in thousands)</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69"/>
        </w:trPr>
        <w:tc>
          <w:tcPr>
            <w:tcW w:w="65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5"/>
              </w:rPr>
              <w:t>As of</w:t>
            </w:r>
          </w:p>
        </w:tc>
        <w:tc>
          <w:tcPr>
            <w:tcW w:w="9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6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right"/>
              <w:ind w:right="108"/>
              <w:spacing w:after="0" w:line="133" w:lineRule="exact"/>
              <w:rPr>
                <w:sz w:val="20"/>
                <w:szCs w:val="20"/>
                <w:color w:val="auto"/>
              </w:rPr>
            </w:pPr>
            <w:r>
              <w:rPr>
                <w:rFonts w:ascii="Arial" w:cs="Arial" w:eastAsia="Arial" w:hAnsi="Arial"/>
                <w:sz w:val="14"/>
                <w:szCs w:val="14"/>
                <w:b w:val="1"/>
                <w:bCs w:val="1"/>
                <w:color w:val="auto"/>
              </w:rPr>
              <w:t>March 31,</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right"/>
              <w:ind w:right="68"/>
              <w:spacing w:after="0" w:line="133" w:lineRule="exact"/>
              <w:rPr>
                <w:sz w:val="20"/>
                <w:szCs w:val="20"/>
                <w:color w:val="auto"/>
              </w:rPr>
            </w:pPr>
            <w:r>
              <w:rPr>
                <w:rFonts w:ascii="Arial" w:cs="Arial" w:eastAsia="Arial" w:hAnsi="Arial"/>
                <w:sz w:val="14"/>
                <w:szCs w:val="14"/>
                <w:b w:val="1"/>
                <w:bCs w:val="1"/>
                <w:color w:val="auto"/>
                <w:w w:val="90"/>
              </w:rPr>
              <w:t>December 31,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65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auto"/>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658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b w:val="1"/>
                <w:bCs w:val="1"/>
                <w:color w:val="auto"/>
              </w:rPr>
              <w:t>Assets</w:t>
            </w: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580" w:type="dxa"/>
            <w:vAlign w:val="bottom"/>
          </w:tcPr>
          <w:p>
            <w:pPr>
              <w:ind w:left="20"/>
              <w:spacing w:after="0"/>
              <w:rPr>
                <w:sz w:val="20"/>
                <w:szCs w:val="20"/>
                <w:color w:val="auto"/>
              </w:rPr>
            </w:pPr>
            <w:r>
              <w:rPr>
                <w:rFonts w:ascii="Arial" w:cs="Arial" w:eastAsia="Arial" w:hAnsi="Arial"/>
                <w:sz w:val="14"/>
                <w:szCs w:val="14"/>
                <w:color w:val="auto"/>
              </w:rPr>
              <w:t>Cash and due from banks</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110,979</w:t>
            </w:r>
          </w:p>
        </w:tc>
        <w:tc>
          <w:tcPr>
            <w:tcW w:w="34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118,824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Interest-bearing deposits</w:t>
            </w:r>
          </w:p>
        </w:tc>
        <w:tc>
          <w:tcPr>
            <w:tcW w:w="14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293,823</w:t>
            </w:r>
          </w:p>
        </w:tc>
        <w:tc>
          <w:tcPr>
            <w:tcW w:w="60" w:type="dxa"/>
            <w:vAlign w:val="bottom"/>
            <w:tcBorders>
              <w:bottom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569,713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580" w:type="dxa"/>
            <w:vAlign w:val="bottom"/>
          </w:tcPr>
          <w:p>
            <w:pPr>
              <w:ind w:left="440"/>
              <w:spacing w:after="0" w:line="155" w:lineRule="exact"/>
              <w:rPr>
                <w:sz w:val="20"/>
                <w:szCs w:val="20"/>
                <w:color w:val="auto"/>
              </w:rPr>
            </w:pPr>
            <w:r>
              <w:rPr>
                <w:rFonts w:ascii="Arial" w:cs="Arial" w:eastAsia="Arial" w:hAnsi="Arial"/>
                <w:sz w:val="14"/>
                <w:szCs w:val="14"/>
                <w:color w:val="auto"/>
              </w:rPr>
              <w:t>Total cash and cash equivalents</w:t>
            </w:r>
          </w:p>
        </w:tc>
        <w:tc>
          <w:tcPr>
            <w:tcW w:w="140" w:type="dxa"/>
            <w:vAlign w:val="bottom"/>
          </w:tcPr>
          <w:p>
            <w:pPr>
              <w:spacing w:after="0"/>
              <w:rPr>
                <w:sz w:val="13"/>
                <w:szCs w:val="13"/>
                <w:color w:val="auto"/>
              </w:rPr>
            </w:pPr>
          </w:p>
        </w:tc>
        <w:tc>
          <w:tcPr>
            <w:tcW w:w="860" w:type="dxa"/>
            <w:vAlign w:val="bottom"/>
          </w:tcPr>
          <w:p>
            <w:pPr>
              <w:jc w:val="right"/>
              <w:spacing w:after="0" w:line="155" w:lineRule="exact"/>
              <w:rPr>
                <w:sz w:val="20"/>
                <w:szCs w:val="20"/>
                <w:color w:val="auto"/>
              </w:rPr>
            </w:pPr>
            <w:r>
              <w:rPr>
                <w:rFonts w:ascii="Arial" w:cs="Arial" w:eastAsia="Arial" w:hAnsi="Arial"/>
                <w:sz w:val="14"/>
                <w:szCs w:val="14"/>
                <w:color w:val="auto"/>
              </w:rPr>
              <w:t>404,802</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right"/>
              <w:spacing w:after="0" w:line="155" w:lineRule="exact"/>
              <w:rPr>
                <w:sz w:val="20"/>
                <w:szCs w:val="20"/>
                <w:color w:val="auto"/>
              </w:rPr>
            </w:pPr>
            <w:r>
              <w:rPr>
                <w:rFonts w:ascii="Arial" w:cs="Arial" w:eastAsia="Arial" w:hAnsi="Arial"/>
                <w:sz w:val="14"/>
                <w:szCs w:val="14"/>
                <w:color w:val="auto"/>
              </w:rPr>
              <w:t>688,537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80" w:type="dxa"/>
            <w:vAlign w:val="bottom"/>
          </w:tcPr>
          <w:p>
            <w:pPr>
              <w:ind w:left="20"/>
              <w:spacing w:after="0"/>
              <w:rPr>
                <w:sz w:val="20"/>
                <w:szCs w:val="20"/>
                <w:color w:val="auto"/>
              </w:rPr>
            </w:pPr>
            <w:r>
              <w:rPr>
                <w:rFonts w:ascii="Arial" w:cs="Arial" w:eastAsia="Arial" w:hAnsi="Arial"/>
                <w:sz w:val="14"/>
                <w:szCs w:val="14"/>
                <w:color w:val="auto"/>
              </w:rPr>
              <w:t>Debt securities available for sale</w:t>
            </w: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2,796,955</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2,261,187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securities</w:t>
            </w: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7,146</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5,530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80" w:type="dxa"/>
            <w:vAlign w:val="bottom"/>
          </w:tcPr>
          <w:p>
            <w:pPr>
              <w:ind w:left="20"/>
              <w:spacing w:after="0"/>
              <w:rPr>
                <w:sz w:val="20"/>
                <w:szCs w:val="20"/>
                <w:color w:val="auto"/>
              </w:rPr>
            </w:pPr>
            <w:r>
              <w:rPr>
                <w:rFonts w:ascii="Arial" w:cs="Arial" w:eastAsia="Arial" w:hAnsi="Arial"/>
                <w:sz w:val="14"/>
                <w:szCs w:val="14"/>
                <w:color w:val="auto"/>
              </w:rPr>
              <w:t>Loans held for sale, at fair value</w:t>
            </w: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38,272</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42,813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Portfolio loans (net of ACL 2021 $93,943; 2020 $101,048)</w:t>
            </w: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6,685,357</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6,713,129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80" w:type="dxa"/>
            <w:vAlign w:val="bottom"/>
          </w:tcPr>
          <w:p>
            <w:pPr>
              <w:ind w:left="20"/>
              <w:spacing w:after="0"/>
              <w:rPr>
                <w:sz w:val="20"/>
                <w:szCs w:val="20"/>
                <w:color w:val="auto"/>
              </w:rPr>
            </w:pPr>
            <w:r>
              <w:rPr>
                <w:rFonts w:ascii="Arial" w:cs="Arial" w:eastAsia="Arial" w:hAnsi="Arial"/>
                <w:sz w:val="14"/>
                <w:szCs w:val="14"/>
                <w:color w:val="auto"/>
              </w:rPr>
              <w:t>Premises and equipment, net</w:t>
            </w: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132,669</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135,191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Right of use assets</w:t>
            </w: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7,333</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7,714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80" w:type="dxa"/>
            <w:vAlign w:val="bottom"/>
          </w:tcPr>
          <w:p>
            <w:pPr>
              <w:ind w:left="20"/>
              <w:spacing w:after="0"/>
              <w:rPr>
                <w:sz w:val="20"/>
                <w:szCs w:val="20"/>
                <w:color w:val="auto"/>
              </w:rPr>
            </w:pPr>
            <w:r>
              <w:rPr>
                <w:rFonts w:ascii="Arial" w:cs="Arial" w:eastAsia="Arial" w:hAnsi="Arial"/>
                <w:sz w:val="14"/>
                <w:szCs w:val="14"/>
                <w:color w:val="auto"/>
              </w:rPr>
              <w:t>Goodwill</w:t>
            </w: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311,536</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311,536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intangible assets, net</w:t>
            </w: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49,584</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51,985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80" w:type="dxa"/>
            <w:vAlign w:val="bottom"/>
          </w:tcPr>
          <w:p>
            <w:pPr>
              <w:ind w:left="20"/>
              <w:spacing w:after="0"/>
              <w:rPr>
                <w:sz w:val="20"/>
                <w:szCs w:val="20"/>
                <w:color w:val="auto"/>
              </w:rPr>
            </w:pPr>
            <w:r>
              <w:rPr>
                <w:rFonts w:ascii="Arial" w:cs="Arial" w:eastAsia="Arial" w:hAnsi="Arial"/>
                <w:sz w:val="14"/>
                <w:szCs w:val="14"/>
                <w:color w:val="auto"/>
              </w:rPr>
              <w:t>Cash surrender value of bank owned life insurance</w:t>
            </w: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177,466</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176,405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14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148,443</w:t>
            </w:r>
          </w:p>
        </w:tc>
        <w:tc>
          <w:tcPr>
            <w:tcW w:w="60" w:type="dxa"/>
            <w:vAlign w:val="bottom"/>
            <w:tcBorders>
              <w:bottom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150,020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580" w:type="dxa"/>
            <w:vAlign w:val="bottom"/>
            <w:tcBorders>
              <w:bottom w:val="single" w:sz="8" w:color="CCEEFF"/>
            </w:tcBorders>
          </w:tcPr>
          <w:p>
            <w:pPr>
              <w:ind w:left="440"/>
              <w:spacing w:after="0" w:line="155" w:lineRule="exact"/>
              <w:rPr>
                <w:sz w:val="20"/>
                <w:szCs w:val="20"/>
                <w:color w:val="auto"/>
              </w:rPr>
            </w:pPr>
            <w:r>
              <w:rPr>
                <w:rFonts w:ascii="Arial" w:cs="Arial" w:eastAsia="Arial" w:hAnsi="Arial"/>
                <w:sz w:val="14"/>
                <w:szCs w:val="14"/>
                <w:color w:val="auto"/>
              </w:rPr>
              <w:t>Total assets</w:t>
            </w:r>
          </w:p>
        </w:tc>
        <w:tc>
          <w:tcPr>
            <w:tcW w:w="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10,759,563</w:t>
            </w:r>
          </w:p>
        </w:tc>
        <w:tc>
          <w:tcPr>
            <w:tcW w:w="60" w:type="dxa"/>
            <w:vAlign w:val="bottom"/>
            <w:tcBorders>
              <w:bottom w:val="single" w:sz="8" w:color="auto"/>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10,544,047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658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b w:val="1"/>
                <w:bCs w:val="1"/>
                <w:color w:val="auto"/>
              </w:rPr>
              <w:t>Liabilities and Stockholders’ Equity</w:t>
            </w: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580" w:type="dxa"/>
            <w:vAlign w:val="bottom"/>
          </w:tcPr>
          <w:p>
            <w:pPr>
              <w:ind w:left="20"/>
              <w:spacing w:after="0"/>
              <w:rPr>
                <w:sz w:val="20"/>
                <w:szCs w:val="20"/>
                <w:color w:val="auto"/>
              </w:rPr>
            </w:pPr>
            <w:r>
              <w:rPr>
                <w:rFonts w:ascii="Arial" w:cs="Arial" w:eastAsia="Arial" w:hAnsi="Arial"/>
                <w:sz w:val="14"/>
                <w:szCs w:val="14"/>
                <w:b w:val="1"/>
                <w:bCs w:val="1"/>
                <w:color w:val="auto"/>
              </w:rPr>
              <w:t>Liabilities</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Deposits:</w:t>
            </w: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80" w:type="dxa"/>
            <w:vAlign w:val="bottom"/>
          </w:tcPr>
          <w:p>
            <w:pPr>
              <w:ind w:left="220"/>
              <w:spacing w:after="0"/>
              <w:rPr>
                <w:sz w:val="20"/>
                <w:szCs w:val="20"/>
                <w:color w:val="auto"/>
              </w:rPr>
            </w:pPr>
            <w:r>
              <w:rPr>
                <w:rFonts w:ascii="Arial" w:cs="Arial" w:eastAsia="Arial" w:hAnsi="Arial"/>
                <w:sz w:val="14"/>
                <w:szCs w:val="14"/>
                <w:color w:val="auto"/>
              </w:rPr>
              <w:t>Noninterest-bearing</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2,859,492</w:t>
            </w:r>
          </w:p>
        </w:tc>
        <w:tc>
          <w:tcPr>
            <w:tcW w:w="34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2,552,039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Interest-bearing</w:t>
            </w:r>
          </w:p>
        </w:tc>
        <w:tc>
          <w:tcPr>
            <w:tcW w:w="14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6,014,355</w:t>
            </w:r>
          </w:p>
        </w:tc>
        <w:tc>
          <w:tcPr>
            <w:tcW w:w="60" w:type="dxa"/>
            <w:vAlign w:val="bottom"/>
            <w:tcBorders>
              <w:bottom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6,125,810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580" w:type="dxa"/>
            <w:vAlign w:val="bottom"/>
          </w:tcPr>
          <w:p>
            <w:pPr>
              <w:ind w:left="440"/>
              <w:spacing w:after="0" w:line="155" w:lineRule="exact"/>
              <w:rPr>
                <w:sz w:val="20"/>
                <w:szCs w:val="20"/>
                <w:color w:val="auto"/>
              </w:rPr>
            </w:pPr>
            <w:r>
              <w:rPr>
                <w:rFonts w:ascii="Arial" w:cs="Arial" w:eastAsia="Arial" w:hAnsi="Arial"/>
                <w:sz w:val="14"/>
                <w:szCs w:val="14"/>
                <w:color w:val="auto"/>
              </w:rPr>
              <w:t>Total deposits</w:t>
            </w:r>
          </w:p>
        </w:tc>
        <w:tc>
          <w:tcPr>
            <w:tcW w:w="140" w:type="dxa"/>
            <w:vAlign w:val="bottom"/>
          </w:tcPr>
          <w:p>
            <w:pPr>
              <w:spacing w:after="0"/>
              <w:rPr>
                <w:sz w:val="13"/>
                <w:szCs w:val="13"/>
                <w:color w:val="auto"/>
              </w:rPr>
            </w:pPr>
          </w:p>
        </w:tc>
        <w:tc>
          <w:tcPr>
            <w:tcW w:w="860" w:type="dxa"/>
            <w:vAlign w:val="bottom"/>
          </w:tcPr>
          <w:p>
            <w:pPr>
              <w:jc w:val="right"/>
              <w:spacing w:after="0" w:line="155" w:lineRule="exact"/>
              <w:rPr>
                <w:sz w:val="20"/>
                <w:szCs w:val="20"/>
                <w:color w:val="auto"/>
              </w:rPr>
            </w:pPr>
            <w:r>
              <w:rPr>
                <w:rFonts w:ascii="Arial" w:cs="Arial" w:eastAsia="Arial" w:hAnsi="Arial"/>
                <w:sz w:val="14"/>
                <w:szCs w:val="14"/>
                <w:color w:val="auto"/>
              </w:rPr>
              <w:t>8,873,847</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right"/>
              <w:spacing w:after="0" w:line="155" w:lineRule="exact"/>
              <w:rPr>
                <w:sz w:val="20"/>
                <w:szCs w:val="20"/>
                <w:color w:val="auto"/>
              </w:rPr>
            </w:pPr>
            <w:r>
              <w:rPr>
                <w:rFonts w:ascii="Arial" w:cs="Arial" w:eastAsia="Arial" w:hAnsi="Arial"/>
                <w:sz w:val="14"/>
                <w:szCs w:val="14"/>
                <w:color w:val="auto"/>
              </w:rPr>
              <w:t>8,677,849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80" w:type="dxa"/>
            <w:vAlign w:val="bottom"/>
          </w:tcPr>
          <w:p>
            <w:pPr>
              <w:ind w:left="20"/>
              <w:spacing w:after="0"/>
              <w:rPr>
                <w:sz w:val="20"/>
                <w:szCs w:val="20"/>
                <w:color w:val="auto"/>
              </w:rPr>
            </w:pPr>
            <w:r>
              <w:rPr>
                <w:rFonts w:ascii="Arial" w:cs="Arial" w:eastAsia="Arial" w:hAnsi="Arial"/>
                <w:sz w:val="14"/>
                <w:szCs w:val="14"/>
                <w:color w:val="auto"/>
              </w:rPr>
              <w:t>Securities sold under agreements to repurchase</w:t>
            </w: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210,132</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175,614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Short-term borrowings</w:t>
            </w: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4,663</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4,658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80" w:type="dxa"/>
            <w:vAlign w:val="bottom"/>
          </w:tcPr>
          <w:p>
            <w:pPr>
              <w:ind w:left="20"/>
              <w:spacing w:after="0"/>
              <w:rPr>
                <w:sz w:val="20"/>
                <w:szCs w:val="20"/>
                <w:color w:val="auto"/>
              </w:rPr>
            </w:pPr>
            <w:r>
              <w:rPr>
                <w:rFonts w:ascii="Arial" w:cs="Arial" w:eastAsia="Arial" w:hAnsi="Arial"/>
                <w:sz w:val="14"/>
                <w:szCs w:val="14"/>
                <w:color w:val="auto"/>
              </w:rPr>
              <w:t>Long-term debt</w:t>
            </w: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4,584</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4,757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Senior notes, net of unamortized issuance costs</w:t>
            </w: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39,843</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39,809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80" w:type="dxa"/>
            <w:vAlign w:val="bottom"/>
          </w:tcPr>
          <w:p>
            <w:pPr>
              <w:ind w:left="20"/>
              <w:spacing w:after="0"/>
              <w:rPr>
                <w:sz w:val="20"/>
                <w:szCs w:val="20"/>
                <w:color w:val="auto"/>
              </w:rPr>
            </w:pPr>
            <w:r>
              <w:rPr>
                <w:rFonts w:ascii="Arial" w:cs="Arial" w:eastAsia="Arial" w:hAnsi="Arial"/>
                <w:sz w:val="14"/>
                <w:szCs w:val="14"/>
                <w:color w:val="auto"/>
              </w:rPr>
              <w:t>Subordinated notes, net of unamortized issuance costs</w:t>
            </w: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182,370</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182,226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Junior subordinated debt owed to unconsolidated trusts</w:t>
            </w: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71,509</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71,468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80" w:type="dxa"/>
            <w:vAlign w:val="bottom"/>
          </w:tcPr>
          <w:p>
            <w:pPr>
              <w:ind w:left="20"/>
              <w:spacing w:after="0"/>
              <w:rPr>
                <w:sz w:val="20"/>
                <w:szCs w:val="20"/>
                <w:color w:val="auto"/>
              </w:rPr>
            </w:pPr>
            <w:r>
              <w:rPr>
                <w:rFonts w:ascii="Arial" w:cs="Arial" w:eastAsia="Arial" w:hAnsi="Arial"/>
                <w:sz w:val="14"/>
                <w:szCs w:val="14"/>
                <w:color w:val="auto"/>
              </w:rPr>
              <w:t>Lease liabilities</w:t>
            </w: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7,380</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7,757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liabilities</w:t>
            </w:r>
          </w:p>
        </w:tc>
        <w:tc>
          <w:tcPr>
            <w:tcW w:w="14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99,413</w:t>
            </w:r>
          </w:p>
        </w:tc>
        <w:tc>
          <w:tcPr>
            <w:tcW w:w="60" w:type="dxa"/>
            <w:vAlign w:val="bottom"/>
            <w:tcBorders>
              <w:bottom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109,840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580" w:type="dxa"/>
            <w:vAlign w:val="bottom"/>
            <w:tcBorders>
              <w:bottom w:val="single" w:sz="8" w:color="CCEEFF"/>
            </w:tcBorders>
          </w:tcPr>
          <w:p>
            <w:pPr>
              <w:ind w:left="440"/>
              <w:spacing w:after="0" w:line="155" w:lineRule="exact"/>
              <w:rPr>
                <w:sz w:val="20"/>
                <w:szCs w:val="20"/>
                <w:color w:val="auto"/>
              </w:rPr>
            </w:pPr>
            <w:r>
              <w:rPr>
                <w:rFonts w:ascii="Arial" w:cs="Arial" w:eastAsia="Arial" w:hAnsi="Arial"/>
                <w:sz w:val="14"/>
                <w:szCs w:val="14"/>
                <w:color w:val="auto"/>
              </w:rPr>
              <w:t>Total liabilities</w:t>
            </w:r>
          </w:p>
        </w:tc>
        <w:tc>
          <w:tcPr>
            <w:tcW w:w="1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9,493,741</w:t>
            </w:r>
          </w:p>
        </w:tc>
        <w:tc>
          <w:tcPr>
            <w:tcW w:w="60" w:type="dxa"/>
            <w:vAlign w:val="bottom"/>
            <w:tcBorders>
              <w:bottom w:val="single" w:sz="8" w:color="auto"/>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9,273,978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580" w:type="dxa"/>
            <w:vAlign w:val="bottom"/>
          </w:tcPr>
          <w:p>
            <w:pPr>
              <w:ind w:left="20"/>
              <w:spacing w:after="0"/>
              <w:rPr>
                <w:sz w:val="20"/>
                <w:szCs w:val="20"/>
                <w:color w:val="auto"/>
              </w:rPr>
            </w:pPr>
            <w:r>
              <w:rPr>
                <w:rFonts w:ascii="Arial" w:cs="Arial" w:eastAsia="Arial" w:hAnsi="Arial"/>
                <w:sz w:val="14"/>
                <w:szCs w:val="14"/>
                <w:color w:val="auto"/>
              </w:rPr>
              <w:t>Outstanding commitments and contingent liabilities (see Notes 9 and 15)</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80" w:type="dxa"/>
            <w:vAlign w:val="bottom"/>
          </w:tcPr>
          <w:p>
            <w:pPr>
              <w:ind w:left="20"/>
              <w:spacing w:after="0"/>
              <w:rPr>
                <w:sz w:val="20"/>
                <w:szCs w:val="20"/>
                <w:color w:val="auto"/>
              </w:rPr>
            </w:pPr>
            <w:r>
              <w:rPr>
                <w:rFonts w:ascii="Arial" w:cs="Arial" w:eastAsia="Arial" w:hAnsi="Arial"/>
                <w:sz w:val="14"/>
                <w:szCs w:val="14"/>
                <w:b w:val="1"/>
                <w:bCs w:val="1"/>
                <w:color w:val="auto"/>
              </w:rPr>
              <w:t>Stockholders’ Equity</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stock, $.001 par value; 100,000,000 shares authorized; 55,910,733 shares issued</w:t>
            </w: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80" w:type="dxa"/>
            <w:vAlign w:val="bottom"/>
          </w:tcPr>
          <w:p>
            <w:pPr>
              <w:ind w:left="20"/>
              <w:spacing w:after="0"/>
              <w:rPr>
                <w:sz w:val="20"/>
                <w:szCs w:val="20"/>
                <w:color w:val="auto"/>
              </w:rPr>
            </w:pPr>
            <w:r>
              <w:rPr>
                <w:rFonts w:ascii="Arial" w:cs="Arial" w:eastAsia="Arial" w:hAnsi="Arial"/>
                <w:sz w:val="14"/>
                <w:szCs w:val="14"/>
                <w:color w:val="auto"/>
              </w:rPr>
              <w:t>Additional paid-in capital</w:t>
            </w: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1,255,044</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1,253,360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Retained earnings</w:t>
            </w: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45,897</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20,830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Accumulated other comprehensive income (loss)</w:t>
            </w: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3,821</w:t>
            </w: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33,309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580" w:type="dxa"/>
            <w:vAlign w:val="bottom"/>
            <w:shd w:val="clear" w:color="auto" w:fill="CCEEFF"/>
          </w:tcPr>
          <w:p>
            <w:pPr>
              <w:ind w:left="220"/>
              <w:spacing w:after="0" w:line="155" w:lineRule="exact"/>
              <w:rPr>
                <w:sz w:val="20"/>
                <w:szCs w:val="20"/>
                <w:color w:val="auto"/>
              </w:rPr>
            </w:pPr>
            <w:r>
              <w:rPr>
                <w:rFonts w:ascii="Arial" w:cs="Arial" w:eastAsia="Arial" w:hAnsi="Arial"/>
                <w:sz w:val="14"/>
                <w:szCs w:val="14"/>
                <w:color w:val="auto"/>
              </w:rPr>
              <w:t>Total stockholders’ equity before treasury stock</w:t>
            </w: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1,304,818</w:t>
            </w: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1,307,555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Treasury stock at cost 2021 1,565,354 shares; 2020 1,506,354 shares</w:t>
            </w:r>
          </w:p>
        </w:tc>
        <w:tc>
          <w:tcPr>
            <w:tcW w:w="140" w:type="dxa"/>
            <w:vAlign w:val="bottom"/>
            <w:shd w:val="clear" w:color="auto" w:fill="CCEEFF"/>
          </w:tcPr>
          <w:p>
            <w:pPr>
              <w:spacing w:after="0"/>
              <w:rPr>
                <w:sz w:val="14"/>
                <w:szCs w:val="14"/>
                <w:color w:val="auto"/>
              </w:rPr>
            </w:pPr>
          </w:p>
        </w:tc>
        <w:tc>
          <w:tcPr>
            <w:tcW w:w="110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(38,996)</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(37,486)</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580" w:type="dxa"/>
            <w:vAlign w:val="bottom"/>
            <w:tcBorders>
              <w:bottom w:val="single" w:sz="8" w:color="CCEEFF"/>
            </w:tcBorders>
          </w:tcPr>
          <w:p>
            <w:pPr>
              <w:ind w:left="440"/>
              <w:spacing w:after="0" w:line="155" w:lineRule="exact"/>
              <w:rPr>
                <w:sz w:val="20"/>
                <w:szCs w:val="20"/>
                <w:color w:val="auto"/>
              </w:rPr>
            </w:pPr>
            <w:r>
              <w:rPr>
                <w:rFonts w:ascii="Arial" w:cs="Arial" w:eastAsia="Arial" w:hAnsi="Arial"/>
                <w:sz w:val="14"/>
                <w:szCs w:val="14"/>
                <w:color w:val="auto"/>
              </w:rPr>
              <w:t>Total stockholders’ equity</w:t>
            </w:r>
          </w:p>
        </w:tc>
        <w:tc>
          <w:tcPr>
            <w:tcW w:w="14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1,265,822</w:t>
            </w:r>
          </w:p>
        </w:tc>
        <w:tc>
          <w:tcPr>
            <w:tcW w:w="60" w:type="dxa"/>
            <w:vAlign w:val="bottom"/>
            <w:tcBorders>
              <w:top w:val="single" w:sz="8" w:color="auto"/>
              <w:bottom w:val="single" w:sz="8" w:color="auto"/>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1,270,069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580" w:type="dxa"/>
            <w:vAlign w:val="bottom"/>
            <w:tcBorders>
              <w:bottom w:val="single" w:sz="8" w:color="CCEEFF"/>
            </w:tcBorders>
            <w:shd w:val="clear" w:color="auto" w:fill="CCEEFF"/>
          </w:tcPr>
          <w:p>
            <w:pPr>
              <w:ind w:left="440"/>
              <w:spacing w:after="0" w:line="155" w:lineRule="exact"/>
              <w:rPr>
                <w:sz w:val="20"/>
                <w:szCs w:val="20"/>
                <w:color w:val="auto"/>
              </w:rPr>
            </w:pPr>
            <w:r>
              <w:rPr>
                <w:rFonts w:ascii="Arial" w:cs="Arial" w:eastAsia="Arial" w:hAnsi="Arial"/>
                <w:sz w:val="14"/>
                <w:szCs w:val="14"/>
                <w:color w:val="auto"/>
              </w:rPr>
              <w:t>Total liabilities and stockholders’ equity</w:t>
            </w:r>
          </w:p>
        </w:tc>
        <w:tc>
          <w:tcPr>
            <w:tcW w:w="1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10,759,563</w:t>
            </w:r>
          </w:p>
        </w:tc>
        <w:tc>
          <w:tcPr>
            <w:tcW w:w="60" w:type="dxa"/>
            <w:vAlign w:val="bottom"/>
            <w:tcBorders>
              <w:bottom w:val="single" w:sz="8" w:color="auto"/>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10,544,047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Common shares outstanding at period end</w:t>
            </w:r>
          </w:p>
        </w:tc>
        <w:tc>
          <w:tcPr>
            <w:tcW w:w="14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54,345,379</w:t>
            </w:r>
          </w:p>
        </w:tc>
        <w:tc>
          <w:tcPr>
            <w:tcW w:w="60" w:type="dxa"/>
            <w:vAlign w:val="bottom"/>
            <w:tcBorders>
              <w:bottom w:val="single" w:sz="8" w:color="auto"/>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54,404,379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p>
      <w:pPr>
        <w:jc w:val="center"/>
        <w:ind w:left="1500" w:right="2060"/>
        <w:spacing w:after="0" w:line="250" w:lineRule="auto"/>
        <w:rPr>
          <w:sz w:val="20"/>
          <w:szCs w:val="20"/>
          <w:color w:val="auto"/>
        </w:rPr>
      </w:pPr>
      <w:r>
        <w:rPr>
          <w:rFonts w:ascii="Arial" w:cs="Arial" w:eastAsia="Arial" w:hAnsi="Arial"/>
          <w:sz w:val="18"/>
          <w:szCs w:val="18"/>
          <w:b w:val="1"/>
          <w:bCs w:val="1"/>
          <w:color w:val="auto"/>
        </w:rPr>
        <w:t xml:space="preserve">FIRST BUSEY CORPORATION CONSOLIDATED STATEMENTS OF INCOME (Unaudited) </w:t>
      </w:r>
      <w:r>
        <w:rPr>
          <w:rFonts w:ascii="Arial" w:cs="Arial" w:eastAsia="Arial" w:hAnsi="Arial"/>
          <w:sz w:val="18"/>
          <w:szCs w:val="18"/>
          <w:i w:val="1"/>
          <w:iCs w:val="1"/>
          <w:color w:val="auto"/>
        </w:rPr>
        <w:t>(dollars in thousands, except per share amounts)</w:t>
      </w:r>
    </w:p>
    <w:p>
      <w:pPr>
        <w:spacing w:after="0" w:line="172"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65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jc w:val="right"/>
              <w:ind w:right="108"/>
              <w:spacing w:after="0"/>
              <w:rPr>
                <w:sz w:val="20"/>
                <w:szCs w:val="20"/>
                <w:color w:val="auto"/>
              </w:rPr>
            </w:pPr>
            <w:r>
              <w:rPr>
                <w:rFonts w:ascii="Arial" w:cs="Arial" w:eastAsia="Arial" w:hAnsi="Arial"/>
                <w:sz w:val="14"/>
                <w:szCs w:val="14"/>
                <w:b w:val="1"/>
                <w:bCs w:val="1"/>
                <w:color w:val="auto"/>
                <w:w w:val="96"/>
              </w:rPr>
              <w:t>Three Months Ended March 31,</w:t>
            </w:r>
          </w:p>
        </w:tc>
        <w:tc>
          <w:tcPr>
            <w:tcW w:w="0" w:type="dxa"/>
            <w:vAlign w:val="bottom"/>
          </w:tcPr>
          <w:p>
            <w:pPr>
              <w:spacing w:after="0"/>
              <w:rPr>
                <w:sz w:val="1"/>
                <w:szCs w:val="1"/>
                <w:color w:val="auto"/>
              </w:rPr>
            </w:pPr>
          </w:p>
        </w:tc>
      </w:tr>
      <w:tr>
        <w:trPr>
          <w:trHeight w:val="155"/>
        </w:trPr>
        <w:tc>
          <w:tcPr>
            <w:tcW w:w="65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08"/>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08"/>
              <w:spacing w:after="0" w:line="155"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56"/>
        </w:trPr>
        <w:tc>
          <w:tcPr>
            <w:tcW w:w="658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b w:val="1"/>
                <w:bCs w:val="1"/>
                <w:color w:val="auto"/>
              </w:rPr>
              <w:t>Interest income:</w:t>
            </w: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580" w:type="dxa"/>
            <w:vAlign w:val="bottom"/>
          </w:tcPr>
          <w:p>
            <w:pPr>
              <w:ind w:left="220"/>
              <w:spacing w:after="0"/>
              <w:rPr>
                <w:sz w:val="20"/>
                <w:szCs w:val="20"/>
                <w:color w:val="auto"/>
              </w:rPr>
            </w:pPr>
            <w:r>
              <w:rPr>
                <w:rFonts w:ascii="Arial" w:cs="Arial" w:eastAsia="Arial" w:hAnsi="Arial"/>
                <w:sz w:val="14"/>
                <w:szCs w:val="14"/>
                <w:color w:val="auto"/>
              </w:rPr>
              <w:t>Interest and fees on loans</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62,565</w:t>
            </w:r>
          </w:p>
        </w:tc>
        <w:tc>
          <w:tcPr>
            <w:tcW w:w="180" w:type="dxa"/>
            <w:vAlign w:val="bottom"/>
          </w:tcPr>
          <w:p>
            <w:pPr>
              <w:spacing w:after="0"/>
              <w:rPr>
                <w:sz w:val="14"/>
                <w:szCs w:val="14"/>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72,536</w:t>
            </w:r>
          </w:p>
        </w:tc>
        <w:tc>
          <w:tcPr>
            <w:tcW w:w="0" w:type="dxa"/>
            <w:vAlign w:val="bottom"/>
          </w:tcPr>
          <w:p>
            <w:pPr>
              <w:spacing w:after="0"/>
              <w:rPr>
                <w:sz w:val="1"/>
                <w:szCs w:val="1"/>
                <w:color w:val="auto"/>
              </w:rPr>
            </w:pPr>
          </w:p>
        </w:tc>
      </w:tr>
      <w:tr>
        <w:trPr>
          <w:trHeight w:val="162"/>
        </w:trPr>
        <w:tc>
          <w:tcPr>
            <w:tcW w:w="65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Interest and dividends on investment securities:</w:t>
            </w: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80" w:type="dxa"/>
            <w:vAlign w:val="bottom"/>
          </w:tcPr>
          <w:p>
            <w:pPr>
              <w:ind w:left="440"/>
              <w:spacing w:after="0"/>
              <w:rPr>
                <w:sz w:val="20"/>
                <w:szCs w:val="20"/>
                <w:color w:val="auto"/>
              </w:rPr>
            </w:pPr>
            <w:r>
              <w:rPr>
                <w:rFonts w:ascii="Arial" w:cs="Arial" w:eastAsia="Arial" w:hAnsi="Arial"/>
                <w:sz w:val="14"/>
                <w:szCs w:val="14"/>
                <w:color w:val="auto"/>
              </w:rPr>
              <w:t>Taxable interest income</w:t>
            </w: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8,611</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9,508</w:t>
            </w:r>
          </w:p>
        </w:tc>
        <w:tc>
          <w:tcPr>
            <w:tcW w:w="0" w:type="dxa"/>
            <w:vAlign w:val="bottom"/>
          </w:tcPr>
          <w:p>
            <w:pPr>
              <w:spacing w:after="0"/>
              <w:rPr>
                <w:sz w:val="1"/>
                <w:szCs w:val="1"/>
                <w:color w:val="auto"/>
              </w:rPr>
            </w:pPr>
          </w:p>
        </w:tc>
      </w:tr>
      <w:tr>
        <w:trPr>
          <w:trHeight w:val="162"/>
        </w:trPr>
        <w:tc>
          <w:tcPr>
            <w:tcW w:w="6580" w:type="dxa"/>
            <w:vAlign w:val="bottom"/>
            <w:shd w:val="clear" w:color="auto" w:fill="CCEEFF"/>
          </w:tcPr>
          <w:p>
            <w:pPr>
              <w:ind w:left="440"/>
              <w:spacing w:after="0"/>
              <w:rPr>
                <w:sz w:val="20"/>
                <w:szCs w:val="20"/>
                <w:color w:val="auto"/>
              </w:rPr>
            </w:pPr>
            <w:r>
              <w:rPr>
                <w:rFonts w:ascii="Arial" w:cs="Arial" w:eastAsia="Arial" w:hAnsi="Arial"/>
                <w:sz w:val="14"/>
                <w:szCs w:val="14"/>
                <w:color w:val="auto"/>
              </w:rPr>
              <w:t>Non-taxable interest income</w:t>
            </w: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1,005</w:t>
            </w: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1,151</w:t>
            </w:r>
          </w:p>
        </w:tc>
        <w:tc>
          <w:tcPr>
            <w:tcW w:w="0" w:type="dxa"/>
            <w:vAlign w:val="bottom"/>
          </w:tcPr>
          <w:p>
            <w:pPr>
              <w:spacing w:after="0"/>
              <w:rPr>
                <w:sz w:val="1"/>
                <w:szCs w:val="1"/>
                <w:color w:val="auto"/>
              </w:rPr>
            </w:pPr>
          </w:p>
        </w:tc>
      </w:tr>
      <w:tr>
        <w:trPr>
          <w:trHeight w:val="162"/>
        </w:trPr>
        <w:tc>
          <w:tcPr>
            <w:tcW w:w="658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Other interest income</w:t>
            </w: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w:t>
            </w:r>
          </w:p>
        </w:tc>
        <w:tc>
          <w:tcPr>
            <w:tcW w:w="1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1,238</w:t>
            </w:r>
          </w:p>
        </w:tc>
        <w:tc>
          <w:tcPr>
            <w:tcW w:w="0" w:type="dxa"/>
            <w:vAlign w:val="bottom"/>
          </w:tcPr>
          <w:p>
            <w:pPr>
              <w:spacing w:after="0"/>
              <w:rPr>
                <w:sz w:val="1"/>
                <w:szCs w:val="1"/>
                <w:color w:val="auto"/>
              </w:rPr>
            </w:pPr>
          </w:p>
        </w:tc>
      </w:tr>
      <w:tr>
        <w:trPr>
          <w:trHeight w:val="156"/>
        </w:trPr>
        <w:tc>
          <w:tcPr>
            <w:tcW w:w="6580" w:type="dxa"/>
            <w:vAlign w:val="bottom"/>
            <w:shd w:val="clear" w:color="auto" w:fill="CCEEFF"/>
          </w:tcPr>
          <w:p>
            <w:pPr>
              <w:ind w:left="440"/>
              <w:spacing w:after="0" w:line="155" w:lineRule="exact"/>
              <w:rPr>
                <w:sz w:val="20"/>
                <w:szCs w:val="20"/>
                <w:color w:val="auto"/>
              </w:rPr>
            </w:pPr>
            <w:r>
              <w:rPr>
                <w:rFonts w:ascii="Arial" w:cs="Arial" w:eastAsia="Arial" w:hAnsi="Arial"/>
                <w:sz w:val="14"/>
                <w:szCs w:val="14"/>
                <w:color w:val="auto"/>
              </w:rPr>
              <w:t>Total interest income</w:t>
            </w:r>
          </w:p>
        </w:tc>
        <w:tc>
          <w:tcPr>
            <w:tcW w:w="12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72,331</w:t>
            </w:r>
          </w:p>
        </w:tc>
        <w:tc>
          <w:tcPr>
            <w:tcW w:w="18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84,433</w:t>
            </w:r>
          </w:p>
        </w:tc>
        <w:tc>
          <w:tcPr>
            <w:tcW w:w="0" w:type="dxa"/>
            <w:vAlign w:val="bottom"/>
          </w:tcPr>
          <w:p>
            <w:pPr>
              <w:spacing w:after="0"/>
              <w:rPr>
                <w:sz w:val="1"/>
                <w:szCs w:val="1"/>
                <w:color w:val="auto"/>
              </w:rPr>
            </w:pPr>
          </w:p>
        </w:tc>
      </w:tr>
      <w:tr>
        <w:trPr>
          <w:trHeight w:val="155"/>
        </w:trPr>
        <w:tc>
          <w:tcPr>
            <w:tcW w:w="6580" w:type="dxa"/>
            <w:vAlign w:val="bottom"/>
          </w:tcPr>
          <w:p>
            <w:pPr>
              <w:ind w:left="20"/>
              <w:spacing w:after="0" w:line="155" w:lineRule="exact"/>
              <w:rPr>
                <w:sz w:val="20"/>
                <w:szCs w:val="20"/>
                <w:color w:val="auto"/>
              </w:rPr>
            </w:pPr>
            <w:r>
              <w:rPr>
                <w:rFonts w:ascii="Arial" w:cs="Arial" w:eastAsia="Arial" w:hAnsi="Arial"/>
                <w:sz w:val="14"/>
                <w:szCs w:val="14"/>
                <w:b w:val="1"/>
                <w:bCs w:val="1"/>
                <w:color w:val="auto"/>
              </w:rPr>
              <w:t>Interest expense:</w:t>
            </w: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5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Deposits</w:t>
            </w: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3,732</w:t>
            </w: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12,227</w:t>
            </w:r>
          </w:p>
        </w:tc>
        <w:tc>
          <w:tcPr>
            <w:tcW w:w="0" w:type="dxa"/>
            <w:vAlign w:val="bottom"/>
          </w:tcPr>
          <w:p>
            <w:pPr>
              <w:spacing w:after="0"/>
              <w:rPr>
                <w:sz w:val="1"/>
                <w:szCs w:val="1"/>
                <w:color w:val="auto"/>
              </w:rPr>
            </w:pPr>
          </w:p>
        </w:tc>
      </w:tr>
      <w:tr>
        <w:trPr>
          <w:trHeight w:val="162"/>
        </w:trPr>
        <w:tc>
          <w:tcPr>
            <w:tcW w:w="6580" w:type="dxa"/>
            <w:vAlign w:val="bottom"/>
          </w:tcPr>
          <w:p>
            <w:pPr>
              <w:ind w:left="220"/>
              <w:spacing w:after="0"/>
              <w:rPr>
                <w:sz w:val="20"/>
                <w:szCs w:val="20"/>
                <w:color w:val="auto"/>
              </w:rPr>
            </w:pPr>
            <w:r>
              <w:rPr>
                <w:rFonts w:ascii="Arial" w:cs="Arial" w:eastAsia="Arial" w:hAnsi="Arial"/>
                <w:sz w:val="14"/>
                <w:szCs w:val="14"/>
                <w:color w:val="auto"/>
              </w:rPr>
              <w:t>Federal funds purchased and securities sold under agreements to repurchase</w:t>
            </w: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57</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408</w:t>
            </w:r>
          </w:p>
        </w:tc>
        <w:tc>
          <w:tcPr>
            <w:tcW w:w="0" w:type="dxa"/>
            <w:vAlign w:val="bottom"/>
          </w:tcPr>
          <w:p>
            <w:pPr>
              <w:spacing w:after="0"/>
              <w:rPr>
                <w:sz w:val="1"/>
                <w:szCs w:val="1"/>
                <w:color w:val="auto"/>
              </w:rPr>
            </w:pPr>
          </w:p>
        </w:tc>
      </w:tr>
      <w:tr>
        <w:trPr>
          <w:trHeight w:val="162"/>
        </w:trPr>
        <w:tc>
          <w:tcPr>
            <w:tcW w:w="65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Short-term borrowings</w:t>
            </w: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162"/>
        </w:trPr>
        <w:tc>
          <w:tcPr>
            <w:tcW w:w="6580" w:type="dxa"/>
            <w:vAlign w:val="bottom"/>
          </w:tcPr>
          <w:p>
            <w:pPr>
              <w:ind w:left="220"/>
              <w:spacing w:after="0"/>
              <w:rPr>
                <w:sz w:val="20"/>
                <w:szCs w:val="20"/>
                <w:color w:val="auto"/>
              </w:rPr>
            </w:pPr>
            <w:r>
              <w:rPr>
                <w:rFonts w:ascii="Arial" w:cs="Arial" w:eastAsia="Arial" w:hAnsi="Arial"/>
                <w:sz w:val="14"/>
                <w:szCs w:val="14"/>
                <w:color w:val="auto"/>
              </w:rPr>
              <w:t>Long-term debt</w:t>
            </w: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29</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423</w:t>
            </w:r>
          </w:p>
        </w:tc>
        <w:tc>
          <w:tcPr>
            <w:tcW w:w="0" w:type="dxa"/>
            <w:vAlign w:val="bottom"/>
          </w:tcPr>
          <w:p>
            <w:pPr>
              <w:spacing w:after="0"/>
              <w:rPr>
                <w:sz w:val="1"/>
                <w:szCs w:val="1"/>
                <w:color w:val="auto"/>
              </w:rPr>
            </w:pPr>
          </w:p>
        </w:tc>
      </w:tr>
      <w:tr>
        <w:trPr>
          <w:trHeight w:val="162"/>
        </w:trPr>
        <w:tc>
          <w:tcPr>
            <w:tcW w:w="65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Senior notes</w:t>
            </w: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w:t>
            </w: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62"/>
        </w:trPr>
        <w:tc>
          <w:tcPr>
            <w:tcW w:w="6580" w:type="dxa"/>
            <w:vAlign w:val="bottom"/>
          </w:tcPr>
          <w:p>
            <w:pPr>
              <w:ind w:left="220"/>
              <w:spacing w:after="0"/>
              <w:rPr>
                <w:sz w:val="20"/>
                <w:szCs w:val="20"/>
                <w:color w:val="auto"/>
              </w:rPr>
            </w:pPr>
            <w:r>
              <w:rPr>
                <w:rFonts w:ascii="Arial" w:cs="Arial" w:eastAsia="Arial" w:hAnsi="Arial"/>
                <w:sz w:val="14"/>
                <w:szCs w:val="14"/>
                <w:color w:val="auto"/>
              </w:rPr>
              <w:t>Subordinated notes</w:t>
            </w: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2,476</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731</w:t>
            </w:r>
          </w:p>
        </w:tc>
        <w:tc>
          <w:tcPr>
            <w:tcW w:w="0" w:type="dxa"/>
            <w:vAlign w:val="bottom"/>
          </w:tcPr>
          <w:p>
            <w:pPr>
              <w:spacing w:after="0"/>
              <w:rPr>
                <w:sz w:val="1"/>
                <w:szCs w:val="1"/>
                <w:color w:val="auto"/>
              </w:rPr>
            </w:pPr>
          </w:p>
        </w:tc>
      </w:tr>
      <w:tr>
        <w:trPr>
          <w:trHeight w:val="162"/>
        </w:trPr>
        <w:tc>
          <w:tcPr>
            <w:tcW w:w="65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Junior subordinated debt owed to unconsolidated trusts</w:t>
            </w:r>
          </w:p>
        </w:tc>
        <w:tc>
          <w:tcPr>
            <w:tcW w:w="12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725</w:t>
            </w:r>
          </w:p>
        </w:tc>
        <w:tc>
          <w:tcPr>
            <w:tcW w:w="1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744</w:t>
            </w:r>
          </w:p>
        </w:tc>
        <w:tc>
          <w:tcPr>
            <w:tcW w:w="0" w:type="dxa"/>
            <w:vAlign w:val="bottom"/>
          </w:tcPr>
          <w:p>
            <w:pPr>
              <w:spacing w:after="0"/>
              <w:rPr>
                <w:sz w:val="1"/>
                <w:szCs w:val="1"/>
                <w:color w:val="auto"/>
              </w:rPr>
            </w:pPr>
          </w:p>
        </w:tc>
      </w:tr>
      <w:tr>
        <w:trPr>
          <w:trHeight w:val="155"/>
        </w:trPr>
        <w:tc>
          <w:tcPr>
            <w:tcW w:w="6580" w:type="dxa"/>
            <w:vAlign w:val="bottom"/>
            <w:tcBorders>
              <w:bottom w:val="single" w:sz="8" w:color="CCEEFF"/>
            </w:tcBorders>
          </w:tcPr>
          <w:p>
            <w:pPr>
              <w:ind w:left="440"/>
              <w:spacing w:after="0" w:line="155" w:lineRule="exact"/>
              <w:rPr>
                <w:sz w:val="20"/>
                <w:szCs w:val="20"/>
                <w:color w:val="auto"/>
              </w:rPr>
            </w:pPr>
            <w:r>
              <w:rPr>
                <w:rFonts w:ascii="Arial" w:cs="Arial" w:eastAsia="Arial" w:hAnsi="Arial"/>
                <w:sz w:val="14"/>
                <w:szCs w:val="14"/>
                <w:color w:val="auto"/>
              </w:rPr>
              <w:t>Total interest expense</w:t>
            </w:r>
          </w:p>
        </w:tc>
        <w:tc>
          <w:tcPr>
            <w:tcW w:w="1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7,438</w:t>
            </w:r>
          </w:p>
        </w:tc>
        <w:tc>
          <w:tcPr>
            <w:tcW w:w="1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15,000</w:t>
            </w:r>
          </w:p>
        </w:tc>
        <w:tc>
          <w:tcPr>
            <w:tcW w:w="0" w:type="dxa"/>
            <w:vAlign w:val="bottom"/>
          </w:tcPr>
          <w:p>
            <w:pPr>
              <w:spacing w:after="0"/>
              <w:rPr>
                <w:sz w:val="1"/>
                <w:szCs w:val="1"/>
                <w:color w:val="auto"/>
              </w:rPr>
            </w:pPr>
          </w:p>
        </w:tc>
      </w:tr>
      <w:tr>
        <w:trPr>
          <w:trHeight w:val="156"/>
        </w:trPr>
        <w:tc>
          <w:tcPr>
            <w:tcW w:w="6580" w:type="dxa"/>
            <w:vAlign w:val="bottom"/>
            <w:shd w:val="clear" w:color="auto" w:fill="CCEEFF"/>
          </w:tcPr>
          <w:p>
            <w:pPr>
              <w:ind w:left="660"/>
              <w:spacing w:after="0" w:line="155" w:lineRule="exact"/>
              <w:rPr>
                <w:sz w:val="20"/>
                <w:szCs w:val="20"/>
                <w:color w:val="auto"/>
              </w:rPr>
            </w:pPr>
            <w:r>
              <w:rPr>
                <w:rFonts w:ascii="Arial" w:cs="Arial" w:eastAsia="Arial" w:hAnsi="Arial"/>
                <w:sz w:val="14"/>
                <w:szCs w:val="14"/>
                <w:color w:val="auto"/>
              </w:rPr>
              <w:t>Net interest income</w:t>
            </w: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64,893</w:t>
            </w:r>
          </w:p>
        </w:tc>
        <w:tc>
          <w:tcPr>
            <w:tcW w:w="1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69,433</w:t>
            </w:r>
          </w:p>
        </w:tc>
        <w:tc>
          <w:tcPr>
            <w:tcW w:w="0" w:type="dxa"/>
            <w:vAlign w:val="bottom"/>
          </w:tcPr>
          <w:p>
            <w:pPr>
              <w:spacing w:after="0"/>
              <w:rPr>
                <w:sz w:val="1"/>
                <w:szCs w:val="1"/>
                <w:color w:val="auto"/>
              </w:rPr>
            </w:pPr>
          </w:p>
        </w:tc>
      </w:tr>
      <w:tr>
        <w:trPr>
          <w:trHeight w:val="162"/>
        </w:trPr>
        <w:tc>
          <w:tcPr>
            <w:tcW w:w="6580" w:type="dxa"/>
            <w:vAlign w:val="bottom"/>
          </w:tcPr>
          <w:p>
            <w:pPr>
              <w:ind w:left="220"/>
              <w:spacing w:after="0"/>
              <w:rPr>
                <w:sz w:val="20"/>
                <w:szCs w:val="20"/>
                <w:color w:val="auto"/>
              </w:rPr>
            </w:pPr>
            <w:r>
              <w:rPr>
                <w:rFonts w:ascii="Arial" w:cs="Arial" w:eastAsia="Arial" w:hAnsi="Arial"/>
                <w:sz w:val="14"/>
                <w:szCs w:val="14"/>
                <w:color w:val="auto"/>
              </w:rPr>
              <w:t>Provision for credit losses</w:t>
            </w:r>
          </w:p>
        </w:tc>
        <w:tc>
          <w:tcPr>
            <w:tcW w:w="120" w:type="dxa"/>
            <w:vAlign w:val="bottom"/>
          </w:tcPr>
          <w:p>
            <w:pPr>
              <w:spacing w:after="0"/>
              <w:rPr>
                <w:sz w:val="14"/>
                <w:szCs w:val="14"/>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(6,796)</w:t>
            </w: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17,216</w:t>
            </w:r>
          </w:p>
        </w:tc>
        <w:tc>
          <w:tcPr>
            <w:tcW w:w="0" w:type="dxa"/>
            <w:vAlign w:val="bottom"/>
          </w:tcPr>
          <w:p>
            <w:pPr>
              <w:spacing w:after="0"/>
              <w:rPr>
                <w:sz w:val="1"/>
                <w:szCs w:val="1"/>
                <w:color w:val="auto"/>
              </w:rPr>
            </w:pPr>
          </w:p>
        </w:tc>
      </w:tr>
      <w:tr>
        <w:trPr>
          <w:trHeight w:val="156"/>
        </w:trPr>
        <w:tc>
          <w:tcPr>
            <w:tcW w:w="6580" w:type="dxa"/>
            <w:vAlign w:val="bottom"/>
            <w:tcBorders>
              <w:top w:val="single" w:sz="8" w:color="CCEEFF"/>
            </w:tcBorders>
            <w:shd w:val="clear" w:color="auto" w:fill="CCEEFF"/>
          </w:tcPr>
          <w:p>
            <w:pPr>
              <w:ind w:left="440"/>
              <w:spacing w:after="0" w:line="155" w:lineRule="exact"/>
              <w:rPr>
                <w:sz w:val="20"/>
                <w:szCs w:val="20"/>
                <w:color w:val="auto"/>
              </w:rPr>
            </w:pPr>
            <w:r>
              <w:rPr>
                <w:rFonts w:ascii="Arial" w:cs="Arial" w:eastAsia="Arial" w:hAnsi="Arial"/>
                <w:sz w:val="14"/>
                <w:szCs w:val="14"/>
                <w:color w:val="auto"/>
              </w:rPr>
              <w:t>Net interest income after provision for credit losses</w:t>
            </w:r>
          </w:p>
        </w:tc>
        <w:tc>
          <w:tcPr>
            <w:tcW w:w="120" w:type="dxa"/>
            <w:vAlign w:val="bottom"/>
            <w:tcBorders>
              <w:top w:val="single" w:sz="8" w:color="auto"/>
              <w:bottom w:val="single" w:sz="8" w:color="auto"/>
            </w:tcBorders>
            <w:shd w:val="clear" w:color="auto" w:fill="CCEEFF"/>
          </w:tcPr>
          <w:p>
            <w:pPr>
              <w:spacing w:after="0"/>
              <w:rPr>
                <w:sz w:val="13"/>
                <w:szCs w:val="13"/>
                <w:color w:val="auto"/>
              </w:rPr>
            </w:pPr>
          </w:p>
        </w:tc>
        <w:tc>
          <w:tcPr>
            <w:tcW w:w="9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71,689</w:t>
            </w:r>
          </w:p>
        </w:tc>
        <w:tc>
          <w:tcPr>
            <w:tcW w:w="1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bottom w:val="single" w:sz="8" w:color="auto"/>
            </w:tcBorders>
            <w:shd w:val="clear" w:color="auto" w:fill="CCEEFF"/>
          </w:tcPr>
          <w:p>
            <w:pPr>
              <w:spacing w:after="0"/>
              <w:rPr>
                <w:sz w:val="13"/>
                <w:szCs w:val="13"/>
                <w:color w:val="auto"/>
              </w:rPr>
            </w:pPr>
          </w:p>
        </w:tc>
        <w:tc>
          <w:tcPr>
            <w:tcW w:w="8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52,217</w:t>
            </w:r>
          </w:p>
        </w:tc>
        <w:tc>
          <w:tcPr>
            <w:tcW w:w="0" w:type="dxa"/>
            <w:vAlign w:val="bottom"/>
          </w:tcPr>
          <w:p>
            <w:pPr>
              <w:spacing w:after="0"/>
              <w:rPr>
                <w:sz w:val="1"/>
                <w:szCs w:val="1"/>
                <w:color w:val="auto"/>
              </w:rPr>
            </w:pPr>
          </w:p>
        </w:tc>
      </w:tr>
      <w:tr>
        <w:trPr>
          <w:trHeight w:val="156"/>
        </w:trPr>
        <w:tc>
          <w:tcPr>
            <w:tcW w:w="6580" w:type="dxa"/>
            <w:vAlign w:val="bottom"/>
          </w:tcPr>
          <w:p>
            <w:pPr>
              <w:ind w:left="20"/>
              <w:spacing w:after="0" w:line="155" w:lineRule="exact"/>
              <w:rPr>
                <w:sz w:val="20"/>
                <w:szCs w:val="20"/>
                <w:color w:val="auto"/>
              </w:rPr>
            </w:pPr>
            <w:r>
              <w:rPr>
                <w:rFonts w:ascii="Arial" w:cs="Arial" w:eastAsia="Arial" w:hAnsi="Arial"/>
                <w:sz w:val="14"/>
                <w:szCs w:val="14"/>
                <w:b w:val="1"/>
                <w:bCs w:val="1"/>
                <w:color w:val="auto"/>
              </w:rPr>
              <w:t>Non-interest income:</w:t>
            </w: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5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Wealth management fees</w:t>
            </w: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12,584</w:t>
            </w: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11,555</w:t>
            </w:r>
          </w:p>
        </w:tc>
        <w:tc>
          <w:tcPr>
            <w:tcW w:w="0" w:type="dxa"/>
            <w:vAlign w:val="bottom"/>
          </w:tcPr>
          <w:p>
            <w:pPr>
              <w:spacing w:after="0"/>
              <w:rPr>
                <w:sz w:val="1"/>
                <w:szCs w:val="1"/>
                <w:color w:val="auto"/>
              </w:rPr>
            </w:pPr>
          </w:p>
        </w:tc>
      </w:tr>
      <w:tr>
        <w:trPr>
          <w:trHeight w:val="162"/>
        </w:trPr>
        <w:tc>
          <w:tcPr>
            <w:tcW w:w="6580" w:type="dxa"/>
            <w:vAlign w:val="bottom"/>
          </w:tcPr>
          <w:p>
            <w:pPr>
              <w:ind w:left="220"/>
              <w:spacing w:after="0"/>
              <w:rPr>
                <w:sz w:val="20"/>
                <w:szCs w:val="20"/>
                <w:color w:val="auto"/>
              </w:rPr>
            </w:pPr>
            <w:r>
              <w:rPr>
                <w:rFonts w:ascii="Arial" w:cs="Arial" w:eastAsia="Arial" w:hAnsi="Arial"/>
                <w:sz w:val="14"/>
                <w:szCs w:val="14"/>
                <w:color w:val="auto"/>
              </w:rPr>
              <w:t>Fees for customer services</w:t>
            </w: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8,037</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8,361</w:t>
            </w:r>
          </w:p>
        </w:tc>
        <w:tc>
          <w:tcPr>
            <w:tcW w:w="0" w:type="dxa"/>
            <w:vAlign w:val="bottom"/>
          </w:tcPr>
          <w:p>
            <w:pPr>
              <w:spacing w:after="0"/>
              <w:rPr>
                <w:sz w:val="1"/>
                <w:szCs w:val="1"/>
                <w:color w:val="auto"/>
              </w:rPr>
            </w:pPr>
          </w:p>
        </w:tc>
      </w:tr>
      <w:tr>
        <w:trPr>
          <w:trHeight w:val="162"/>
        </w:trPr>
        <w:tc>
          <w:tcPr>
            <w:tcW w:w="65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Remittance processing</w:t>
            </w: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4,418</w:t>
            </w: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3,753</w:t>
            </w:r>
          </w:p>
        </w:tc>
        <w:tc>
          <w:tcPr>
            <w:tcW w:w="0" w:type="dxa"/>
            <w:vAlign w:val="bottom"/>
          </w:tcPr>
          <w:p>
            <w:pPr>
              <w:spacing w:after="0"/>
              <w:rPr>
                <w:sz w:val="1"/>
                <w:szCs w:val="1"/>
                <w:color w:val="auto"/>
              </w:rPr>
            </w:pPr>
          </w:p>
        </w:tc>
      </w:tr>
      <w:tr>
        <w:trPr>
          <w:trHeight w:val="162"/>
        </w:trPr>
        <w:tc>
          <w:tcPr>
            <w:tcW w:w="6580" w:type="dxa"/>
            <w:vAlign w:val="bottom"/>
          </w:tcPr>
          <w:p>
            <w:pPr>
              <w:ind w:left="220"/>
              <w:spacing w:after="0"/>
              <w:rPr>
                <w:sz w:val="20"/>
                <w:szCs w:val="20"/>
                <w:color w:val="auto"/>
              </w:rPr>
            </w:pPr>
            <w:r>
              <w:rPr>
                <w:rFonts w:ascii="Arial" w:cs="Arial" w:eastAsia="Arial" w:hAnsi="Arial"/>
                <w:sz w:val="14"/>
                <w:szCs w:val="14"/>
                <w:color w:val="auto"/>
              </w:rPr>
              <w:t>Mortgage revenue</w:t>
            </w: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2,666</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1,381</w:t>
            </w:r>
          </w:p>
        </w:tc>
        <w:tc>
          <w:tcPr>
            <w:tcW w:w="0" w:type="dxa"/>
            <w:vAlign w:val="bottom"/>
          </w:tcPr>
          <w:p>
            <w:pPr>
              <w:spacing w:after="0"/>
              <w:rPr>
                <w:sz w:val="1"/>
                <w:szCs w:val="1"/>
                <w:color w:val="auto"/>
              </w:rPr>
            </w:pPr>
          </w:p>
        </w:tc>
      </w:tr>
      <w:tr>
        <w:trPr>
          <w:trHeight w:val="162"/>
        </w:trPr>
        <w:tc>
          <w:tcPr>
            <w:tcW w:w="65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Income on bank owned life insurance</w:t>
            </w: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964</w:t>
            </w: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1,057</w:t>
            </w:r>
          </w:p>
        </w:tc>
        <w:tc>
          <w:tcPr>
            <w:tcW w:w="0" w:type="dxa"/>
            <w:vAlign w:val="bottom"/>
          </w:tcPr>
          <w:p>
            <w:pPr>
              <w:spacing w:after="0"/>
              <w:rPr>
                <w:sz w:val="1"/>
                <w:szCs w:val="1"/>
                <w:color w:val="auto"/>
              </w:rPr>
            </w:pPr>
          </w:p>
        </w:tc>
      </w:tr>
      <w:tr>
        <w:trPr>
          <w:trHeight w:val="162"/>
        </w:trPr>
        <w:tc>
          <w:tcPr>
            <w:tcW w:w="6580" w:type="dxa"/>
            <w:vAlign w:val="bottom"/>
          </w:tcPr>
          <w:p>
            <w:pPr>
              <w:ind w:left="220"/>
              <w:spacing w:after="0"/>
              <w:rPr>
                <w:sz w:val="20"/>
                <w:szCs w:val="20"/>
                <w:color w:val="auto"/>
              </w:rPr>
            </w:pPr>
            <w:r>
              <w:rPr>
                <w:rFonts w:ascii="Arial" w:cs="Arial" w:eastAsia="Arial" w:hAnsi="Arial"/>
                <w:sz w:val="14"/>
                <w:szCs w:val="14"/>
                <w:color w:val="auto"/>
              </w:rPr>
              <w:t>Net gains (losses) on sales of securities</w:t>
            </w: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25</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1,574</w:t>
            </w:r>
          </w:p>
        </w:tc>
        <w:tc>
          <w:tcPr>
            <w:tcW w:w="0" w:type="dxa"/>
            <w:vAlign w:val="bottom"/>
          </w:tcPr>
          <w:p>
            <w:pPr>
              <w:spacing w:after="0"/>
              <w:rPr>
                <w:sz w:val="1"/>
                <w:szCs w:val="1"/>
                <w:color w:val="auto"/>
              </w:rPr>
            </w:pPr>
          </w:p>
        </w:tc>
      </w:tr>
      <w:tr>
        <w:trPr>
          <w:trHeight w:val="162"/>
        </w:trPr>
        <w:tc>
          <w:tcPr>
            <w:tcW w:w="65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Unrealized gains (losses) recognized on equity securities</w:t>
            </w: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1,616</w:t>
            </w: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(987)</w:t>
            </w:r>
          </w:p>
        </w:tc>
        <w:tc>
          <w:tcPr>
            <w:tcW w:w="0" w:type="dxa"/>
            <w:vAlign w:val="bottom"/>
          </w:tcPr>
          <w:p>
            <w:pPr>
              <w:spacing w:after="0"/>
              <w:rPr>
                <w:sz w:val="1"/>
                <w:szCs w:val="1"/>
                <w:color w:val="auto"/>
              </w:rPr>
            </w:pPr>
          </w:p>
        </w:tc>
      </w:tr>
      <w:tr>
        <w:trPr>
          <w:trHeight w:val="162"/>
        </w:trPr>
        <w:tc>
          <w:tcPr>
            <w:tcW w:w="658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Other income</w:t>
            </w: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1,135</w:t>
            </w:r>
          </w:p>
        </w:tc>
        <w:tc>
          <w:tcPr>
            <w:tcW w:w="1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823</w:t>
            </w:r>
          </w:p>
        </w:tc>
        <w:tc>
          <w:tcPr>
            <w:tcW w:w="0" w:type="dxa"/>
            <w:vAlign w:val="bottom"/>
          </w:tcPr>
          <w:p>
            <w:pPr>
              <w:spacing w:after="0"/>
              <w:rPr>
                <w:sz w:val="1"/>
                <w:szCs w:val="1"/>
                <w:color w:val="auto"/>
              </w:rPr>
            </w:pPr>
          </w:p>
        </w:tc>
      </w:tr>
      <w:tr>
        <w:trPr>
          <w:trHeight w:val="155"/>
        </w:trPr>
        <w:tc>
          <w:tcPr>
            <w:tcW w:w="6580" w:type="dxa"/>
            <w:vAlign w:val="bottom"/>
            <w:shd w:val="clear" w:color="auto" w:fill="CCEEFF"/>
          </w:tcPr>
          <w:p>
            <w:pPr>
              <w:ind w:left="440"/>
              <w:spacing w:after="0" w:line="155" w:lineRule="exact"/>
              <w:rPr>
                <w:sz w:val="20"/>
                <w:szCs w:val="20"/>
                <w:color w:val="auto"/>
              </w:rPr>
            </w:pPr>
            <w:r>
              <w:rPr>
                <w:rFonts w:ascii="Arial" w:cs="Arial" w:eastAsia="Arial" w:hAnsi="Arial"/>
                <w:sz w:val="14"/>
                <w:szCs w:val="14"/>
                <w:color w:val="auto"/>
              </w:rPr>
              <w:t>Total non-interest income</w:t>
            </w:r>
          </w:p>
        </w:tc>
        <w:tc>
          <w:tcPr>
            <w:tcW w:w="12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31,445</w:t>
            </w:r>
          </w:p>
        </w:tc>
        <w:tc>
          <w:tcPr>
            <w:tcW w:w="18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27,517</w:t>
            </w:r>
          </w:p>
        </w:tc>
        <w:tc>
          <w:tcPr>
            <w:tcW w:w="0" w:type="dxa"/>
            <w:vAlign w:val="bottom"/>
          </w:tcPr>
          <w:p>
            <w:pPr>
              <w:spacing w:after="0"/>
              <w:rPr>
                <w:sz w:val="1"/>
                <w:szCs w:val="1"/>
                <w:color w:val="auto"/>
              </w:rPr>
            </w:pPr>
          </w:p>
        </w:tc>
      </w:tr>
      <w:tr>
        <w:trPr>
          <w:trHeight w:val="156"/>
        </w:trPr>
        <w:tc>
          <w:tcPr>
            <w:tcW w:w="6580" w:type="dxa"/>
            <w:vAlign w:val="bottom"/>
          </w:tcPr>
          <w:p>
            <w:pPr>
              <w:ind w:left="20"/>
              <w:spacing w:after="0" w:line="155" w:lineRule="exact"/>
              <w:rPr>
                <w:sz w:val="20"/>
                <w:szCs w:val="20"/>
                <w:color w:val="auto"/>
              </w:rPr>
            </w:pPr>
            <w:r>
              <w:rPr>
                <w:rFonts w:ascii="Arial" w:cs="Arial" w:eastAsia="Arial" w:hAnsi="Arial"/>
                <w:sz w:val="14"/>
                <w:szCs w:val="14"/>
                <w:b w:val="1"/>
                <w:bCs w:val="1"/>
                <w:color w:val="auto"/>
              </w:rPr>
              <w:t>Non-interest expense:</w:t>
            </w: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5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Salaries, wages, and employee benefits</w:t>
            </w: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30,384</w:t>
            </w: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34,003</w:t>
            </w:r>
          </w:p>
        </w:tc>
        <w:tc>
          <w:tcPr>
            <w:tcW w:w="0" w:type="dxa"/>
            <w:vAlign w:val="bottom"/>
          </w:tcPr>
          <w:p>
            <w:pPr>
              <w:spacing w:after="0"/>
              <w:rPr>
                <w:sz w:val="1"/>
                <w:szCs w:val="1"/>
                <w:color w:val="auto"/>
              </w:rPr>
            </w:pPr>
          </w:p>
        </w:tc>
      </w:tr>
      <w:tr>
        <w:trPr>
          <w:trHeight w:val="162"/>
        </w:trPr>
        <w:tc>
          <w:tcPr>
            <w:tcW w:w="6580" w:type="dxa"/>
            <w:vAlign w:val="bottom"/>
          </w:tcPr>
          <w:p>
            <w:pPr>
              <w:ind w:left="220"/>
              <w:spacing w:after="0"/>
              <w:rPr>
                <w:sz w:val="20"/>
                <w:szCs w:val="20"/>
                <w:color w:val="auto"/>
              </w:rPr>
            </w:pPr>
            <w:r>
              <w:rPr>
                <w:rFonts w:ascii="Arial" w:cs="Arial" w:eastAsia="Arial" w:hAnsi="Arial"/>
                <w:sz w:val="14"/>
                <w:szCs w:val="14"/>
                <w:color w:val="auto"/>
              </w:rPr>
              <w:t>Data processing</w:t>
            </w: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4,280</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4,395</w:t>
            </w:r>
          </w:p>
        </w:tc>
        <w:tc>
          <w:tcPr>
            <w:tcW w:w="0" w:type="dxa"/>
            <w:vAlign w:val="bottom"/>
          </w:tcPr>
          <w:p>
            <w:pPr>
              <w:spacing w:after="0"/>
              <w:rPr>
                <w:sz w:val="1"/>
                <w:szCs w:val="1"/>
                <w:color w:val="auto"/>
              </w:rPr>
            </w:pPr>
          </w:p>
        </w:tc>
      </w:tr>
      <w:tr>
        <w:trPr>
          <w:trHeight w:val="162"/>
        </w:trPr>
        <w:tc>
          <w:tcPr>
            <w:tcW w:w="65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Net occupancy expense of premises</w:t>
            </w: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4,563</w:t>
            </w: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4,715</w:t>
            </w:r>
          </w:p>
        </w:tc>
        <w:tc>
          <w:tcPr>
            <w:tcW w:w="0" w:type="dxa"/>
            <w:vAlign w:val="bottom"/>
          </w:tcPr>
          <w:p>
            <w:pPr>
              <w:spacing w:after="0"/>
              <w:rPr>
                <w:sz w:val="1"/>
                <w:szCs w:val="1"/>
                <w:color w:val="auto"/>
              </w:rPr>
            </w:pPr>
          </w:p>
        </w:tc>
      </w:tr>
      <w:tr>
        <w:trPr>
          <w:trHeight w:val="162"/>
        </w:trPr>
        <w:tc>
          <w:tcPr>
            <w:tcW w:w="6580" w:type="dxa"/>
            <w:vAlign w:val="bottom"/>
          </w:tcPr>
          <w:p>
            <w:pPr>
              <w:ind w:left="220"/>
              <w:spacing w:after="0"/>
              <w:rPr>
                <w:sz w:val="20"/>
                <w:szCs w:val="20"/>
                <w:color w:val="auto"/>
              </w:rPr>
            </w:pPr>
            <w:r>
              <w:rPr>
                <w:rFonts w:ascii="Arial" w:cs="Arial" w:eastAsia="Arial" w:hAnsi="Arial"/>
                <w:sz w:val="14"/>
                <w:szCs w:val="14"/>
                <w:color w:val="auto"/>
              </w:rPr>
              <w:t>Furniture and equipment expenses</w:t>
            </w: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2,026</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2,449</w:t>
            </w:r>
          </w:p>
        </w:tc>
        <w:tc>
          <w:tcPr>
            <w:tcW w:w="0" w:type="dxa"/>
            <w:vAlign w:val="bottom"/>
          </w:tcPr>
          <w:p>
            <w:pPr>
              <w:spacing w:after="0"/>
              <w:rPr>
                <w:sz w:val="1"/>
                <w:szCs w:val="1"/>
                <w:color w:val="auto"/>
              </w:rPr>
            </w:pPr>
          </w:p>
        </w:tc>
      </w:tr>
      <w:tr>
        <w:trPr>
          <w:trHeight w:val="162"/>
        </w:trPr>
        <w:tc>
          <w:tcPr>
            <w:tcW w:w="65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Professional fees</w:t>
            </w: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1,945</w:t>
            </w: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1,824</w:t>
            </w:r>
          </w:p>
        </w:tc>
        <w:tc>
          <w:tcPr>
            <w:tcW w:w="0" w:type="dxa"/>
            <w:vAlign w:val="bottom"/>
          </w:tcPr>
          <w:p>
            <w:pPr>
              <w:spacing w:after="0"/>
              <w:rPr>
                <w:sz w:val="1"/>
                <w:szCs w:val="1"/>
                <w:color w:val="auto"/>
              </w:rPr>
            </w:pPr>
          </w:p>
        </w:tc>
      </w:tr>
      <w:tr>
        <w:trPr>
          <w:trHeight w:val="162"/>
        </w:trPr>
        <w:tc>
          <w:tcPr>
            <w:tcW w:w="6580" w:type="dxa"/>
            <w:vAlign w:val="bottom"/>
          </w:tcPr>
          <w:p>
            <w:pPr>
              <w:ind w:left="220"/>
              <w:spacing w:after="0"/>
              <w:rPr>
                <w:sz w:val="20"/>
                <w:szCs w:val="20"/>
                <w:color w:val="auto"/>
              </w:rPr>
            </w:pPr>
            <w:r>
              <w:rPr>
                <w:rFonts w:ascii="Arial" w:cs="Arial" w:eastAsia="Arial" w:hAnsi="Arial"/>
                <w:sz w:val="14"/>
                <w:szCs w:val="14"/>
                <w:color w:val="auto"/>
              </w:rPr>
              <w:t>Amortization of intangible assets</w:t>
            </w: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2,401</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2,557</w:t>
            </w:r>
          </w:p>
        </w:tc>
        <w:tc>
          <w:tcPr>
            <w:tcW w:w="0" w:type="dxa"/>
            <w:vAlign w:val="bottom"/>
          </w:tcPr>
          <w:p>
            <w:pPr>
              <w:spacing w:after="0"/>
              <w:rPr>
                <w:sz w:val="1"/>
                <w:szCs w:val="1"/>
                <w:color w:val="auto"/>
              </w:rPr>
            </w:pPr>
          </w:p>
        </w:tc>
      </w:tr>
      <w:tr>
        <w:trPr>
          <w:trHeight w:val="162"/>
        </w:trPr>
        <w:tc>
          <w:tcPr>
            <w:tcW w:w="65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Interchange expense</w:t>
            </w: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1,484</w:t>
            </w: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1,169</w:t>
            </w:r>
          </w:p>
        </w:tc>
        <w:tc>
          <w:tcPr>
            <w:tcW w:w="0" w:type="dxa"/>
            <w:vAlign w:val="bottom"/>
          </w:tcPr>
          <w:p>
            <w:pPr>
              <w:spacing w:after="0"/>
              <w:rPr>
                <w:sz w:val="1"/>
                <w:szCs w:val="1"/>
                <w:color w:val="auto"/>
              </w:rPr>
            </w:pPr>
          </w:p>
        </w:tc>
      </w:tr>
      <w:tr>
        <w:trPr>
          <w:trHeight w:val="162"/>
        </w:trPr>
        <w:tc>
          <w:tcPr>
            <w:tcW w:w="658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Other expense</w:t>
            </w: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7,416</w:t>
            </w:r>
          </w:p>
        </w:tc>
        <w:tc>
          <w:tcPr>
            <w:tcW w:w="1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9,402</w:t>
            </w:r>
          </w:p>
        </w:tc>
        <w:tc>
          <w:tcPr>
            <w:tcW w:w="0" w:type="dxa"/>
            <w:vAlign w:val="bottom"/>
          </w:tcPr>
          <w:p>
            <w:pPr>
              <w:spacing w:after="0"/>
              <w:rPr>
                <w:sz w:val="1"/>
                <w:szCs w:val="1"/>
                <w:color w:val="auto"/>
              </w:rPr>
            </w:pPr>
          </w:p>
        </w:tc>
      </w:tr>
      <w:tr>
        <w:trPr>
          <w:trHeight w:val="155"/>
        </w:trPr>
        <w:tc>
          <w:tcPr>
            <w:tcW w:w="6580" w:type="dxa"/>
            <w:vAlign w:val="bottom"/>
            <w:shd w:val="clear" w:color="auto" w:fill="CCEEFF"/>
          </w:tcPr>
          <w:p>
            <w:pPr>
              <w:ind w:left="440"/>
              <w:spacing w:after="0" w:line="155" w:lineRule="exact"/>
              <w:rPr>
                <w:sz w:val="20"/>
                <w:szCs w:val="20"/>
                <w:color w:val="auto"/>
              </w:rPr>
            </w:pPr>
            <w:r>
              <w:rPr>
                <w:rFonts w:ascii="Arial" w:cs="Arial" w:eastAsia="Arial" w:hAnsi="Arial"/>
                <w:sz w:val="14"/>
                <w:szCs w:val="14"/>
                <w:color w:val="auto"/>
              </w:rPr>
              <w:t>Total non-interest expense</w:t>
            </w:r>
          </w:p>
        </w:tc>
        <w:tc>
          <w:tcPr>
            <w:tcW w:w="12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54,499</w:t>
            </w:r>
          </w:p>
        </w:tc>
        <w:tc>
          <w:tcPr>
            <w:tcW w:w="18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60,514</w:t>
            </w:r>
          </w:p>
        </w:tc>
        <w:tc>
          <w:tcPr>
            <w:tcW w:w="0" w:type="dxa"/>
            <w:vAlign w:val="bottom"/>
          </w:tcPr>
          <w:p>
            <w:pPr>
              <w:spacing w:after="0"/>
              <w:rPr>
                <w:sz w:val="1"/>
                <w:szCs w:val="1"/>
                <w:color w:val="auto"/>
              </w:rPr>
            </w:pPr>
          </w:p>
        </w:tc>
      </w:tr>
      <w:tr>
        <w:trPr>
          <w:trHeight w:val="155"/>
        </w:trPr>
        <w:tc>
          <w:tcPr>
            <w:tcW w:w="6580" w:type="dxa"/>
            <w:vAlign w:val="bottom"/>
          </w:tcPr>
          <w:p>
            <w:pPr>
              <w:ind w:left="660"/>
              <w:spacing w:after="0" w:line="155" w:lineRule="exact"/>
              <w:rPr>
                <w:sz w:val="20"/>
                <w:szCs w:val="20"/>
                <w:color w:val="auto"/>
              </w:rPr>
            </w:pPr>
            <w:r>
              <w:rPr>
                <w:rFonts w:ascii="Arial" w:cs="Arial" w:eastAsia="Arial" w:hAnsi="Arial"/>
                <w:sz w:val="14"/>
                <w:szCs w:val="14"/>
                <w:color w:val="auto"/>
              </w:rPr>
              <w:t>Income before income taxes</w:t>
            </w:r>
          </w:p>
        </w:tc>
        <w:tc>
          <w:tcPr>
            <w:tcW w:w="120" w:type="dxa"/>
            <w:vAlign w:val="bottom"/>
          </w:tcPr>
          <w:p>
            <w:pPr>
              <w:spacing w:after="0"/>
              <w:rPr>
                <w:sz w:val="13"/>
                <w:szCs w:val="13"/>
                <w:color w:val="auto"/>
              </w:rPr>
            </w:pPr>
          </w:p>
        </w:tc>
        <w:tc>
          <w:tcPr>
            <w:tcW w:w="940" w:type="dxa"/>
            <w:vAlign w:val="bottom"/>
          </w:tcPr>
          <w:p>
            <w:pPr>
              <w:jc w:val="right"/>
              <w:spacing w:after="0" w:line="155" w:lineRule="exact"/>
              <w:rPr>
                <w:sz w:val="20"/>
                <w:szCs w:val="20"/>
                <w:color w:val="auto"/>
              </w:rPr>
            </w:pPr>
            <w:r>
              <w:rPr>
                <w:rFonts w:ascii="Arial" w:cs="Arial" w:eastAsia="Arial" w:hAnsi="Arial"/>
                <w:sz w:val="14"/>
                <w:szCs w:val="14"/>
                <w:color w:val="auto"/>
              </w:rPr>
              <w:t>48,635</w:t>
            </w: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19,220</w:t>
            </w:r>
          </w:p>
        </w:tc>
        <w:tc>
          <w:tcPr>
            <w:tcW w:w="0" w:type="dxa"/>
            <w:vAlign w:val="bottom"/>
          </w:tcPr>
          <w:p>
            <w:pPr>
              <w:spacing w:after="0"/>
              <w:rPr>
                <w:sz w:val="1"/>
                <w:szCs w:val="1"/>
                <w:color w:val="auto"/>
              </w:rPr>
            </w:pPr>
          </w:p>
        </w:tc>
      </w:tr>
      <w:tr>
        <w:trPr>
          <w:trHeight w:val="162"/>
        </w:trPr>
        <w:tc>
          <w:tcPr>
            <w:tcW w:w="6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taxes</w:t>
            </w:r>
          </w:p>
        </w:tc>
        <w:tc>
          <w:tcPr>
            <w:tcW w:w="12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10,819</w:t>
            </w:r>
          </w:p>
        </w:tc>
        <w:tc>
          <w:tcPr>
            <w:tcW w:w="1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3,856</w:t>
            </w:r>
          </w:p>
        </w:tc>
        <w:tc>
          <w:tcPr>
            <w:tcW w:w="0" w:type="dxa"/>
            <w:vAlign w:val="bottom"/>
          </w:tcPr>
          <w:p>
            <w:pPr>
              <w:spacing w:after="0"/>
              <w:rPr>
                <w:sz w:val="1"/>
                <w:szCs w:val="1"/>
                <w:color w:val="auto"/>
              </w:rPr>
            </w:pPr>
          </w:p>
        </w:tc>
      </w:tr>
      <w:tr>
        <w:trPr>
          <w:trHeight w:val="195"/>
        </w:trPr>
        <w:tc>
          <w:tcPr>
            <w:tcW w:w="6580" w:type="dxa"/>
            <w:vAlign w:val="bottom"/>
            <w:tcBorders>
              <w:bottom w:val="single" w:sz="8" w:color="CCEEFF"/>
            </w:tcBorders>
          </w:tcPr>
          <w:p>
            <w:pPr>
              <w:ind w:left="20"/>
              <w:spacing w:after="0" w:line="155" w:lineRule="exact"/>
              <w:rPr>
                <w:sz w:val="20"/>
                <w:szCs w:val="20"/>
                <w:color w:val="auto"/>
              </w:rPr>
            </w:pPr>
            <w:r>
              <w:rPr>
                <w:rFonts w:ascii="Arial" w:cs="Arial" w:eastAsia="Arial" w:hAnsi="Arial"/>
                <w:sz w:val="14"/>
                <w:szCs w:val="14"/>
                <w:b w:val="1"/>
                <w:bCs w:val="1"/>
                <w:color w:val="auto"/>
              </w:rPr>
              <w:t>Net income</w:t>
            </w:r>
          </w:p>
        </w:tc>
        <w:tc>
          <w:tcPr>
            <w:tcW w:w="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37,816</w:t>
            </w:r>
          </w:p>
        </w:tc>
        <w:tc>
          <w:tcPr>
            <w:tcW w:w="1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15,364</w:t>
            </w:r>
          </w:p>
        </w:tc>
        <w:tc>
          <w:tcPr>
            <w:tcW w:w="0" w:type="dxa"/>
            <w:vAlign w:val="bottom"/>
          </w:tcPr>
          <w:p>
            <w:pPr>
              <w:spacing w:after="0"/>
              <w:rPr>
                <w:sz w:val="1"/>
                <w:szCs w:val="1"/>
                <w:color w:val="auto"/>
              </w:rPr>
            </w:pPr>
          </w:p>
        </w:tc>
      </w:tr>
      <w:tr>
        <w:trPr>
          <w:trHeight w:val="143"/>
        </w:trPr>
        <w:tc>
          <w:tcPr>
            <w:tcW w:w="6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65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Basic earnings per common share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0.69</w:t>
            </w:r>
          </w:p>
        </w:tc>
        <w:tc>
          <w:tcPr>
            <w:tcW w:w="1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0.28</w:t>
            </w:r>
          </w:p>
        </w:tc>
        <w:tc>
          <w:tcPr>
            <w:tcW w:w="0" w:type="dxa"/>
            <w:vAlign w:val="bottom"/>
          </w:tcPr>
          <w:p>
            <w:pPr>
              <w:spacing w:after="0"/>
              <w:rPr>
                <w:sz w:val="1"/>
                <w:szCs w:val="1"/>
                <w:color w:val="auto"/>
              </w:rPr>
            </w:pPr>
          </w:p>
        </w:tc>
      </w:tr>
      <w:tr>
        <w:trPr>
          <w:trHeight w:val="143"/>
        </w:trPr>
        <w:tc>
          <w:tcPr>
            <w:tcW w:w="6580" w:type="dxa"/>
            <w:vAlign w:val="bottom"/>
            <w:tcBorders>
              <w:bottom w:val="single" w:sz="8" w:color="CCEEFF"/>
            </w:tcBorders>
            <w:shd w:val="clear" w:color="auto" w:fill="CCEEFF"/>
          </w:tcPr>
          <w:p>
            <w:pPr>
              <w:ind w:left="20"/>
              <w:spacing w:after="0" w:line="143" w:lineRule="exact"/>
              <w:rPr>
                <w:sz w:val="20"/>
                <w:szCs w:val="20"/>
                <w:color w:val="auto"/>
              </w:rPr>
            </w:pPr>
            <w:r>
              <w:rPr>
                <w:rFonts w:ascii="Arial" w:cs="Arial" w:eastAsia="Arial" w:hAnsi="Arial"/>
                <w:sz w:val="14"/>
                <w:szCs w:val="14"/>
                <w:b w:val="1"/>
                <w:bCs w:val="1"/>
                <w:color w:val="auto"/>
              </w:rPr>
              <w:t>Diluted earnings per common share</w:t>
            </w:r>
          </w:p>
        </w:tc>
        <w:tc>
          <w:tcPr>
            <w:tcW w:w="12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0.69</w:t>
            </w:r>
          </w:p>
        </w:tc>
        <w:tc>
          <w:tcPr>
            <w:tcW w:w="18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jc w:val="right"/>
              <w:ind w:right="88"/>
              <w:spacing w:after="0" w:line="143" w:lineRule="exact"/>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0.28</w:t>
            </w:r>
          </w:p>
        </w:tc>
        <w:tc>
          <w:tcPr>
            <w:tcW w:w="0" w:type="dxa"/>
            <w:vAlign w:val="bottom"/>
          </w:tcPr>
          <w:p>
            <w:pPr>
              <w:spacing w:after="0"/>
              <w:rPr>
                <w:sz w:val="1"/>
                <w:szCs w:val="1"/>
                <w:color w:val="auto"/>
              </w:rPr>
            </w:pPr>
          </w:p>
        </w:tc>
      </w:tr>
      <w:tr>
        <w:trPr>
          <w:trHeight w:val="20"/>
        </w:trPr>
        <w:tc>
          <w:tcPr>
            <w:tcW w:w="65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Dividends declared per share of common stock</w:t>
            </w: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580" w:type="dxa"/>
            <w:vAlign w:val="bottom"/>
            <w:vMerge w:val="continue"/>
          </w:tcPr>
          <w:p>
            <w:pPr>
              <w:spacing w:after="0"/>
              <w:rPr>
                <w:sz w:val="12"/>
                <w:szCs w:val="12"/>
                <w:color w:val="auto"/>
              </w:rPr>
            </w:pPr>
          </w:p>
        </w:tc>
        <w:tc>
          <w:tcPr>
            <w:tcW w:w="1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0.23</w:t>
            </w:r>
          </w:p>
        </w:tc>
        <w:tc>
          <w:tcPr>
            <w:tcW w:w="180" w:type="dxa"/>
            <w:vAlign w:val="bottom"/>
          </w:tcPr>
          <w:p>
            <w:pPr>
              <w:spacing w:after="0"/>
              <w:rPr>
                <w:sz w:val="12"/>
                <w:szCs w:val="12"/>
                <w:color w:val="auto"/>
              </w:rPr>
            </w:pPr>
          </w:p>
        </w:tc>
        <w:tc>
          <w:tcPr>
            <w:tcW w:w="240" w:type="dxa"/>
            <w:vAlign w:val="bottom"/>
            <w:tcBorders>
              <w:bottom w:val="single" w:sz="8" w:color="auto"/>
            </w:tcBorders>
          </w:tcPr>
          <w:p>
            <w:pPr>
              <w:jc w:val="right"/>
              <w:ind w:right="88"/>
              <w:spacing w:after="0" w:line="143" w:lineRule="exact"/>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0.22</w:t>
            </w: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(Unaudited)</w:t>
      </w:r>
    </w:p>
    <w:p>
      <w:pPr>
        <w:jc w:val="center"/>
        <w:spacing w:after="0"/>
        <w:rPr>
          <w:sz w:val="20"/>
          <w:szCs w:val="20"/>
          <w:color w:val="auto"/>
        </w:rPr>
      </w:pPr>
      <w:r>
        <w:rPr>
          <w:rFonts w:ascii="Arial" w:cs="Arial" w:eastAsia="Arial" w:hAnsi="Arial"/>
          <w:sz w:val="18"/>
          <w:szCs w:val="18"/>
          <w:i w:val="1"/>
          <w:iCs w:val="1"/>
          <w:color w:val="auto"/>
        </w:rPr>
        <w:t>(dollars in thousands)</w:t>
      </w:r>
    </w:p>
    <w:p>
      <w:pPr>
        <w:spacing w:after="0" w:line="187" w:lineRule="exact"/>
        <w:rPr>
          <w:sz w:val="20"/>
          <w:szCs w:val="20"/>
          <w:color w:val="auto"/>
        </w:rPr>
      </w:pPr>
    </w:p>
    <w:tbl>
      <w:tblPr>
        <w:tblLayout w:type="fixed"/>
        <w:tblInd w:w="60" w:type="dxa"/>
        <w:tblCellMar>
          <w:top w:w="0" w:type="dxa"/>
          <w:left w:w="0" w:type="dxa"/>
          <w:bottom w:w="0" w:type="dxa"/>
          <w:right w:w="0" w:type="dxa"/>
        </w:tblCellMar>
      </w:tblPr>
      <w:tr>
        <w:trPr>
          <w:trHeight w:val="185"/>
        </w:trPr>
        <w:tc>
          <w:tcPr>
            <w:tcW w:w="6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5"/>
          </w:tcPr>
          <w:p>
            <w:pPr>
              <w:jc w:val="right"/>
              <w:ind w:right="112"/>
              <w:spacing w:after="0"/>
              <w:rPr>
                <w:sz w:val="20"/>
                <w:szCs w:val="20"/>
                <w:color w:val="auto"/>
              </w:rPr>
            </w:pPr>
            <w:r>
              <w:rPr>
                <w:rFonts w:ascii="Arial" w:cs="Arial" w:eastAsia="Arial" w:hAnsi="Arial"/>
                <w:sz w:val="14"/>
                <w:szCs w:val="14"/>
                <w:b w:val="1"/>
                <w:bCs w:val="1"/>
                <w:color w:val="auto"/>
                <w:w w:val="95"/>
              </w:rPr>
              <w:t>Three Months Ended March 31,</w:t>
            </w:r>
          </w:p>
        </w:tc>
      </w:tr>
      <w:tr>
        <w:trPr>
          <w:trHeight w:val="155"/>
        </w:trPr>
        <w:tc>
          <w:tcPr>
            <w:tcW w:w="6280" w:type="dxa"/>
            <w:vAlign w:val="bottom"/>
            <w:tcBorders>
              <w:bottom w:val="single" w:sz="8" w:color="CCEEFF"/>
            </w:tcBorders>
          </w:tcPr>
          <w:p>
            <w:pPr>
              <w:spacing w:after="0"/>
              <w:rPr>
                <w:sz w:val="13"/>
                <w:szCs w:val="13"/>
                <w:color w:val="auto"/>
              </w:rPr>
            </w:pPr>
          </w:p>
        </w:tc>
        <w:tc>
          <w:tcPr>
            <w:tcW w:w="3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2020</w:t>
            </w:r>
          </w:p>
        </w:tc>
      </w:tr>
      <w:tr>
        <w:trPr>
          <w:trHeight w:val="196"/>
        </w:trPr>
        <w:tc>
          <w:tcPr>
            <w:tcW w:w="62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income</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37,816</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15,364</w:t>
            </w:r>
          </w:p>
        </w:tc>
      </w:tr>
      <w:tr>
        <w:trPr>
          <w:trHeight w:val="203"/>
        </w:trPr>
        <w:tc>
          <w:tcPr>
            <w:tcW w:w="6280" w:type="dxa"/>
            <w:vAlign w:val="bottom"/>
          </w:tcPr>
          <w:p>
            <w:pPr>
              <w:spacing w:after="0" w:line="202" w:lineRule="exact"/>
              <w:rPr>
                <w:sz w:val="20"/>
                <w:szCs w:val="20"/>
                <w:color w:val="auto"/>
              </w:rPr>
            </w:pPr>
            <w:r>
              <w:rPr>
                <w:rFonts w:ascii="Arial" w:cs="Arial" w:eastAsia="Arial" w:hAnsi="Arial"/>
                <w:sz w:val="18"/>
                <w:szCs w:val="18"/>
                <w:color w:val="auto"/>
              </w:rPr>
              <w:t>Other comprehensive income (loss):</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62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Unrealized gains (losses) on debt securities available for sale:</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188"/>
        </w:trPr>
        <w:tc>
          <w:tcPr>
            <w:tcW w:w="6280" w:type="dxa"/>
            <w:vAlign w:val="bottom"/>
          </w:tcPr>
          <w:p>
            <w:pPr>
              <w:ind w:left="420"/>
              <w:spacing w:after="0" w:line="189" w:lineRule="exact"/>
              <w:rPr>
                <w:sz w:val="20"/>
                <w:szCs w:val="20"/>
                <w:color w:val="auto"/>
              </w:rPr>
            </w:pPr>
            <w:r>
              <w:rPr>
                <w:rFonts w:ascii="Arial" w:cs="Arial" w:eastAsia="Arial" w:hAnsi="Arial"/>
                <w:sz w:val="18"/>
                <w:szCs w:val="18"/>
                <w:color w:val="auto"/>
                <w:w w:val="94"/>
              </w:rPr>
              <w:t>Net unrealized holding gains (losses) on debt securities available for sale, net</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17"/>
        </w:trPr>
        <w:tc>
          <w:tcPr>
            <w:tcW w:w="6280" w:type="dxa"/>
            <w:vAlign w:val="bottom"/>
          </w:tcPr>
          <w:p>
            <w:pPr>
              <w:ind w:left="420"/>
              <w:spacing w:after="0"/>
              <w:rPr>
                <w:sz w:val="20"/>
                <w:szCs w:val="20"/>
                <w:color w:val="auto"/>
              </w:rPr>
            </w:pPr>
            <w:r>
              <w:rPr>
                <w:rFonts w:ascii="Arial" w:cs="Arial" w:eastAsia="Arial" w:hAnsi="Arial"/>
                <w:sz w:val="18"/>
                <w:szCs w:val="18"/>
                <w:color w:val="auto"/>
              </w:rPr>
              <w:t>of taxes of $11,993 and $(8,589), respectively</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(30,079)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21,497</w:t>
            </w:r>
          </w:p>
        </w:tc>
      </w:tr>
      <w:tr>
        <w:trPr>
          <w:trHeight w:val="188"/>
        </w:trPr>
        <w:tc>
          <w:tcPr>
            <w:tcW w:w="6280" w:type="dxa"/>
            <w:vAlign w:val="bottom"/>
            <w:shd w:val="clear" w:color="auto" w:fill="CCEEFF"/>
          </w:tcPr>
          <w:p>
            <w:pPr>
              <w:ind w:left="420"/>
              <w:spacing w:after="0" w:line="189" w:lineRule="exact"/>
              <w:rPr>
                <w:sz w:val="20"/>
                <w:szCs w:val="20"/>
                <w:color w:val="auto"/>
              </w:rPr>
            </w:pPr>
            <w:r>
              <w:rPr>
                <w:rFonts w:ascii="Arial" w:cs="Arial" w:eastAsia="Arial" w:hAnsi="Arial"/>
                <w:sz w:val="18"/>
                <w:szCs w:val="18"/>
                <w:color w:val="auto"/>
              </w:rPr>
              <w:t>Reclassification adjustment for realized (gains) losses on debt securities</w:t>
            </w:r>
          </w:p>
        </w:tc>
        <w:tc>
          <w:tcPr>
            <w:tcW w:w="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r>
      <w:tr>
        <w:trPr>
          <w:trHeight w:val="203"/>
        </w:trPr>
        <w:tc>
          <w:tcPr>
            <w:tcW w:w="628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available for sale included in net income, net of taxes of $7 and $448,</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17"/>
        </w:trPr>
        <w:tc>
          <w:tcPr>
            <w:tcW w:w="6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respectively</w:t>
            </w: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(1,108)</w:t>
            </w:r>
          </w:p>
        </w:tc>
      </w:tr>
      <w:tr>
        <w:trPr>
          <w:trHeight w:val="196"/>
        </w:trPr>
        <w:tc>
          <w:tcPr>
            <w:tcW w:w="6280" w:type="dxa"/>
            <w:vAlign w:val="bottom"/>
            <w:tcBorders>
              <w:bottom w:val="single" w:sz="8" w:color="CCEEFF"/>
            </w:tcBorders>
          </w:tcPr>
          <w:p>
            <w:pPr>
              <w:ind w:left="420"/>
              <w:spacing w:after="0" w:line="196" w:lineRule="exact"/>
              <w:rPr>
                <w:sz w:val="20"/>
                <w:szCs w:val="20"/>
                <w:color w:val="auto"/>
              </w:rPr>
            </w:pPr>
            <w:r>
              <w:rPr>
                <w:rFonts w:ascii="Arial" w:cs="Arial" w:eastAsia="Arial" w:hAnsi="Arial"/>
                <w:sz w:val="18"/>
                <w:szCs w:val="18"/>
                <w:color w:val="auto"/>
                <w:w w:val="97"/>
              </w:rPr>
              <w:t>Net change in unrealized gains (losses) on debt securities available for sale</w:t>
            </w:r>
          </w:p>
        </w:tc>
        <w:tc>
          <w:tcPr>
            <w:tcW w:w="3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(30,097)</w:t>
            </w:r>
          </w:p>
        </w:tc>
        <w:tc>
          <w:tcPr>
            <w:tcW w:w="2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20,389</w:t>
            </w:r>
          </w:p>
        </w:tc>
      </w:tr>
      <w:tr>
        <w:trPr>
          <w:trHeight w:val="196"/>
        </w:trPr>
        <w:tc>
          <w:tcPr>
            <w:tcW w:w="6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03"/>
        </w:trPr>
        <w:tc>
          <w:tcPr>
            <w:tcW w:w="6280" w:type="dxa"/>
            <w:vAlign w:val="bottom"/>
          </w:tcPr>
          <w:p>
            <w:pPr>
              <w:ind w:left="220"/>
              <w:spacing w:after="0" w:line="202" w:lineRule="exact"/>
              <w:rPr>
                <w:sz w:val="20"/>
                <w:szCs w:val="20"/>
                <w:color w:val="auto"/>
              </w:rPr>
            </w:pPr>
            <w:r>
              <w:rPr>
                <w:rFonts w:ascii="Arial" w:cs="Arial" w:eastAsia="Arial" w:hAnsi="Arial"/>
                <w:sz w:val="18"/>
                <w:szCs w:val="18"/>
                <w:color w:val="auto"/>
              </w:rPr>
              <w:t>Unrealized gains (losses) on cash flow hedges:</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188"/>
        </w:trPr>
        <w:tc>
          <w:tcPr>
            <w:tcW w:w="6280" w:type="dxa"/>
            <w:vAlign w:val="bottom"/>
            <w:shd w:val="clear" w:color="auto" w:fill="CCEEFF"/>
          </w:tcPr>
          <w:p>
            <w:pPr>
              <w:ind w:left="420"/>
              <w:spacing w:after="0" w:line="189" w:lineRule="exact"/>
              <w:rPr>
                <w:sz w:val="20"/>
                <w:szCs w:val="20"/>
                <w:color w:val="auto"/>
              </w:rPr>
            </w:pPr>
            <w:r>
              <w:rPr>
                <w:rFonts w:ascii="Arial" w:cs="Arial" w:eastAsia="Arial" w:hAnsi="Arial"/>
                <w:sz w:val="18"/>
                <w:szCs w:val="18"/>
                <w:color w:val="auto"/>
                <w:w w:val="99"/>
              </w:rPr>
              <w:t>Net unrealized holding gains (losses) on cash flow hedges, net of taxes of</w:t>
            </w:r>
          </w:p>
        </w:tc>
        <w:tc>
          <w:tcPr>
            <w:tcW w:w="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r>
      <w:tr>
        <w:trPr>
          <w:trHeight w:val="217"/>
        </w:trPr>
        <w:tc>
          <w:tcPr>
            <w:tcW w:w="6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$(164) and $892, respectively</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(2,237)</w:t>
            </w:r>
          </w:p>
        </w:tc>
      </w:tr>
      <w:tr>
        <w:trPr>
          <w:trHeight w:val="188"/>
        </w:trPr>
        <w:tc>
          <w:tcPr>
            <w:tcW w:w="6280" w:type="dxa"/>
            <w:vAlign w:val="bottom"/>
          </w:tcPr>
          <w:p>
            <w:pPr>
              <w:ind w:left="420"/>
              <w:spacing w:after="0" w:line="189" w:lineRule="exact"/>
              <w:rPr>
                <w:sz w:val="20"/>
                <w:szCs w:val="20"/>
                <w:color w:val="auto"/>
              </w:rPr>
            </w:pPr>
            <w:r>
              <w:rPr>
                <w:rFonts w:ascii="Arial" w:cs="Arial" w:eastAsia="Arial" w:hAnsi="Arial"/>
                <w:sz w:val="18"/>
                <w:szCs w:val="18"/>
                <w:color w:val="auto"/>
                <w:w w:val="97"/>
              </w:rPr>
              <w:t>Reclassification adjustment for realized (gains) losses on cash flow hedges</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17"/>
        </w:trPr>
        <w:tc>
          <w:tcPr>
            <w:tcW w:w="6280" w:type="dxa"/>
            <w:vAlign w:val="bottom"/>
            <w:tcBorders>
              <w:bottom w:val="single" w:sz="8" w:color="CCEEFF"/>
            </w:tcBorders>
          </w:tcPr>
          <w:p>
            <w:pPr>
              <w:ind w:left="420"/>
              <w:spacing w:after="0"/>
              <w:rPr>
                <w:sz w:val="20"/>
                <w:szCs w:val="20"/>
                <w:color w:val="auto"/>
              </w:rPr>
            </w:pPr>
            <w:r>
              <w:rPr>
                <w:rFonts w:ascii="Arial" w:cs="Arial" w:eastAsia="Arial" w:hAnsi="Arial"/>
                <w:sz w:val="18"/>
                <w:szCs w:val="18"/>
                <w:color w:val="auto"/>
              </w:rPr>
              <w:t>included in net income, net of taxes of $(79) and $4, respectively</w:t>
            </w:r>
          </w:p>
        </w:tc>
        <w:tc>
          <w:tcPr>
            <w:tcW w:w="3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r>
      <w:tr>
        <w:trPr>
          <w:trHeight w:val="196"/>
        </w:trPr>
        <w:tc>
          <w:tcPr>
            <w:tcW w:w="6280" w:type="dxa"/>
            <w:vAlign w:val="bottom"/>
            <w:shd w:val="clear" w:color="auto" w:fill="CCEEFF"/>
          </w:tcPr>
          <w:p>
            <w:pPr>
              <w:ind w:left="420"/>
              <w:spacing w:after="0" w:line="196" w:lineRule="exact"/>
              <w:rPr>
                <w:sz w:val="20"/>
                <w:szCs w:val="20"/>
                <w:color w:val="auto"/>
              </w:rPr>
            </w:pPr>
            <w:r>
              <w:rPr>
                <w:rFonts w:ascii="Arial" w:cs="Arial" w:eastAsia="Arial" w:hAnsi="Arial"/>
                <w:sz w:val="18"/>
                <w:szCs w:val="18"/>
                <w:color w:val="auto"/>
              </w:rPr>
              <w:t>Net change in unrealized gains (losses) on cash flow hedges</w:t>
            </w:r>
          </w:p>
        </w:tc>
        <w:tc>
          <w:tcPr>
            <w:tcW w:w="3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609</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(2,248)</w:t>
            </w:r>
          </w:p>
        </w:tc>
      </w:tr>
      <w:tr>
        <w:trPr>
          <w:trHeight w:val="196"/>
        </w:trPr>
        <w:tc>
          <w:tcPr>
            <w:tcW w:w="6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62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Net change in accumulated other comprehensive income (loss)</w:t>
            </w:r>
          </w:p>
        </w:tc>
        <w:tc>
          <w:tcPr>
            <w:tcW w:w="3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(29,488)</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18,141</w:t>
            </w:r>
          </w:p>
        </w:tc>
      </w:tr>
      <w:tr>
        <w:trPr>
          <w:trHeight w:val="196"/>
        </w:trPr>
        <w:tc>
          <w:tcPr>
            <w:tcW w:w="6280" w:type="dxa"/>
            <w:vAlign w:val="bottom"/>
          </w:tcPr>
          <w:p>
            <w:pPr>
              <w:spacing w:after="0" w:line="196" w:lineRule="exact"/>
              <w:rPr>
                <w:sz w:val="20"/>
                <w:szCs w:val="20"/>
                <w:color w:val="auto"/>
              </w:rPr>
            </w:pPr>
            <w:r>
              <w:rPr>
                <w:rFonts w:ascii="Arial" w:cs="Arial" w:eastAsia="Arial" w:hAnsi="Arial"/>
                <w:sz w:val="18"/>
                <w:szCs w:val="18"/>
                <w:color w:val="auto"/>
              </w:rPr>
              <w:t>Total comprehensive income</w:t>
            </w:r>
          </w:p>
        </w:tc>
        <w:tc>
          <w:tcPr>
            <w:tcW w:w="3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8,328</w:t>
            </w:r>
          </w:p>
        </w:tc>
        <w:tc>
          <w:tcPr>
            <w:tcW w:w="2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33,505</w:t>
            </w:r>
          </w:p>
        </w:tc>
      </w:tr>
      <w:tr>
        <w:trPr>
          <w:trHeight w:val="20"/>
        </w:trPr>
        <w:tc>
          <w:tcPr>
            <w:tcW w:w="6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FIRST BUSEY CORPORATION</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STOCKHOLDERS’ EQUITY (Unaudited)</w:t>
      </w:r>
    </w:p>
    <w:p>
      <w:pPr>
        <w:jc w:val="center"/>
        <w:ind w:right="19"/>
        <w:spacing w:after="0"/>
        <w:rPr>
          <w:sz w:val="20"/>
          <w:szCs w:val="20"/>
          <w:color w:val="auto"/>
        </w:rPr>
      </w:pPr>
      <w:r>
        <w:rPr>
          <w:rFonts w:ascii="Arial" w:cs="Arial" w:eastAsia="Arial" w:hAnsi="Arial"/>
          <w:sz w:val="18"/>
          <w:szCs w:val="18"/>
          <w:i w:val="1"/>
          <w:iCs w:val="1"/>
          <w:color w:val="auto"/>
        </w:rPr>
        <w:t>(dollars in thousands, except per share amounts)</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Retained</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0"/>
              </w:rPr>
              <w:t>Accumulated</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Earnings</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Total</w:t>
            </w:r>
          </w:p>
        </w:tc>
      </w:tr>
      <w:tr>
        <w:trPr>
          <w:trHeight w:val="162"/>
        </w:trPr>
        <w:tc>
          <w:tcPr>
            <w:tcW w:w="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5"/>
              </w:rPr>
              <w:t>Common</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8"/>
              </w:rPr>
              <w:t>Paid-in</w:t>
            </w:r>
          </w:p>
        </w:tc>
        <w:tc>
          <w:tcPr>
            <w:tcW w:w="140" w:type="dxa"/>
            <w:vAlign w:val="bottom"/>
          </w:tcPr>
          <w:p>
            <w:pPr>
              <w:spacing w:after="0"/>
              <w:rPr>
                <w:sz w:val="14"/>
                <w:szCs w:val="14"/>
                <w:color w:val="auto"/>
              </w:rPr>
            </w:pPr>
          </w:p>
        </w:tc>
        <w:tc>
          <w:tcPr>
            <w:tcW w:w="880" w:type="dxa"/>
            <w:vAlign w:val="bottom"/>
            <w:gridSpan w:val="4"/>
          </w:tcPr>
          <w:p>
            <w:pPr>
              <w:spacing w:after="0"/>
              <w:rPr>
                <w:sz w:val="20"/>
                <w:szCs w:val="20"/>
                <w:color w:val="auto"/>
              </w:rPr>
            </w:pPr>
            <w:r>
              <w:rPr>
                <w:rFonts w:ascii="Arial" w:cs="Arial" w:eastAsia="Arial" w:hAnsi="Arial"/>
                <w:sz w:val="14"/>
                <w:szCs w:val="14"/>
                <w:b w:val="1"/>
                <w:bCs w:val="1"/>
                <w:color w:val="auto"/>
                <w:w w:val="92"/>
              </w:rPr>
              <w:t>(Accumulated</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4"/>
              </w:rPr>
              <w:t>Treasury</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1"/>
              </w:rPr>
              <w:t>Stockholders'</w:t>
            </w:r>
          </w:p>
        </w:tc>
      </w:tr>
      <w:tr>
        <w:trPr>
          <w:trHeight w:val="185"/>
        </w:trPr>
        <w:tc>
          <w:tcPr>
            <w:tcW w:w="20" w:type="dxa"/>
            <w:vAlign w:val="bottom"/>
          </w:tcPr>
          <w:p>
            <w:pPr>
              <w:spacing w:after="0"/>
              <w:rPr>
                <w:sz w:val="16"/>
                <w:szCs w:val="16"/>
                <w:color w:val="auto"/>
              </w:rPr>
            </w:pPr>
          </w:p>
        </w:tc>
        <w:tc>
          <w:tcPr>
            <w:tcW w:w="26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89"/>
              </w:rPr>
              <w:t>Stock</w:t>
            </w: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96"/>
              </w:rPr>
              <w:t>Deficit)</w:t>
            </w: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89"/>
              </w:rPr>
              <w:t>Income</w:t>
            </w: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gridSpan w:val="2"/>
          </w:tcPr>
          <w:p>
            <w:pPr>
              <w:jc w:val="center"/>
              <w:ind w:right="40"/>
              <w:spacing w:after="0"/>
              <w:rPr>
                <w:sz w:val="20"/>
                <w:szCs w:val="20"/>
                <w:color w:val="auto"/>
              </w:rPr>
            </w:pPr>
            <w:r>
              <w:rPr>
                <w:rFonts w:ascii="Arial" w:cs="Arial" w:eastAsia="Arial" w:hAnsi="Arial"/>
                <w:sz w:val="14"/>
                <w:szCs w:val="14"/>
                <w:b w:val="1"/>
                <w:bCs w:val="1"/>
                <w:color w:val="auto"/>
                <w:w w:val="89"/>
              </w:rPr>
              <w:t>Stock</w:t>
            </w: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93"/>
              </w:rPr>
              <w:t>Equity</w:t>
            </w:r>
          </w:p>
        </w:tc>
      </w:tr>
      <w:tr>
        <w:trPr>
          <w:trHeight w:val="119"/>
        </w:trPr>
        <w:tc>
          <w:tcPr>
            <w:tcW w:w="20" w:type="dxa"/>
            <w:vAlign w:val="bottom"/>
          </w:tcPr>
          <w:p>
            <w:pPr>
              <w:spacing w:after="0"/>
              <w:rPr>
                <w:sz w:val="10"/>
                <w:szCs w:val="10"/>
                <w:color w:val="auto"/>
              </w:rPr>
            </w:pPr>
          </w:p>
        </w:tc>
        <w:tc>
          <w:tcPr>
            <w:tcW w:w="2620" w:type="dxa"/>
            <w:vAlign w:val="bottom"/>
            <w:gridSpan w:val="2"/>
            <w:shd w:val="clear" w:color="auto" w:fill="CCEEFF"/>
          </w:tcPr>
          <w:p>
            <w:pPr>
              <w:spacing w:after="0" w:line="119" w:lineRule="exact"/>
              <w:rPr>
                <w:sz w:val="20"/>
                <w:szCs w:val="20"/>
                <w:color w:val="auto"/>
              </w:rPr>
            </w:pPr>
            <w:r>
              <w:rPr>
                <w:rFonts w:ascii="Arial" w:cs="Arial" w:eastAsia="Arial" w:hAnsi="Arial"/>
                <w:sz w:val="13"/>
                <w:szCs w:val="13"/>
                <w:b w:val="1"/>
                <w:bCs w:val="1"/>
                <w:color w:val="auto"/>
              </w:rPr>
              <w:t>For the Three Months Ended</w:t>
            </w:r>
          </w:p>
        </w:tc>
        <w:tc>
          <w:tcPr>
            <w:tcW w:w="7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r>
      <w:tr>
        <w:trPr>
          <w:trHeight w:val="185"/>
        </w:trPr>
        <w:tc>
          <w:tcPr>
            <w:tcW w:w="20" w:type="dxa"/>
            <w:vAlign w:val="bottom"/>
          </w:tcPr>
          <w:p>
            <w:pPr>
              <w:spacing w:after="0"/>
              <w:rPr>
                <w:sz w:val="16"/>
                <w:szCs w:val="16"/>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March 31, 2021</w:t>
            </w:r>
          </w:p>
        </w:tc>
        <w:tc>
          <w:tcPr>
            <w:tcW w:w="7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162"/>
        </w:trPr>
        <w:tc>
          <w:tcPr>
            <w:tcW w:w="20" w:type="dxa"/>
            <w:vAlign w:val="bottom"/>
          </w:tcPr>
          <w:p>
            <w:pPr>
              <w:spacing w:after="0"/>
              <w:rPr>
                <w:sz w:val="14"/>
                <w:szCs w:val="14"/>
                <w:color w:val="auto"/>
              </w:rPr>
            </w:pPr>
          </w:p>
        </w:tc>
        <w:tc>
          <w:tcPr>
            <w:tcW w:w="2620" w:type="dxa"/>
            <w:vAlign w:val="bottom"/>
            <w:gridSpan w:val="2"/>
          </w:tcPr>
          <w:p>
            <w:pPr>
              <w:spacing w:after="0"/>
              <w:rPr>
                <w:sz w:val="20"/>
                <w:szCs w:val="20"/>
                <w:color w:val="auto"/>
              </w:rPr>
            </w:pPr>
            <w:r>
              <w:rPr>
                <w:rFonts w:ascii="Arial" w:cs="Arial" w:eastAsia="Arial" w:hAnsi="Arial"/>
                <w:sz w:val="14"/>
                <w:szCs w:val="14"/>
                <w:color w:val="auto"/>
              </w:rPr>
              <w:t>Balance, December 31, 2020</w:t>
            </w:r>
          </w:p>
        </w:tc>
        <w:tc>
          <w:tcPr>
            <w:tcW w:w="720" w:type="dxa"/>
            <w:vAlign w:val="bottom"/>
          </w:tcPr>
          <w:p>
            <w:pPr>
              <w:jc w:val="right"/>
              <w:spacing w:after="0"/>
              <w:rPr>
                <w:sz w:val="20"/>
                <w:szCs w:val="20"/>
                <w:color w:val="auto"/>
              </w:rPr>
            </w:pPr>
            <w:r>
              <w:rPr>
                <w:rFonts w:ascii="Arial" w:cs="Arial" w:eastAsia="Arial" w:hAnsi="Arial"/>
                <w:sz w:val="14"/>
                <w:szCs w:val="14"/>
                <w:color w:val="auto"/>
                <w:w w:val="91"/>
              </w:rPr>
              <w:t>54,404,379</w:t>
            </w:r>
          </w:p>
        </w:tc>
        <w:tc>
          <w:tcPr>
            <w:tcW w:w="20" w:type="dxa"/>
            <w:vAlign w:val="bottom"/>
          </w:tcPr>
          <w:p>
            <w:pPr>
              <w:spacing w:after="0"/>
              <w:rPr>
                <w:sz w:val="14"/>
                <w:szCs w:val="14"/>
                <w:color w:val="auto"/>
              </w:rPr>
            </w:pPr>
          </w:p>
        </w:tc>
        <w:tc>
          <w:tcPr>
            <w:tcW w:w="24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56</w:t>
            </w:r>
          </w:p>
        </w:tc>
        <w:tc>
          <w:tcPr>
            <w:tcW w:w="20" w:type="dxa"/>
            <w:vAlign w:val="bottom"/>
          </w:tcPr>
          <w:p>
            <w:pPr>
              <w:spacing w:after="0"/>
              <w:rPr>
                <w:sz w:val="14"/>
                <w:szCs w:val="14"/>
                <w:color w:val="auto"/>
              </w:rPr>
            </w:pPr>
          </w:p>
        </w:tc>
        <w:tc>
          <w:tcPr>
            <w:tcW w:w="880" w:type="dxa"/>
            <w:vAlign w:val="bottom"/>
            <w:gridSpan w:val="3"/>
          </w:tcPr>
          <w:p>
            <w:pPr>
              <w:jc w:val="right"/>
              <w:spacing w:after="0"/>
              <w:rPr>
                <w:sz w:val="20"/>
                <w:szCs w:val="20"/>
                <w:color w:val="auto"/>
              </w:rPr>
            </w:pPr>
            <w:r>
              <w:rPr>
                <w:rFonts w:ascii="Arial" w:cs="Arial" w:eastAsia="Arial" w:hAnsi="Arial"/>
                <w:sz w:val="14"/>
                <w:szCs w:val="14"/>
                <w:color w:val="auto"/>
              </w:rPr>
              <w:t>$ 1,253,360</w:t>
            </w:r>
          </w:p>
        </w:tc>
        <w:tc>
          <w:tcPr>
            <w:tcW w:w="20" w:type="dxa"/>
            <w:vAlign w:val="bottom"/>
          </w:tcPr>
          <w:p>
            <w:pPr>
              <w:spacing w:after="0"/>
              <w:rPr>
                <w:sz w:val="14"/>
                <w:szCs w:val="14"/>
                <w:color w:val="auto"/>
              </w:rPr>
            </w:pPr>
          </w:p>
        </w:tc>
        <w:tc>
          <w:tcPr>
            <w:tcW w:w="260" w:type="dxa"/>
            <w:vAlign w:val="bottom"/>
            <w:gridSpan w:val="3"/>
          </w:tcPr>
          <w:p>
            <w:pPr>
              <w:ind w:left="14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20,830</w:t>
            </w:r>
          </w:p>
        </w:tc>
        <w:tc>
          <w:tcPr>
            <w:tcW w:w="20" w:type="dxa"/>
            <w:vAlign w:val="bottom"/>
          </w:tcPr>
          <w:p>
            <w:pPr>
              <w:spacing w:after="0"/>
              <w:rPr>
                <w:sz w:val="14"/>
                <w:szCs w:val="14"/>
                <w:color w:val="auto"/>
              </w:rPr>
            </w:pPr>
          </w:p>
        </w:tc>
        <w:tc>
          <w:tcPr>
            <w:tcW w:w="300" w:type="dxa"/>
            <w:vAlign w:val="bottom"/>
            <w:gridSpan w:val="3"/>
          </w:tcPr>
          <w:p>
            <w:pPr>
              <w:ind w:left="14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33,309</w:t>
            </w:r>
          </w:p>
        </w:tc>
        <w:tc>
          <w:tcPr>
            <w:tcW w:w="20" w:type="dxa"/>
            <w:vAlign w:val="bottom"/>
          </w:tcPr>
          <w:p>
            <w:pPr>
              <w:spacing w:after="0"/>
              <w:rPr>
                <w:sz w:val="14"/>
                <w:szCs w:val="14"/>
                <w:color w:val="auto"/>
              </w:rPr>
            </w:pPr>
          </w:p>
        </w:tc>
        <w:tc>
          <w:tcPr>
            <w:tcW w:w="760" w:type="dxa"/>
            <w:vAlign w:val="bottom"/>
            <w:gridSpan w:val="4"/>
          </w:tcPr>
          <w:p>
            <w:pPr>
              <w:jc w:val="right"/>
              <w:ind w:right="20"/>
              <w:spacing w:after="0"/>
              <w:rPr>
                <w:sz w:val="20"/>
                <w:szCs w:val="20"/>
                <w:color w:val="auto"/>
              </w:rPr>
            </w:pPr>
            <w:r>
              <w:rPr>
                <w:rFonts w:ascii="Arial" w:cs="Arial" w:eastAsia="Arial" w:hAnsi="Arial"/>
                <w:sz w:val="14"/>
                <w:szCs w:val="14"/>
                <w:color w:val="auto"/>
              </w:rPr>
              <w:t>$ (37,486)</w:t>
            </w:r>
          </w:p>
        </w:tc>
        <w:tc>
          <w:tcPr>
            <w:tcW w:w="280" w:type="dxa"/>
            <w:vAlign w:val="bottom"/>
            <w:gridSpan w:val="3"/>
          </w:tcPr>
          <w:p>
            <w:pPr>
              <w:jc w:val="right"/>
              <w:ind w:right="15"/>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1,270,069</w:t>
            </w:r>
          </w:p>
        </w:tc>
        <w:tc>
          <w:tcPr>
            <w:tcW w:w="2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26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Net income</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37,816</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37,816</w:t>
            </w:r>
          </w:p>
        </w:tc>
        <w:tc>
          <w:tcPr>
            <w:tcW w:w="2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2620" w:type="dxa"/>
            <w:vAlign w:val="bottom"/>
            <w:gridSpan w:val="2"/>
          </w:tcPr>
          <w:p>
            <w:pPr>
              <w:ind w:left="220"/>
              <w:spacing w:after="0"/>
              <w:rPr>
                <w:sz w:val="20"/>
                <w:szCs w:val="20"/>
                <w:color w:val="auto"/>
              </w:rPr>
            </w:pPr>
            <w:r>
              <w:rPr>
                <w:rFonts w:ascii="Arial" w:cs="Arial" w:eastAsia="Arial" w:hAnsi="Arial"/>
                <w:sz w:val="14"/>
                <w:szCs w:val="14"/>
                <w:color w:val="auto"/>
              </w:rPr>
              <w:t>Other comprehensive income (loss)</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(29,488)</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(29,488)</w:t>
            </w:r>
          </w:p>
        </w:tc>
      </w:tr>
      <w:tr>
        <w:trPr>
          <w:trHeight w:val="162"/>
        </w:trPr>
        <w:tc>
          <w:tcPr>
            <w:tcW w:w="20" w:type="dxa"/>
            <w:vAlign w:val="bottom"/>
          </w:tcPr>
          <w:p>
            <w:pPr>
              <w:spacing w:after="0"/>
              <w:rPr>
                <w:sz w:val="14"/>
                <w:szCs w:val="14"/>
                <w:color w:val="auto"/>
              </w:rPr>
            </w:pPr>
          </w:p>
        </w:tc>
        <w:tc>
          <w:tcPr>
            <w:tcW w:w="26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Repurchase of stock</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(59,000)</w:t>
            </w: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60" w:type="dxa"/>
            <w:vAlign w:val="bottom"/>
            <w:gridSpan w:val="4"/>
            <w:shd w:val="clear" w:color="auto" w:fill="CCEEFF"/>
          </w:tcPr>
          <w:p>
            <w:pPr>
              <w:jc w:val="right"/>
              <w:ind w:right="20"/>
              <w:spacing w:after="0"/>
              <w:rPr>
                <w:sz w:val="20"/>
                <w:szCs w:val="20"/>
                <w:color w:val="auto"/>
              </w:rPr>
            </w:pPr>
            <w:r>
              <w:rPr>
                <w:rFonts w:ascii="Arial" w:cs="Arial" w:eastAsia="Arial" w:hAnsi="Arial"/>
                <w:sz w:val="14"/>
                <w:szCs w:val="14"/>
                <w:color w:val="auto"/>
              </w:rPr>
              <w:t>(1,510)</w:t>
            </w: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(1,510)</w:t>
            </w:r>
          </w:p>
        </w:tc>
      </w:tr>
      <w:tr>
        <w:trPr>
          <w:trHeight w:val="143"/>
        </w:trPr>
        <w:tc>
          <w:tcPr>
            <w:tcW w:w="20" w:type="dxa"/>
            <w:vAlign w:val="bottom"/>
          </w:tcPr>
          <w:p>
            <w:pPr>
              <w:spacing w:after="0"/>
              <w:rPr>
                <w:sz w:val="12"/>
                <w:szCs w:val="12"/>
                <w:color w:val="auto"/>
              </w:rPr>
            </w:pPr>
          </w:p>
        </w:tc>
        <w:tc>
          <w:tcPr>
            <w:tcW w:w="2620" w:type="dxa"/>
            <w:vAlign w:val="bottom"/>
            <w:gridSpan w:val="2"/>
          </w:tcPr>
          <w:p>
            <w:pPr>
              <w:ind w:left="220"/>
              <w:spacing w:after="0" w:line="143" w:lineRule="exact"/>
              <w:rPr>
                <w:sz w:val="20"/>
                <w:szCs w:val="20"/>
                <w:color w:val="auto"/>
              </w:rPr>
            </w:pPr>
            <w:r>
              <w:rPr>
                <w:rFonts w:ascii="Arial" w:cs="Arial" w:eastAsia="Arial" w:hAnsi="Arial"/>
                <w:sz w:val="14"/>
                <w:szCs w:val="14"/>
                <w:color w:val="auto"/>
              </w:rPr>
              <w:t>Cash dividends common stock at</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81"/>
        </w:trPr>
        <w:tc>
          <w:tcPr>
            <w:tcW w:w="20" w:type="dxa"/>
            <w:vAlign w:val="bottom"/>
          </w:tcPr>
          <w:p>
            <w:pPr>
              <w:spacing w:after="0"/>
              <w:rPr>
                <w:sz w:val="15"/>
                <w:szCs w:val="15"/>
                <w:color w:val="auto"/>
              </w:rPr>
            </w:pPr>
          </w:p>
        </w:tc>
        <w:tc>
          <w:tcPr>
            <w:tcW w:w="2620" w:type="dxa"/>
            <w:vAlign w:val="bottom"/>
            <w:gridSpan w:val="2"/>
          </w:tcPr>
          <w:p>
            <w:pPr>
              <w:ind w:left="220"/>
              <w:spacing w:after="0"/>
              <w:rPr>
                <w:sz w:val="20"/>
                <w:szCs w:val="20"/>
                <w:color w:val="auto"/>
              </w:rPr>
            </w:pPr>
            <w:r>
              <w:rPr>
                <w:rFonts w:ascii="Arial" w:cs="Arial" w:eastAsia="Arial" w:hAnsi="Arial"/>
                <w:sz w:val="14"/>
                <w:szCs w:val="14"/>
                <w:color w:val="auto"/>
              </w:rPr>
              <w:t>$0.23 per share</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(12,513)</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(12,513)</w:t>
            </w:r>
          </w:p>
        </w:tc>
      </w:tr>
      <w:tr>
        <w:trPr>
          <w:trHeight w:val="143"/>
        </w:trPr>
        <w:tc>
          <w:tcPr>
            <w:tcW w:w="20" w:type="dxa"/>
            <w:vAlign w:val="bottom"/>
          </w:tcPr>
          <w:p>
            <w:pPr>
              <w:spacing w:after="0"/>
              <w:rPr>
                <w:sz w:val="12"/>
                <w:szCs w:val="12"/>
                <w:color w:val="auto"/>
              </w:rPr>
            </w:pPr>
          </w:p>
        </w:tc>
        <w:tc>
          <w:tcPr>
            <w:tcW w:w="2620" w:type="dxa"/>
            <w:vAlign w:val="bottom"/>
            <w:gridSpan w:val="2"/>
            <w:shd w:val="clear" w:color="auto" w:fill="CCEEFF"/>
          </w:tcPr>
          <w:p>
            <w:pPr>
              <w:ind w:left="220"/>
              <w:spacing w:after="0" w:line="143" w:lineRule="exact"/>
              <w:rPr>
                <w:sz w:val="20"/>
                <w:szCs w:val="20"/>
                <w:color w:val="auto"/>
              </w:rPr>
            </w:pPr>
            <w:r>
              <w:rPr>
                <w:rFonts w:ascii="Arial" w:cs="Arial" w:eastAsia="Arial" w:hAnsi="Arial"/>
                <w:sz w:val="14"/>
                <w:szCs w:val="14"/>
                <w:color w:val="auto"/>
              </w:rPr>
              <w:t>Stock dividend equivalents restricted</w:t>
            </w: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181"/>
        </w:trPr>
        <w:tc>
          <w:tcPr>
            <w:tcW w:w="20" w:type="dxa"/>
            <w:vAlign w:val="bottom"/>
          </w:tcPr>
          <w:p>
            <w:pPr>
              <w:spacing w:after="0"/>
              <w:rPr>
                <w:sz w:val="15"/>
                <w:szCs w:val="15"/>
                <w:color w:val="auto"/>
              </w:rPr>
            </w:pPr>
          </w:p>
        </w:tc>
        <w:tc>
          <w:tcPr>
            <w:tcW w:w="26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stock units at $0.23 per share</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236</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(236)</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r>
      <w:tr>
        <w:trPr>
          <w:trHeight w:val="162"/>
        </w:trPr>
        <w:tc>
          <w:tcPr>
            <w:tcW w:w="20" w:type="dxa"/>
            <w:vAlign w:val="bottom"/>
          </w:tcPr>
          <w:p>
            <w:pPr>
              <w:spacing w:after="0"/>
              <w:rPr>
                <w:sz w:val="14"/>
                <w:szCs w:val="14"/>
                <w:color w:val="auto"/>
              </w:rPr>
            </w:pPr>
          </w:p>
        </w:tc>
        <w:tc>
          <w:tcPr>
            <w:tcW w:w="2620" w:type="dxa"/>
            <w:vAlign w:val="bottom"/>
            <w:gridSpan w:val="2"/>
          </w:tcPr>
          <w:p>
            <w:pPr>
              <w:ind w:left="220"/>
              <w:spacing w:after="0"/>
              <w:rPr>
                <w:sz w:val="20"/>
                <w:szCs w:val="20"/>
                <w:color w:val="auto"/>
              </w:rPr>
            </w:pPr>
            <w:r>
              <w:rPr>
                <w:rFonts w:ascii="Arial" w:cs="Arial" w:eastAsia="Arial" w:hAnsi="Arial"/>
                <w:sz w:val="14"/>
                <w:szCs w:val="14"/>
                <w:color w:val="auto"/>
              </w:rPr>
              <w:t>Stock-based compensation</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80" w:type="dxa"/>
            <w:vAlign w:val="bottom"/>
            <w:gridSpan w:val="3"/>
          </w:tcPr>
          <w:p>
            <w:pPr>
              <w:jc w:val="right"/>
              <w:spacing w:after="0"/>
              <w:rPr>
                <w:sz w:val="20"/>
                <w:szCs w:val="20"/>
                <w:color w:val="auto"/>
              </w:rPr>
            </w:pPr>
            <w:r>
              <w:rPr>
                <w:rFonts w:ascii="Arial" w:cs="Arial" w:eastAsia="Arial" w:hAnsi="Arial"/>
                <w:sz w:val="14"/>
                <w:szCs w:val="14"/>
                <w:color w:val="auto"/>
              </w:rPr>
              <w:t>1,448</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1,448</w:t>
            </w:r>
          </w:p>
        </w:tc>
        <w:tc>
          <w:tcPr>
            <w:tcW w:w="2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2620" w:type="dxa"/>
            <w:vAlign w:val="bottom"/>
            <w:tcBorders>
              <w:top w:val="single" w:sz="8" w:color="CCEEFF"/>
              <w:bottom w:val="single" w:sz="8" w:color="CCEEFF"/>
            </w:tcBorders>
            <w:gridSpan w:val="2"/>
            <w:shd w:val="clear" w:color="auto" w:fill="CCEEFF"/>
          </w:tcPr>
          <w:p>
            <w:pPr>
              <w:spacing w:after="0" w:line="155" w:lineRule="exact"/>
              <w:rPr>
                <w:sz w:val="20"/>
                <w:szCs w:val="20"/>
                <w:color w:val="auto"/>
              </w:rPr>
            </w:pPr>
            <w:r>
              <w:rPr>
                <w:rFonts w:ascii="Arial" w:cs="Arial" w:eastAsia="Arial" w:hAnsi="Arial"/>
                <w:sz w:val="14"/>
                <w:szCs w:val="14"/>
                <w:color w:val="auto"/>
              </w:rPr>
              <w:t>Balance, March 31, 2021</w:t>
            </w:r>
          </w:p>
        </w:tc>
        <w:tc>
          <w:tcPr>
            <w:tcW w:w="7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91"/>
              </w:rPr>
              <w:t>54,345,379</w:t>
            </w:r>
          </w:p>
        </w:tc>
        <w:tc>
          <w:tcPr>
            <w:tcW w:w="20" w:type="dxa"/>
            <w:vAlign w:val="bottom"/>
            <w:tcBorders>
              <w:top w:val="single" w:sz="8" w:color="auto"/>
              <w:bottom w:val="single" w:sz="8" w:color="auto"/>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56</w:t>
            </w:r>
          </w:p>
        </w:tc>
        <w:tc>
          <w:tcPr>
            <w:tcW w:w="20" w:type="dxa"/>
            <w:vAlign w:val="bottom"/>
            <w:tcBorders>
              <w:top w:val="single" w:sz="8" w:color="auto"/>
              <w:bottom w:val="single" w:sz="8" w:color="auto"/>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7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91"/>
              </w:rPr>
              <w:t>$ 1,255,044</w:t>
            </w:r>
          </w:p>
        </w:tc>
        <w:tc>
          <w:tcPr>
            <w:tcW w:w="20" w:type="dxa"/>
            <w:vAlign w:val="bottom"/>
            <w:tcBorders>
              <w:top w:val="single" w:sz="8" w:color="auto"/>
              <w:bottom w:val="single" w:sz="8" w:color="auto"/>
            </w:tcBorders>
            <w:shd w:val="clear" w:color="auto" w:fill="CCEEFF"/>
          </w:tcPr>
          <w:p>
            <w:pPr>
              <w:spacing w:after="0"/>
              <w:rPr>
                <w:sz w:val="13"/>
                <w:szCs w:val="13"/>
                <w:color w:val="auto"/>
              </w:rPr>
            </w:pP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45,897</w:t>
            </w:r>
          </w:p>
        </w:tc>
        <w:tc>
          <w:tcPr>
            <w:tcW w:w="20" w:type="dxa"/>
            <w:vAlign w:val="bottom"/>
            <w:tcBorders>
              <w:top w:val="single" w:sz="8" w:color="auto"/>
              <w:bottom w:val="single" w:sz="8" w:color="auto"/>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3,821</w:t>
            </w:r>
          </w:p>
        </w:tc>
        <w:tc>
          <w:tcPr>
            <w:tcW w:w="20" w:type="dxa"/>
            <w:vAlign w:val="bottom"/>
            <w:tcBorders>
              <w:top w:val="single" w:sz="8" w:color="auto"/>
              <w:bottom w:val="single" w:sz="8" w:color="auto"/>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620" w:type="dxa"/>
            <w:vAlign w:val="bottom"/>
            <w:tcBorders>
              <w:top w:val="single" w:sz="8" w:color="auto"/>
              <w:bottom w:val="single" w:sz="8" w:color="auto"/>
            </w:tcBorders>
            <w:gridSpan w:val="2"/>
            <w:shd w:val="clear" w:color="auto" w:fill="CCEEFF"/>
          </w:tcPr>
          <w:p>
            <w:pPr>
              <w:jc w:val="right"/>
              <w:ind w:right="20"/>
              <w:spacing w:after="0" w:line="155" w:lineRule="exact"/>
              <w:rPr>
                <w:sz w:val="20"/>
                <w:szCs w:val="20"/>
                <w:color w:val="auto"/>
              </w:rPr>
            </w:pPr>
            <w:r>
              <w:rPr>
                <w:rFonts w:ascii="Arial" w:cs="Arial" w:eastAsia="Arial" w:hAnsi="Arial"/>
                <w:sz w:val="14"/>
                <w:szCs w:val="14"/>
                <w:color w:val="auto"/>
                <w:w w:val="90"/>
              </w:rPr>
              <w:t>$ (38,996)</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1,265,822</w:t>
            </w:r>
          </w:p>
        </w:tc>
        <w:tc>
          <w:tcPr>
            <w:tcW w:w="20" w:type="dxa"/>
            <w:vAlign w:val="bottom"/>
            <w:tcBorders>
              <w:top w:val="single" w:sz="8" w:color="auto"/>
              <w:bottom w:val="single" w:sz="8" w:color="auto"/>
            </w:tcBorders>
            <w:shd w:val="clear" w:color="auto" w:fill="CCEEFF"/>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Retained</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62"/>
        </w:trPr>
        <w:tc>
          <w:tcPr>
            <w:tcW w:w="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Earnings</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Total</w:t>
            </w:r>
          </w:p>
        </w:tc>
      </w:tr>
      <w:tr>
        <w:trPr>
          <w:trHeight w:val="162"/>
        </w:trPr>
        <w:tc>
          <w:tcPr>
            <w:tcW w:w="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2"/>
              </w:rPr>
              <w:t>Common</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8"/>
              </w:rPr>
              <w:t>Paid-in</w:t>
            </w:r>
          </w:p>
        </w:tc>
        <w:tc>
          <w:tcPr>
            <w:tcW w:w="140" w:type="dxa"/>
            <w:vAlign w:val="bottom"/>
          </w:tcPr>
          <w:p>
            <w:pPr>
              <w:spacing w:after="0"/>
              <w:rPr>
                <w:sz w:val="14"/>
                <w:szCs w:val="14"/>
                <w:color w:val="auto"/>
              </w:rPr>
            </w:pPr>
          </w:p>
        </w:tc>
        <w:tc>
          <w:tcPr>
            <w:tcW w:w="880" w:type="dxa"/>
            <w:vAlign w:val="bottom"/>
            <w:gridSpan w:val="4"/>
          </w:tcPr>
          <w:p>
            <w:pPr>
              <w:spacing w:after="0"/>
              <w:rPr>
                <w:sz w:val="20"/>
                <w:szCs w:val="20"/>
                <w:color w:val="auto"/>
              </w:rPr>
            </w:pPr>
            <w:r>
              <w:rPr>
                <w:rFonts w:ascii="Arial" w:cs="Arial" w:eastAsia="Arial" w:hAnsi="Arial"/>
                <w:sz w:val="14"/>
                <w:szCs w:val="14"/>
                <w:b w:val="1"/>
                <w:bCs w:val="1"/>
                <w:color w:val="auto"/>
                <w:w w:val="92"/>
              </w:rPr>
              <w:t>(Accumulated</w:t>
            </w:r>
          </w:p>
        </w:tc>
        <w:tc>
          <w:tcPr>
            <w:tcW w:w="120" w:type="dxa"/>
            <w:vAlign w:val="bottom"/>
          </w:tcPr>
          <w:p>
            <w:pPr>
              <w:spacing w:after="0"/>
              <w:rPr>
                <w:sz w:val="14"/>
                <w:szCs w:val="14"/>
                <w:color w:val="auto"/>
              </w:rPr>
            </w:pPr>
          </w:p>
        </w:tc>
        <w:tc>
          <w:tcPr>
            <w:tcW w:w="1000" w:type="dxa"/>
            <w:vAlign w:val="bottom"/>
            <w:gridSpan w:val="4"/>
          </w:tcPr>
          <w:p>
            <w:pPr>
              <w:ind w:left="20"/>
              <w:spacing w:after="0"/>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1"/>
              </w:rPr>
              <w:t>Treasury</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1"/>
              </w:rPr>
              <w:t>Stockholders'</w:t>
            </w:r>
          </w:p>
        </w:tc>
      </w:tr>
      <w:tr>
        <w:trPr>
          <w:trHeight w:val="185"/>
        </w:trPr>
        <w:tc>
          <w:tcPr>
            <w:tcW w:w="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Deficit)</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0"/>
              </w:rPr>
              <w:t>Income (Loss)</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Equity</w:t>
            </w:r>
          </w:p>
        </w:tc>
      </w:tr>
      <w:tr>
        <w:trPr>
          <w:trHeight w:val="119"/>
        </w:trPr>
        <w:tc>
          <w:tcPr>
            <w:tcW w:w="2620" w:type="dxa"/>
            <w:vAlign w:val="bottom"/>
            <w:tcBorders>
              <w:top w:val="single" w:sz="8" w:color="CCEEFF"/>
            </w:tcBorders>
            <w:gridSpan w:val="2"/>
            <w:shd w:val="clear" w:color="auto" w:fill="CCEEFF"/>
          </w:tcPr>
          <w:p>
            <w:pPr>
              <w:ind w:left="20"/>
              <w:spacing w:after="0" w:line="119" w:lineRule="exact"/>
              <w:rPr>
                <w:sz w:val="20"/>
                <w:szCs w:val="20"/>
                <w:color w:val="auto"/>
              </w:rPr>
            </w:pPr>
            <w:r>
              <w:rPr>
                <w:rFonts w:ascii="Arial" w:cs="Arial" w:eastAsia="Arial" w:hAnsi="Arial"/>
                <w:sz w:val="13"/>
                <w:szCs w:val="13"/>
                <w:b w:val="1"/>
                <w:bCs w:val="1"/>
                <w:color w:val="auto"/>
              </w:rPr>
              <w:t>For the Three Months Ended</w:t>
            </w:r>
          </w:p>
        </w:tc>
        <w:tc>
          <w:tcPr>
            <w:tcW w:w="2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20" w:type="dxa"/>
            <w:vAlign w:val="bottom"/>
          </w:tcPr>
          <w:p>
            <w:pPr>
              <w:spacing w:after="0"/>
              <w:rPr>
                <w:sz w:val="10"/>
                <w:szCs w:val="10"/>
                <w:color w:val="auto"/>
              </w:rPr>
            </w:pPr>
          </w:p>
        </w:tc>
      </w:tr>
      <w:tr>
        <w:trPr>
          <w:trHeight w:val="185"/>
        </w:trPr>
        <w:tc>
          <w:tcPr>
            <w:tcW w:w="2640" w:type="dxa"/>
            <w:vAlign w:val="bottom"/>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March 31, 2020</w:t>
            </w:r>
          </w:p>
        </w:tc>
        <w:tc>
          <w:tcPr>
            <w:tcW w:w="7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162"/>
        </w:trPr>
        <w:tc>
          <w:tcPr>
            <w:tcW w:w="2640" w:type="dxa"/>
            <w:vAlign w:val="bottom"/>
            <w:gridSpan w:val="3"/>
          </w:tcPr>
          <w:p>
            <w:pPr>
              <w:ind w:left="20"/>
              <w:spacing w:after="0"/>
              <w:rPr>
                <w:sz w:val="20"/>
                <w:szCs w:val="20"/>
                <w:color w:val="auto"/>
              </w:rPr>
            </w:pPr>
            <w:r>
              <w:rPr>
                <w:rFonts w:ascii="Arial" w:cs="Arial" w:eastAsia="Arial" w:hAnsi="Arial"/>
                <w:sz w:val="14"/>
                <w:szCs w:val="14"/>
                <w:color w:val="auto"/>
              </w:rPr>
              <w:t>Balance, December 31, 2019</w:t>
            </w:r>
          </w:p>
        </w:tc>
        <w:tc>
          <w:tcPr>
            <w:tcW w:w="720" w:type="dxa"/>
            <w:vAlign w:val="bottom"/>
          </w:tcPr>
          <w:p>
            <w:pPr>
              <w:jc w:val="right"/>
              <w:spacing w:after="0"/>
              <w:rPr>
                <w:sz w:val="20"/>
                <w:szCs w:val="20"/>
                <w:color w:val="auto"/>
              </w:rPr>
            </w:pPr>
            <w:r>
              <w:rPr>
                <w:rFonts w:ascii="Arial" w:cs="Arial" w:eastAsia="Arial" w:hAnsi="Arial"/>
                <w:sz w:val="14"/>
                <w:szCs w:val="14"/>
                <w:color w:val="auto"/>
                <w:w w:val="91"/>
              </w:rPr>
              <w:t>54,788,772</w:t>
            </w:r>
          </w:p>
        </w:tc>
        <w:tc>
          <w:tcPr>
            <w:tcW w:w="20" w:type="dxa"/>
            <w:vAlign w:val="bottom"/>
          </w:tcPr>
          <w:p>
            <w:pPr>
              <w:spacing w:after="0"/>
              <w:rPr>
                <w:sz w:val="14"/>
                <w:szCs w:val="14"/>
                <w:color w:val="auto"/>
              </w:rPr>
            </w:pPr>
          </w:p>
        </w:tc>
        <w:tc>
          <w:tcPr>
            <w:tcW w:w="24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56</w:t>
            </w:r>
          </w:p>
        </w:tc>
        <w:tc>
          <w:tcPr>
            <w:tcW w:w="20" w:type="dxa"/>
            <w:vAlign w:val="bottom"/>
          </w:tcPr>
          <w:p>
            <w:pPr>
              <w:spacing w:after="0"/>
              <w:rPr>
                <w:sz w:val="14"/>
                <w:szCs w:val="14"/>
                <w:color w:val="auto"/>
              </w:rPr>
            </w:pPr>
          </w:p>
        </w:tc>
        <w:tc>
          <w:tcPr>
            <w:tcW w:w="880" w:type="dxa"/>
            <w:vAlign w:val="bottom"/>
            <w:gridSpan w:val="3"/>
          </w:tcPr>
          <w:p>
            <w:pPr>
              <w:jc w:val="right"/>
              <w:spacing w:after="0"/>
              <w:rPr>
                <w:sz w:val="20"/>
                <w:szCs w:val="20"/>
                <w:color w:val="auto"/>
              </w:rPr>
            </w:pPr>
            <w:r>
              <w:rPr>
                <w:rFonts w:ascii="Arial" w:cs="Arial" w:eastAsia="Arial" w:hAnsi="Arial"/>
                <w:sz w:val="14"/>
                <w:szCs w:val="14"/>
                <w:color w:val="auto"/>
              </w:rPr>
              <w:t>$ 1,248,216</w:t>
            </w:r>
          </w:p>
        </w:tc>
        <w:tc>
          <w:tcPr>
            <w:tcW w:w="20" w:type="dxa"/>
            <w:vAlign w:val="bottom"/>
          </w:tcPr>
          <w:p>
            <w:pPr>
              <w:spacing w:after="0"/>
              <w:rPr>
                <w:sz w:val="14"/>
                <w:szCs w:val="14"/>
                <w:color w:val="auto"/>
              </w:rPr>
            </w:pPr>
          </w:p>
        </w:tc>
        <w:tc>
          <w:tcPr>
            <w:tcW w:w="260" w:type="dxa"/>
            <w:vAlign w:val="bottom"/>
            <w:gridSpan w:val="3"/>
          </w:tcPr>
          <w:p>
            <w:pPr>
              <w:ind w:left="14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(14,813)</w:t>
            </w:r>
          </w:p>
        </w:tc>
        <w:tc>
          <w:tcPr>
            <w:tcW w:w="300" w:type="dxa"/>
            <w:vAlign w:val="bottom"/>
            <w:gridSpan w:val="3"/>
          </w:tcPr>
          <w:p>
            <w:pPr>
              <w:ind w:left="14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14,960</w:t>
            </w:r>
          </w:p>
        </w:tc>
        <w:tc>
          <w:tcPr>
            <w:tcW w:w="20" w:type="dxa"/>
            <w:vAlign w:val="bottom"/>
          </w:tcPr>
          <w:p>
            <w:pPr>
              <w:spacing w:after="0"/>
              <w:rPr>
                <w:sz w:val="14"/>
                <w:szCs w:val="14"/>
                <w:color w:val="auto"/>
              </w:rPr>
            </w:pPr>
          </w:p>
        </w:tc>
        <w:tc>
          <w:tcPr>
            <w:tcW w:w="760" w:type="dxa"/>
            <w:vAlign w:val="bottom"/>
            <w:gridSpan w:val="4"/>
          </w:tcPr>
          <w:p>
            <w:pPr>
              <w:jc w:val="right"/>
              <w:ind w:right="20"/>
              <w:spacing w:after="0"/>
              <w:rPr>
                <w:sz w:val="20"/>
                <w:szCs w:val="20"/>
                <w:color w:val="auto"/>
              </w:rPr>
            </w:pPr>
            <w:r>
              <w:rPr>
                <w:rFonts w:ascii="Arial" w:cs="Arial" w:eastAsia="Arial" w:hAnsi="Arial"/>
                <w:sz w:val="14"/>
                <w:szCs w:val="14"/>
                <w:color w:val="auto"/>
              </w:rPr>
              <w:t>$ (27,985)</w:t>
            </w:r>
          </w:p>
        </w:tc>
        <w:tc>
          <w:tcPr>
            <w:tcW w:w="280" w:type="dxa"/>
            <w:vAlign w:val="bottom"/>
            <w:gridSpan w:val="3"/>
          </w:tcPr>
          <w:p>
            <w:pPr>
              <w:jc w:val="right"/>
              <w:ind w:right="15"/>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1,220,434</w:t>
            </w:r>
          </w:p>
        </w:tc>
        <w:tc>
          <w:tcPr>
            <w:tcW w:w="20" w:type="dxa"/>
            <w:vAlign w:val="bottom"/>
          </w:tcPr>
          <w:p>
            <w:pPr>
              <w:spacing w:after="0"/>
              <w:rPr>
                <w:sz w:val="14"/>
                <w:szCs w:val="14"/>
                <w:color w:val="auto"/>
              </w:rPr>
            </w:pPr>
          </w:p>
        </w:tc>
      </w:tr>
      <w:tr>
        <w:trPr>
          <w:trHeight w:val="162"/>
        </w:trPr>
        <w:tc>
          <w:tcPr>
            <w:tcW w:w="20" w:type="dxa"/>
            <w:vAlign w:val="bottom"/>
            <w:shd w:val="clear" w:color="auto" w:fill="CCEEFF"/>
          </w:tcPr>
          <w:p>
            <w:pPr>
              <w:spacing w:after="0"/>
              <w:rPr>
                <w:sz w:val="14"/>
                <w:szCs w:val="14"/>
                <w:color w:val="auto"/>
              </w:rPr>
            </w:pPr>
          </w:p>
        </w:tc>
        <w:tc>
          <w:tcPr>
            <w:tcW w:w="26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143"/>
        </w:trPr>
        <w:tc>
          <w:tcPr>
            <w:tcW w:w="20" w:type="dxa"/>
            <w:vAlign w:val="bottom"/>
          </w:tcPr>
          <w:p>
            <w:pPr>
              <w:spacing w:after="0"/>
              <w:rPr>
                <w:sz w:val="12"/>
                <w:szCs w:val="12"/>
                <w:color w:val="auto"/>
              </w:rPr>
            </w:pPr>
          </w:p>
        </w:tc>
        <w:tc>
          <w:tcPr>
            <w:tcW w:w="2620" w:type="dxa"/>
            <w:vAlign w:val="bottom"/>
            <w:gridSpan w:val="2"/>
          </w:tcPr>
          <w:p>
            <w:pPr>
              <w:ind w:left="200"/>
              <w:spacing w:after="0" w:line="143" w:lineRule="exact"/>
              <w:rPr>
                <w:sz w:val="20"/>
                <w:szCs w:val="20"/>
                <w:color w:val="auto"/>
              </w:rPr>
            </w:pPr>
            <w:r>
              <w:rPr>
                <w:rFonts w:ascii="Arial" w:cs="Arial" w:eastAsia="Arial" w:hAnsi="Arial"/>
                <w:sz w:val="14"/>
                <w:szCs w:val="14"/>
                <w:color w:val="auto"/>
              </w:rPr>
              <w:t>Cumulative effect of change in</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81"/>
        </w:trPr>
        <w:tc>
          <w:tcPr>
            <w:tcW w:w="20" w:type="dxa"/>
            <w:vAlign w:val="bottom"/>
          </w:tcPr>
          <w:p>
            <w:pPr>
              <w:spacing w:after="0"/>
              <w:rPr>
                <w:sz w:val="15"/>
                <w:szCs w:val="15"/>
                <w:color w:val="auto"/>
              </w:rPr>
            </w:pPr>
          </w:p>
        </w:tc>
        <w:tc>
          <w:tcPr>
            <w:tcW w:w="2620" w:type="dxa"/>
            <w:vAlign w:val="bottom"/>
            <w:gridSpan w:val="2"/>
          </w:tcPr>
          <w:p>
            <w:pPr>
              <w:ind w:left="200"/>
              <w:spacing w:after="0"/>
              <w:rPr>
                <w:sz w:val="20"/>
                <w:szCs w:val="20"/>
                <w:color w:val="auto"/>
              </w:rPr>
            </w:pPr>
            <w:r>
              <w:rPr>
                <w:rFonts w:ascii="Arial" w:cs="Arial" w:eastAsia="Arial" w:hAnsi="Arial"/>
                <w:sz w:val="14"/>
                <w:szCs w:val="14"/>
                <w:color w:val="auto"/>
              </w:rPr>
              <w:t>accounting principle</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(15,922)</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4"/>
                <w:szCs w:val="14"/>
                <w:color w:val="auto"/>
              </w:rPr>
              <w:t>(15,922)</w:t>
            </w:r>
          </w:p>
        </w:tc>
      </w:tr>
      <w:tr>
        <w:trPr>
          <w:trHeight w:val="162"/>
        </w:trPr>
        <w:tc>
          <w:tcPr>
            <w:tcW w:w="20" w:type="dxa"/>
            <w:vAlign w:val="bottom"/>
            <w:shd w:val="clear" w:color="auto" w:fill="CCEEFF"/>
          </w:tcPr>
          <w:p>
            <w:pPr>
              <w:spacing w:after="0"/>
              <w:rPr>
                <w:sz w:val="14"/>
                <w:szCs w:val="14"/>
                <w:color w:val="auto"/>
              </w:rPr>
            </w:pPr>
          </w:p>
        </w:tc>
        <w:tc>
          <w:tcPr>
            <w:tcW w:w="26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Net income</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15,364</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15,364</w:t>
            </w:r>
          </w:p>
        </w:tc>
        <w:tc>
          <w:tcPr>
            <w:tcW w:w="2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2620" w:type="dxa"/>
            <w:vAlign w:val="bottom"/>
            <w:gridSpan w:val="2"/>
          </w:tcPr>
          <w:p>
            <w:pPr>
              <w:ind w:left="200"/>
              <w:spacing w:after="0"/>
              <w:rPr>
                <w:sz w:val="20"/>
                <w:szCs w:val="20"/>
                <w:color w:val="auto"/>
              </w:rPr>
            </w:pPr>
            <w:r>
              <w:rPr>
                <w:rFonts w:ascii="Arial" w:cs="Arial" w:eastAsia="Arial" w:hAnsi="Arial"/>
                <w:sz w:val="14"/>
                <w:szCs w:val="14"/>
                <w:color w:val="auto"/>
              </w:rPr>
              <w:t>Other comprehensive income (loss)</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18,141</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18,141</w:t>
            </w:r>
          </w:p>
        </w:tc>
        <w:tc>
          <w:tcPr>
            <w:tcW w:w="20" w:type="dxa"/>
            <w:vAlign w:val="bottom"/>
          </w:tcPr>
          <w:p>
            <w:pPr>
              <w:spacing w:after="0"/>
              <w:rPr>
                <w:sz w:val="14"/>
                <w:szCs w:val="14"/>
                <w:color w:val="auto"/>
              </w:rPr>
            </w:pPr>
          </w:p>
        </w:tc>
      </w:tr>
      <w:tr>
        <w:trPr>
          <w:trHeight w:val="162"/>
        </w:trPr>
        <w:tc>
          <w:tcPr>
            <w:tcW w:w="20" w:type="dxa"/>
            <w:vAlign w:val="bottom"/>
            <w:shd w:val="clear" w:color="auto" w:fill="CCEEFF"/>
          </w:tcPr>
          <w:p>
            <w:pPr>
              <w:spacing w:after="0"/>
              <w:rPr>
                <w:sz w:val="14"/>
                <w:szCs w:val="14"/>
                <w:color w:val="auto"/>
              </w:rPr>
            </w:pPr>
          </w:p>
        </w:tc>
        <w:tc>
          <w:tcPr>
            <w:tcW w:w="26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Repurchase of stock</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(407,850)</w:t>
            </w: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60" w:type="dxa"/>
            <w:vAlign w:val="bottom"/>
            <w:gridSpan w:val="4"/>
            <w:shd w:val="clear" w:color="auto" w:fill="CCEEFF"/>
          </w:tcPr>
          <w:p>
            <w:pPr>
              <w:jc w:val="right"/>
              <w:ind w:right="20"/>
              <w:spacing w:after="0"/>
              <w:rPr>
                <w:sz w:val="20"/>
                <w:szCs w:val="20"/>
                <w:color w:val="auto"/>
              </w:rPr>
            </w:pPr>
            <w:r>
              <w:rPr>
                <w:rFonts w:ascii="Arial" w:cs="Arial" w:eastAsia="Arial" w:hAnsi="Arial"/>
                <w:sz w:val="14"/>
                <w:szCs w:val="14"/>
                <w:color w:val="auto"/>
              </w:rPr>
              <w:t>(9,672)</w:t>
            </w: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(9,672)</w:t>
            </w:r>
          </w:p>
        </w:tc>
        <w:tc>
          <w:tcPr>
            <w:tcW w:w="20" w:type="dxa"/>
            <w:vAlign w:val="bottom"/>
          </w:tcPr>
          <w:p>
            <w:pPr>
              <w:spacing w:after="0"/>
              <w:rPr>
                <w:sz w:val="14"/>
                <w:szCs w:val="14"/>
                <w:color w:val="auto"/>
              </w:rPr>
            </w:pPr>
          </w:p>
        </w:tc>
      </w:tr>
      <w:tr>
        <w:trPr>
          <w:trHeight w:val="143"/>
        </w:trPr>
        <w:tc>
          <w:tcPr>
            <w:tcW w:w="20" w:type="dxa"/>
            <w:vAlign w:val="bottom"/>
          </w:tcPr>
          <w:p>
            <w:pPr>
              <w:spacing w:after="0"/>
              <w:rPr>
                <w:sz w:val="12"/>
                <w:szCs w:val="12"/>
                <w:color w:val="auto"/>
              </w:rPr>
            </w:pPr>
          </w:p>
        </w:tc>
        <w:tc>
          <w:tcPr>
            <w:tcW w:w="2620" w:type="dxa"/>
            <w:vAlign w:val="bottom"/>
            <w:gridSpan w:val="2"/>
          </w:tcPr>
          <w:p>
            <w:pPr>
              <w:ind w:left="200"/>
              <w:spacing w:after="0" w:line="143" w:lineRule="exact"/>
              <w:rPr>
                <w:sz w:val="20"/>
                <w:szCs w:val="20"/>
                <w:color w:val="auto"/>
              </w:rPr>
            </w:pPr>
            <w:r>
              <w:rPr>
                <w:rFonts w:ascii="Arial" w:cs="Arial" w:eastAsia="Arial" w:hAnsi="Arial"/>
                <w:sz w:val="14"/>
                <w:szCs w:val="14"/>
                <w:color w:val="auto"/>
              </w:rPr>
              <w:t>Issuance of treasury stock for</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81"/>
        </w:trPr>
        <w:tc>
          <w:tcPr>
            <w:tcW w:w="20" w:type="dxa"/>
            <w:vAlign w:val="bottom"/>
          </w:tcPr>
          <w:p>
            <w:pPr>
              <w:spacing w:after="0"/>
              <w:rPr>
                <w:sz w:val="15"/>
                <w:szCs w:val="15"/>
                <w:color w:val="auto"/>
              </w:rPr>
            </w:pPr>
          </w:p>
        </w:tc>
        <w:tc>
          <w:tcPr>
            <w:tcW w:w="2620" w:type="dxa"/>
            <w:vAlign w:val="bottom"/>
            <w:gridSpan w:val="2"/>
          </w:tcPr>
          <w:p>
            <w:pPr>
              <w:ind w:left="200"/>
              <w:spacing w:after="0"/>
              <w:rPr>
                <w:sz w:val="20"/>
                <w:szCs w:val="20"/>
                <w:color w:val="auto"/>
              </w:rPr>
            </w:pPr>
            <w:r>
              <w:rPr>
                <w:rFonts w:ascii="Arial" w:cs="Arial" w:eastAsia="Arial" w:hAnsi="Arial"/>
                <w:sz w:val="14"/>
                <w:szCs w:val="14"/>
                <w:color w:val="auto"/>
              </w:rPr>
              <w:t>employee stock purchase plan</w:t>
            </w:r>
          </w:p>
        </w:tc>
        <w:tc>
          <w:tcPr>
            <w:tcW w:w="720" w:type="dxa"/>
            <w:vAlign w:val="bottom"/>
          </w:tcPr>
          <w:p>
            <w:pPr>
              <w:jc w:val="right"/>
              <w:spacing w:after="0"/>
              <w:rPr>
                <w:sz w:val="20"/>
                <w:szCs w:val="20"/>
                <w:color w:val="auto"/>
              </w:rPr>
            </w:pPr>
            <w:r>
              <w:rPr>
                <w:rFonts w:ascii="Arial" w:cs="Arial" w:eastAsia="Arial" w:hAnsi="Arial"/>
                <w:sz w:val="14"/>
                <w:szCs w:val="14"/>
                <w:color w:val="auto"/>
              </w:rPr>
              <w:t>14,236</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900" w:type="dxa"/>
            <w:vAlign w:val="bottom"/>
            <w:gridSpan w:val="4"/>
          </w:tcPr>
          <w:p>
            <w:pPr>
              <w:jc w:val="right"/>
              <w:ind w:right="20"/>
              <w:spacing w:after="0"/>
              <w:rPr>
                <w:sz w:val="20"/>
                <w:szCs w:val="20"/>
                <w:color w:val="auto"/>
              </w:rPr>
            </w:pPr>
            <w:r>
              <w:rPr>
                <w:rFonts w:ascii="Arial" w:cs="Arial" w:eastAsia="Arial" w:hAnsi="Arial"/>
                <w:sz w:val="14"/>
                <w:szCs w:val="14"/>
                <w:color w:val="auto"/>
              </w:rPr>
              <w:t>(38)</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40" w:type="dxa"/>
            <w:vAlign w:val="bottom"/>
            <w:gridSpan w:val="3"/>
          </w:tcPr>
          <w:p>
            <w:pPr>
              <w:jc w:val="right"/>
              <w:spacing w:after="0"/>
              <w:rPr>
                <w:sz w:val="20"/>
                <w:szCs w:val="20"/>
                <w:color w:val="auto"/>
              </w:rPr>
            </w:pPr>
            <w:r>
              <w:rPr>
                <w:rFonts w:ascii="Arial" w:cs="Arial" w:eastAsia="Arial" w:hAnsi="Arial"/>
                <w:sz w:val="14"/>
                <w:szCs w:val="14"/>
                <w:color w:val="auto"/>
              </w:rPr>
              <w:t>269</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231</w:t>
            </w:r>
          </w:p>
        </w:tc>
        <w:tc>
          <w:tcPr>
            <w:tcW w:w="20" w:type="dxa"/>
            <w:vAlign w:val="bottom"/>
          </w:tcPr>
          <w:p>
            <w:pPr>
              <w:spacing w:after="0"/>
              <w:rPr>
                <w:sz w:val="15"/>
                <w:szCs w:val="15"/>
                <w:color w:val="auto"/>
              </w:rPr>
            </w:pPr>
          </w:p>
        </w:tc>
      </w:tr>
      <w:tr>
        <w:trPr>
          <w:trHeight w:val="143"/>
        </w:trPr>
        <w:tc>
          <w:tcPr>
            <w:tcW w:w="20" w:type="dxa"/>
            <w:vAlign w:val="bottom"/>
            <w:shd w:val="clear" w:color="auto" w:fill="CCEEFF"/>
          </w:tcPr>
          <w:p>
            <w:pPr>
              <w:spacing w:after="0"/>
              <w:rPr>
                <w:sz w:val="12"/>
                <w:szCs w:val="12"/>
                <w:color w:val="auto"/>
              </w:rPr>
            </w:pPr>
          </w:p>
        </w:tc>
        <w:tc>
          <w:tcPr>
            <w:tcW w:w="2620" w:type="dxa"/>
            <w:vAlign w:val="bottom"/>
            <w:gridSpan w:val="2"/>
            <w:shd w:val="clear" w:color="auto" w:fill="CCEEFF"/>
          </w:tcPr>
          <w:p>
            <w:pPr>
              <w:ind w:left="200"/>
              <w:spacing w:after="0" w:line="143" w:lineRule="exact"/>
              <w:rPr>
                <w:sz w:val="20"/>
                <w:szCs w:val="20"/>
                <w:color w:val="auto"/>
              </w:rPr>
            </w:pPr>
            <w:r>
              <w:rPr>
                <w:rFonts w:ascii="Arial" w:cs="Arial" w:eastAsia="Arial" w:hAnsi="Arial"/>
                <w:sz w:val="14"/>
                <w:szCs w:val="14"/>
                <w:color w:val="auto"/>
              </w:rPr>
              <w:t>Net issuance of treasury stock for</w:t>
            </w: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62"/>
        </w:trPr>
        <w:tc>
          <w:tcPr>
            <w:tcW w:w="20" w:type="dxa"/>
            <w:vAlign w:val="bottom"/>
            <w:shd w:val="clear" w:color="auto" w:fill="CCEEFF"/>
          </w:tcPr>
          <w:p>
            <w:pPr>
              <w:spacing w:after="0"/>
              <w:rPr>
                <w:sz w:val="14"/>
                <w:szCs w:val="14"/>
                <w:color w:val="auto"/>
              </w:rPr>
            </w:pPr>
          </w:p>
        </w:tc>
        <w:tc>
          <w:tcPr>
            <w:tcW w:w="26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restricted/deferred stock unit vesting</w:t>
            </w:r>
          </w:p>
        </w:tc>
        <w:tc>
          <w:tcPr>
            <w:tcW w:w="7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181"/>
        </w:trPr>
        <w:tc>
          <w:tcPr>
            <w:tcW w:w="20" w:type="dxa"/>
            <w:vAlign w:val="bottom"/>
            <w:shd w:val="clear" w:color="auto" w:fill="CCEEFF"/>
          </w:tcPr>
          <w:p>
            <w:pPr>
              <w:spacing w:after="0"/>
              <w:rPr>
                <w:sz w:val="15"/>
                <w:szCs w:val="15"/>
                <w:color w:val="auto"/>
              </w:rPr>
            </w:pPr>
          </w:p>
        </w:tc>
        <w:tc>
          <w:tcPr>
            <w:tcW w:w="26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and related tax</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5,509</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900" w:type="dxa"/>
            <w:vAlign w:val="bottom"/>
            <w:gridSpan w:val="4"/>
            <w:shd w:val="clear" w:color="auto" w:fill="CCEEFF"/>
          </w:tcPr>
          <w:p>
            <w:pPr>
              <w:jc w:val="right"/>
              <w:ind w:right="20"/>
              <w:spacing w:after="0"/>
              <w:rPr>
                <w:sz w:val="20"/>
                <w:szCs w:val="20"/>
                <w:color w:val="auto"/>
              </w:rPr>
            </w:pPr>
            <w:r>
              <w:rPr>
                <w:rFonts w:ascii="Arial" w:cs="Arial" w:eastAsia="Arial" w:hAnsi="Arial"/>
                <w:sz w:val="14"/>
                <w:szCs w:val="14"/>
                <w:color w:val="auto"/>
              </w:rPr>
              <w:t>(179)</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104</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20" w:type="dxa"/>
            <w:vAlign w:val="bottom"/>
          </w:tcPr>
          <w:p>
            <w:pPr>
              <w:spacing w:after="0"/>
              <w:rPr>
                <w:sz w:val="15"/>
                <w:szCs w:val="15"/>
                <w:color w:val="auto"/>
              </w:rPr>
            </w:pPr>
          </w:p>
        </w:tc>
      </w:tr>
      <w:tr>
        <w:trPr>
          <w:trHeight w:val="143"/>
        </w:trPr>
        <w:tc>
          <w:tcPr>
            <w:tcW w:w="20" w:type="dxa"/>
            <w:vAlign w:val="bottom"/>
          </w:tcPr>
          <w:p>
            <w:pPr>
              <w:spacing w:after="0"/>
              <w:rPr>
                <w:sz w:val="12"/>
                <w:szCs w:val="12"/>
                <w:color w:val="auto"/>
              </w:rPr>
            </w:pPr>
          </w:p>
        </w:tc>
        <w:tc>
          <w:tcPr>
            <w:tcW w:w="2620" w:type="dxa"/>
            <w:vAlign w:val="bottom"/>
            <w:gridSpan w:val="2"/>
          </w:tcPr>
          <w:p>
            <w:pPr>
              <w:ind w:left="200"/>
              <w:spacing w:after="0" w:line="143" w:lineRule="exact"/>
              <w:rPr>
                <w:sz w:val="20"/>
                <w:szCs w:val="20"/>
                <w:color w:val="auto"/>
              </w:rPr>
            </w:pPr>
            <w:r>
              <w:rPr>
                <w:rFonts w:ascii="Arial" w:cs="Arial" w:eastAsia="Arial" w:hAnsi="Arial"/>
                <w:sz w:val="14"/>
                <w:szCs w:val="14"/>
                <w:color w:val="auto"/>
              </w:rPr>
              <w:t>Net issuance of treasury stock for</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2"/>
        </w:trPr>
        <w:tc>
          <w:tcPr>
            <w:tcW w:w="20" w:type="dxa"/>
            <w:vAlign w:val="bottom"/>
          </w:tcPr>
          <w:p>
            <w:pPr>
              <w:spacing w:after="0"/>
              <w:rPr>
                <w:sz w:val="14"/>
                <w:szCs w:val="14"/>
                <w:color w:val="auto"/>
              </w:rPr>
            </w:pPr>
          </w:p>
        </w:tc>
        <w:tc>
          <w:tcPr>
            <w:tcW w:w="2620" w:type="dxa"/>
            <w:vAlign w:val="bottom"/>
            <w:gridSpan w:val="2"/>
          </w:tcPr>
          <w:p>
            <w:pPr>
              <w:ind w:left="200"/>
              <w:spacing w:after="0"/>
              <w:rPr>
                <w:sz w:val="20"/>
                <w:szCs w:val="20"/>
                <w:color w:val="auto"/>
              </w:rPr>
            </w:pPr>
            <w:r>
              <w:rPr>
                <w:rFonts w:ascii="Arial" w:cs="Arial" w:eastAsia="Arial" w:hAnsi="Arial"/>
                <w:sz w:val="14"/>
                <w:szCs w:val="14"/>
                <w:color w:val="auto"/>
              </w:rPr>
              <w:t>stock options exercised, net of shares</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1"/>
        </w:trPr>
        <w:tc>
          <w:tcPr>
            <w:tcW w:w="20" w:type="dxa"/>
            <w:vAlign w:val="bottom"/>
          </w:tcPr>
          <w:p>
            <w:pPr>
              <w:spacing w:after="0"/>
              <w:rPr>
                <w:sz w:val="15"/>
                <w:szCs w:val="15"/>
                <w:color w:val="auto"/>
              </w:rPr>
            </w:pPr>
          </w:p>
        </w:tc>
        <w:tc>
          <w:tcPr>
            <w:tcW w:w="2620" w:type="dxa"/>
            <w:vAlign w:val="bottom"/>
            <w:gridSpan w:val="2"/>
          </w:tcPr>
          <w:p>
            <w:pPr>
              <w:ind w:left="200"/>
              <w:spacing w:after="0"/>
              <w:rPr>
                <w:sz w:val="20"/>
                <w:szCs w:val="20"/>
                <w:color w:val="auto"/>
              </w:rPr>
            </w:pPr>
            <w:r>
              <w:rPr>
                <w:rFonts w:ascii="Arial" w:cs="Arial" w:eastAsia="Arial" w:hAnsi="Arial"/>
                <w:sz w:val="14"/>
                <w:szCs w:val="14"/>
                <w:color w:val="auto"/>
              </w:rPr>
              <w:t>redeemed and related tax</w:t>
            </w:r>
          </w:p>
        </w:tc>
        <w:tc>
          <w:tcPr>
            <w:tcW w:w="720" w:type="dxa"/>
            <w:vAlign w:val="bottom"/>
          </w:tcPr>
          <w:p>
            <w:pPr>
              <w:jc w:val="right"/>
              <w:spacing w:after="0"/>
              <w:rPr>
                <w:sz w:val="20"/>
                <w:szCs w:val="20"/>
                <w:color w:val="auto"/>
              </w:rPr>
            </w:pPr>
            <w:r>
              <w:rPr>
                <w:rFonts w:ascii="Arial" w:cs="Arial" w:eastAsia="Arial" w:hAnsi="Arial"/>
                <w:sz w:val="14"/>
                <w:szCs w:val="14"/>
                <w:color w:val="auto"/>
              </w:rPr>
              <w:t>541</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900" w:type="dxa"/>
            <w:vAlign w:val="bottom"/>
            <w:gridSpan w:val="4"/>
          </w:tcPr>
          <w:p>
            <w:pPr>
              <w:jc w:val="right"/>
              <w:ind w:right="20"/>
              <w:spacing w:after="0"/>
              <w:rPr>
                <w:sz w:val="20"/>
                <w:szCs w:val="20"/>
                <w:color w:val="auto"/>
              </w:rPr>
            </w:pPr>
            <w:r>
              <w:rPr>
                <w:rFonts w:ascii="Arial" w:cs="Arial" w:eastAsia="Arial" w:hAnsi="Arial"/>
                <w:sz w:val="14"/>
                <w:szCs w:val="14"/>
                <w:color w:val="auto"/>
              </w:rPr>
              <w:t>(10)</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40" w:type="dxa"/>
            <w:vAlign w:val="bottom"/>
            <w:gridSpan w:val="3"/>
          </w:tcPr>
          <w:p>
            <w:pPr>
              <w:jc w:val="right"/>
              <w:spacing w:after="0"/>
              <w:rPr>
                <w:sz w:val="20"/>
                <w:szCs w:val="20"/>
                <w:color w:val="auto"/>
              </w:rPr>
            </w:pPr>
            <w:r>
              <w:rPr>
                <w:rFonts w:ascii="Arial" w:cs="Arial" w:eastAsia="Arial" w:hAnsi="Arial"/>
                <w:sz w:val="14"/>
                <w:szCs w:val="14"/>
                <w:color w:val="auto"/>
              </w:rPr>
              <w:t>10</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r>
      <w:tr>
        <w:trPr>
          <w:trHeight w:val="143"/>
        </w:trPr>
        <w:tc>
          <w:tcPr>
            <w:tcW w:w="20" w:type="dxa"/>
            <w:vAlign w:val="bottom"/>
            <w:shd w:val="clear" w:color="auto" w:fill="CCEEFF"/>
          </w:tcPr>
          <w:p>
            <w:pPr>
              <w:spacing w:after="0"/>
              <w:rPr>
                <w:sz w:val="12"/>
                <w:szCs w:val="12"/>
                <w:color w:val="auto"/>
              </w:rPr>
            </w:pPr>
          </w:p>
        </w:tc>
        <w:tc>
          <w:tcPr>
            <w:tcW w:w="2620" w:type="dxa"/>
            <w:vAlign w:val="bottom"/>
            <w:gridSpan w:val="2"/>
            <w:shd w:val="clear" w:color="auto" w:fill="CCEEFF"/>
          </w:tcPr>
          <w:p>
            <w:pPr>
              <w:ind w:left="200"/>
              <w:spacing w:after="0" w:line="143" w:lineRule="exact"/>
              <w:rPr>
                <w:sz w:val="20"/>
                <w:szCs w:val="20"/>
                <w:color w:val="auto"/>
              </w:rPr>
            </w:pPr>
            <w:r>
              <w:rPr>
                <w:rFonts w:ascii="Arial" w:cs="Arial" w:eastAsia="Arial" w:hAnsi="Arial"/>
                <w:sz w:val="14"/>
                <w:szCs w:val="14"/>
                <w:color w:val="auto"/>
              </w:rPr>
              <w:t>Cash dividends common stock at</w:t>
            </w: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81"/>
        </w:trPr>
        <w:tc>
          <w:tcPr>
            <w:tcW w:w="20" w:type="dxa"/>
            <w:vAlign w:val="bottom"/>
            <w:shd w:val="clear" w:color="auto" w:fill="CCEEFF"/>
          </w:tcPr>
          <w:p>
            <w:pPr>
              <w:spacing w:after="0"/>
              <w:rPr>
                <w:sz w:val="15"/>
                <w:szCs w:val="15"/>
                <w:color w:val="auto"/>
              </w:rPr>
            </w:pPr>
          </w:p>
        </w:tc>
        <w:tc>
          <w:tcPr>
            <w:tcW w:w="26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$0.22 per share</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(12,055)</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(12,055)</w:t>
            </w:r>
          </w:p>
        </w:tc>
        <w:tc>
          <w:tcPr>
            <w:tcW w:w="20" w:type="dxa"/>
            <w:vAlign w:val="bottom"/>
          </w:tcPr>
          <w:p>
            <w:pPr>
              <w:spacing w:after="0"/>
              <w:rPr>
                <w:sz w:val="15"/>
                <w:szCs w:val="15"/>
                <w:color w:val="auto"/>
              </w:rPr>
            </w:pPr>
          </w:p>
        </w:tc>
      </w:tr>
      <w:tr>
        <w:trPr>
          <w:trHeight w:val="143"/>
        </w:trPr>
        <w:tc>
          <w:tcPr>
            <w:tcW w:w="20" w:type="dxa"/>
            <w:vAlign w:val="bottom"/>
          </w:tcPr>
          <w:p>
            <w:pPr>
              <w:spacing w:after="0"/>
              <w:rPr>
                <w:sz w:val="12"/>
                <w:szCs w:val="12"/>
                <w:color w:val="auto"/>
              </w:rPr>
            </w:pPr>
          </w:p>
        </w:tc>
        <w:tc>
          <w:tcPr>
            <w:tcW w:w="2620" w:type="dxa"/>
            <w:vAlign w:val="bottom"/>
            <w:gridSpan w:val="2"/>
          </w:tcPr>
          <w:p>
            <w:pPr>
              <w:ind w:left="200"/>
              <w:spacing w:after="0" w:line="143" w:lineRule="exact"/>
              <w:rPr>
                <w:sz w:val="20"/>
                <w:szCs w:val="20"/>
                <w:color w:val="auto"/>
              </w:rPr>
            </w:pPr>
            <w:r>
              <w:rPr>
                <w:rFonts w:ascii="Arial" w:cs="Arial" w:eastAsia="Arial" w:hAnsi="Arial"/>
                <w:sz w:val="14"/>
                <w:szCs w:val="14"/>
                <w:color w:val="auto"/>
              </w:rPr>
              <w:t>Stock dividend equivalents restricted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81"/>
        </w:trPr>
        <w:tc>
          <w:tcPr>
            <w:tcW w:w="20" w:type="dxa"/>
            <w:vAlign w:val="bottom"/>
          </w:tcPr>
          <w:p>
            <w:pPr>
              <w:spacing w:after="0"/>
              <w:rPr>
                <w:sz w:val="15"/>
                <w:szCs w:val="15"/>
                <w:color w:val="auto"/>
              </w:rPr>
            </w:pPr>
          </w:p>
        </w:tc>
        <w:tc>
          <w:tcPr>
            <w:tcW w:w="2620" w:type="dxa"/>
            <w:vAlign w:val="bottom"/>
            <w:gridSpan w:val="2"/>
          </w:tcPr>
          <w:p>
            <w:pPr>
              <w:ind w:left="200"/>
              <w:spacing w:after="0"/>
              <w:rPr>
                <w:sz w:val="20"/>
                <w:szCs w:val="20"/>
                <w:color w:val="auto"/>
              </w:rPr>
            </w:pPr>
            <w:r>
              <w:rPr>
                <w:rFonts w:ascii="Arial" w:cs="Arial" w:eastAsia="Arial" w:hAnsi="Arial"/>
                <w:sz w:val="14"/>
                <w:szCs w:val="14"/>
                <w:color w:val="auto"/>
              </w:rPr>
              <w:t>stock units at $0.22 per share</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80" w:type="dxa"/>
            <w:vAlign w:val="bottom"/>
            <w:gridSpan w:val="3"/>
          </w:tcPr>
          <w:p>
            <w:pPr>
              <w:jc w:val="right"/>
              <w:spacing w:after="0"/>
              <w:rPr>
                <w:sz w:val="20"/>
                <w:szCs w:val="20"/>
                <w:color w:val="auto"/>
              </w:rPr>
            </w:pPr>
            <w:r>
              <w:rPr>
                <w:rFonts w:ascii="Arial" w:cs="Arial" w:eastAsia="Arial" w:hAnsi="Arial"/>
                <w:sz w:val="14"/>
                <w:szCs w:val="14"/>
                <w:color w:val="auto"/>
              </w:rPr>
              <w:t>173</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(173)</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r>
      <w:tr>
        <w:trPr>
          <w:trHeight w:val="162"/>
        </w:trPr>
        <w:tc>
          <w:tcPr>
            <w:tcW w:w="20" w:type="dxa"/>
            <w:vAlign w:val="bottom"/>
            <w:shd w:val="clear" w:color="auto" w:fill="CCEEFF"/>
          </w:tcPr>
          <w:p>
            <w:pPr>
              <w:spacing w:after="0"/>
              <w:rPr>
                <w:sz w:val="14"/>
                <w:szCs w:val="14"/>
                <w:color w:val="auto"/>
              </w:rPr>
            </w:pPr>
          </w:p>
        </w:tc>
        <w:tc>
          <w:tcPr>
            <w:tcW w:w="26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Stock-based compensation</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1,139</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1,139</w:t>
            </w:r>
          </w:p>
        </w:tc>
        <w:tc>
          <w:tcPr>
            <w:tcW w:w="20" w:type="dxa"/>
            <w:vAlign w:val="bottom"/>
          </w:tcPr>
          <w:p>
            <w:pPr>
              <w:spacing w:after="0"/>
              <w:rPr>
                <w:sz w:val="14"/>
                <w:szCs w:val="14"/>
                <w:color w:val="auto"/>
              </w:rPr>
            </w:pPr>
          </w:p>
        </w:tc>
      </w:tr>
      <w:tr>
        <w:trPr>
          <w:trHeight w:val="156"/>
        </w:trPr>
        <w:tc>
          <w:tcPr>
            <w:tcW w:w="2620" w:type="dxa"/>
            <w:vAlign w:val="bottom"/>
            <w:gridSpan w:val="2"/>
          </w:tcPr>
          <w:p>
            <w:pPr>
              <w:ind w:left="20"/>
              <w:spacing w:after="0" w:line="155" w:lineRule="exact"/>
              <w:rPr>
                <w:sz w:val="20"/>
                <w:szCs w:val="20"/>
                <w:color w:val="auto"/>
              </w:rPr>
            </w:pPr>
            <w:r>
              <w:rPr>
                <w:rFonts w:ascii="Arial" w:cs="Arial" w:eastAsia="Arial" w:hAnsi="Arial"/>
                <w:sz w:val="14"/>
                <w:szCs w:val="14"/>
                <w:color w:val="auto"/>
              </w:rPr>
              <w:t>Balance, March 31, 2020</w:t>
            </w:r>
          </w:p>
        </w:tc>
        <w:tc>
          <w:tcPr>
            <w:tcW w:w="2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1"/>
              </w:rPr>
              <w:t>54,401,208</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56</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w w:val="94"/>
              </w:rPr>
              <w:t>$ 1,249,301</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Borders>
              <w:top w:val="single" w:sz="8" w:color="auto"/>
              <w:bottom w:val="single" w:sz="8" w:color="auto"/>
            </w:tcBorders>
            <w:gridSpan w:val="2"/>
          </w:tcPr>
          <w:p>
            <w:pPr>
              <w:spacing w:after="0" w:line="155"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(27,599)</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bottom w:val="single" w:sz="8" w:color="auto"/>
            </w:tcBorders>
            <w:gridSpan w:val="2"/>
          </w:tcPr>
          <w:p>
            <w:pPr>
              <w:ind w:left="20"/>
              <w:spacing w:after="0" w:line="155"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33,101</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w w:val="93"/>
              </w:rPr>
              <w:t>$ (37,274)</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bottom w:val="single" w:sz="8" w:color="auto"/>
            </w:tcBorders>
            <w:gridSpan w:val="2"/>
          </w:tcPr>
          <w:p>
            <w:pPr>
              <w:jc w:val="right"/>
              <w:ind w:right="15"/>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1,217,585</w:t>
            </w:r>
          </w:p>
        </w:tc>
        <w:tc>
          <w:tcPr>
            <w:tcW w:w="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(Unaudited)</w:t>
      </w:r>
    </w:p>
    <w:p>
      <w:pPr>
        <w:jc w:val="center"/>
        <w:spacing w:after="0"/>
        <w:rPr>
          <w:sz w:val="20"/>
          <w:szCs w:val="20"/>
          <w:color w:val="auto"/>
        </w:rPr>
      </w:pPr>
      <w:r>
        <w:rPr>
          <w:rFonts w:ascii="Arial" w:cs="Arial" w:eastAsia="Arial" w:hAnsi="Arial"/>
          <w:sz w:val="18"/>
          <w:szCs w:val="18"/>
          <w:i w:val="1"/>
          <w:iCs w:val="1"/>
          <w:color w:val="auto"/>
        </w:rPr>
        <w:t>(dollars in thousands)</w:t>
      </w:r>
    </w:p>
    <w:p>
      <w:pPr>
        <w:spacing w:after="0" w:line="197"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4"/>
          </w:tcPr>
          <w:p>
            <w:pPr>
              <w:jc w:val="right"/>
              <w:ind w:right="313"/>
              <w:spacing w:after="0"/>
              <w:rPr>
                <w:sz w:val="20"/>
                <w:szCs w:val="20"/>
                <w:color w:val="auto"/>
              </w:rPr>
            </w:pPr>
            <w:r>
              <w:rPr>
                <w:rFonts w:ascii="Arial" w:cs="Arial" w:eastAsia="Arial" w:hAnsi="Arial"/>
                <w:sz w:val="13"/>
                <w:szCs w:val="13"/>
                <w:b w:val="1"/>
                <w:bCs w:val="1"/>
                <w:color w:val="auto"/>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40" w:type="dxa"/>
            <w:vAlign w:val="bottom"/>
            <w:tcBorders>
              <w:bottom w:val="single" w:sz="8" w:color="CCEEFF"/>
            </w:tcBorders>
          </w:tcPr>
          <w:p>
            <w:pPr>
              <w:spacing w:after="0"/>
              <w:rPr>
                <w:sz w:val="12"/>
                <w:szCs w:val="12"/>
                <w:color w:val="auto"/>
              </w:rPr>
            </w:pPr>
          </w:p>
        </w:tc>
        <w:tc>
          <w:tcPr>
            <w:tcW w:w="4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93"/>
              <w:spacing w:after="0" w:line="142" w:lineRule="exact"/>
              <w:rPr>
                <w:sz w:val="20"/>
                <w:szCs w:val="20"/>
                <w:color w:val="auto"/>
              </w:rPr>
            </w:pPr>
            <w:r>
              <w:rPr>
                <w:rFonts w:ascii="Arial" w:cs="Arial" w:eastAsia="Arial" w:hAnsi="Arial"/>
                <w:sz w:val="13"/>
                <w:szCs w:val="13"/>
                <w:b w:val="1"/>
                <w:bCs w:val="1"/>
                <w:color w:val="auto"/>
              </w:rPr>
              <w:t>2021</w:t>
            </w:r>
          </w:p>
        </w:tc>
        <w:tc>
          <w:tcPr>
            <w:tcW w:w="2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93"/>
              <w:spacing w:after="0" w:line="142" w:lineRule="exact"/>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40" w:type="dxa"/>
            <w:vAlign w:val="bottom"/>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Cash Flows Provided by (Used in) Operating Activities</w:t>
            </w: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40" w:type="dxa"/>
            <w:vAlign w:val="bottom"/>
          </w:tcPr>
          <w:p>
            <w:pPr>
              <w:ind w:left="200"/>
              <w:spacing w:after="0"/>
              <w:rPr>
                <w:sz w:val="20"/>
                <w:szCs w:val="20"/>
                <w:color w:val="auto"/>
              </w:rPr>
            </w:pPr>
            <w:r>
              <w:rPr>
                <w:rFonts w:ascii="Arial" w:cs="Arial" w:eastAsia="Arial" w:hAnsi="Arial"/>
                <w:sz w:val="13"/>
                <w:szCs w:val="13"/>
                <w:color w:val="auto"/>
              </w:rPr>
              <w:t>Net income</w:t>
            </w:r>
          </w:p>
        </w:tc>
        <w:tc>
          <w:tcPr>
            <w:tcW w:w="680" w:type="dxa"/>
            <w:vAlign w:val="bottom"/>
            <w:gridSpan w:val="2"/>
          </w:tcPr>
          <w:p>
            <w:pPr>
              <w:jc w:val="right"/>
              <w:ind w:right="89"/>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37,816</w:t>
            </w:r>
          </w:p>
        </w:tc>
        <w:tc>
          <w:tcPr>
            <w:tcW w:w="440" w:type="dxa"/>
            <w:vAlign w:val="bottom"/>
            <w:gridSpan w:val="2"/>
          </w:tcPr>
          <w:p>
            <w:pPr>
              <w:jc w:val="right"/>
              <w:ind w:right="129"/>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15,364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Adjustments to reconcile net income to net cash provided by (used in) operating activities:</w:t>
            </w: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40" w:type="dxa"/>
            <w:vAlign w:val="bottom"/>
          </w:tcPr>
          <w:p>
            <w:pPr>
              <w:ind w:left="300"/>
              <w:spacing w:after="0"/>
              <w:rPr>
                <w:sz w:val="20"/>
                <w:szCs w:val="20"/>
                <w:color w:val="auto"/>
              </w:rPr>
            </w:pPr>
            <w:r>
              <w:rPr>
                <w:rFonts w:ascii="Arial" w:cs="Arial" w:eastAsia="Arial" w:hAnsi="Arial"/>
                <w:sz w:val="13"/>
                <w:szCs w:val="13"/>
                <w:color w:val="auto"/>
              </w:rPr>
              <w:t>Provision for credit losses</w:t>
            </w: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(6,796)</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17,216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40" w:type="dxa"/>
            <w:vAlign w:val="bottom"/>
            <w:shd w:val="clear" w:color="auto" w:fill="CCEEFF"/>
          </w:tcPr>
          <w:p>
            <w:pPr>
              <w:ind w:left="300"/>
              <w:spacing w:after="0"/>
              <w:rPr>
                <w:sz w:val="20"/>
                <w:szCs w:val="20"/>
                <w:color w:val="auto"/>
              </w:rPr>
            </w:pPr>
            <w:r>
              <w:rPr>
                <w:rFonts w:ascii="Arial" w:cs="Arial" w:eastAsia="Arial" w:hAnsi="Arial"/>
                <w:sz w:val="13"/>
                <w:szCs w:val="13"/>
                <w:color w:val="auto"/>
              </w:rPr>
              <w:t>Amortization of intangible assets</w:t>
            </w: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2,401</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2,557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40" w:type="dxa"/>
            <w:vAlign w:val="bottom"/>
          </w:tcPr>
          <w:p>
            <w:pPr>
              <w:ind w:left="300"/>
              <w:spacing w:after="0"/>
              <w:rPr>
                <w:sz w:val="20"/>
                <w:szCs w:val="20"/>
                <w:color w:val="auto"/>
              </w:rPr>
            </w:pPr>
            <w:r>
              <w:rPr>
                <w:rFonts w:ascii="Arial" w:cs="Arial" w:eastAsia="Arial" w:hAnsi="Arial"/>
                <w:sz w:val="13"/>
                <w:szCs w:val="13"/>
                <w:color w:val="auto"/>
              </w:rPr>
              <w:t>Amortization of mortgage servicing rights</w:t>
            </w: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1,616</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1,276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shd w:val="clear" w:color="auto" w:fill="CCEEFF"/>
          </w:tcPr>
          <w:p>
            <w:pPr>
              <w:ind w:left="300"/>
              <w:spacing w:after="0"/>
              <w:rPr>
                <w:sz w:val="20"/>
                <w:szCs w:val="20"/>
                <w:color w:val="auto"/>
              </w:rPr>
            </w:pPr>
            <w:r>
              <w:rPr>
                <w:rFonts w:ascii="Arial" w:cs="Arial" w:eastAsia="Arial" w:hAnsi="Arial"/>
                <w:sz w:val="13"/>
                <w:szCs w:val="13"/>
                <w:color w:val="auto"/>
              </w:rPr>
              <w:t>Depreciation and amortization of premises and equipment</w:t>
            </w: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2,808</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3,165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40" w:type="dxa"/>
            <w:vAlign w:val="bottom"/>
          </w:tcPr>
          <w:p>
            <w:pPr>
              <w:ind w:left="300"/>
              <w:spacing w:after="0"/>
              <w:rPr>
                <w:sz w:val="20"/>
                <w:szCs w:val="20"/>
                <w:color w:val="auto"/>
              </w:rPr>
            </w:pPr>
            <w:r>
              <w:rPr>
                <w:rFonts w:ascii="Arial" w:cs="Arial" w:eastAsia="Arial" w:hAnsi="Arial"/>
                <w:sz w:val="13"/>
                <w:szCs w:val="13"/>
                <w:color w:val="auto"/>
              </w:rPr>
              <w:t>Net amortization (accretion) of premium (discount) on portfolio loans</w:t>
            </w: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(1,947)</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(2,487)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40" w:type="dxa"/>
            <w:vAlign w:val="bottom"/>
            <w:shd w:val="clear" w:color="auto" w:fill="CCEEFF"/>
          </w:tcPr>
          <w:p>
            <w:pPr>
              <w:ind w:left="300"/>
              <w:spacing w:after="0"/>
              <w:rPr>
                <w:sz w:val="20"/>
                <w:szCs w:val="20"/>
                <w:color w:val="auto"/>
              </w:rPr>
            </w:pPr>
            <w:r>
              <w:rPr>
                <w:rFonts w:ascii="Arial" w:cs="Arial" w:eastAsia="Arial" w:hAnsi="Arial"/>
                <w:sz w:val="13"/>
                <w:szCs w:val="13"/>
                <w:color w:val="auto"/>
              </w:rPr>
              <w:t>Net amortization (accretion) of premium (discount) on investment securities</w:t>
            </w: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4,554</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1,869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40" w:type="dxa"/>
            <w:vAlign w:val="bottom"/>
          </w:tcPr>
          <w:p>
            <w:pPr>
              <w:ind w:left="300"/>
              <w:spacing w:after="0"/>
              <w:rPr>
                <w:sz w:val="20"/>
                <w:szCs w:val="20"/>
                <w:color w:val="auto"/>
              </w:rPr>
            </w:pPr>
            <w:r>
              <w:rPr>
                <w:rFonts w:ascii="Arial" w:cs="Arial" w:eastAsia="Arial" w:hAnsi="Arial"/>
                <w:sz w:val="13"/>
                <w:szCs w:val="13"/>
                <w:color w:val="auto"/>
              </w:rPr>
              <w:t>Net amortization (accretion) of premium (discount) on time deposits</w:t>
            </w: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(246)</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(374)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40" w:type="dxa"/>
            <w:vAlign w:val="bottom"/>
            <w:shd w:val="clear" w:color="auto" w:fill="CCEEFF"/>
          </w:tcPr>
          <w:p>
            <w:pPr>
              <w:ind w:left="300"/>
              <w:spacing w:after="0"/>
              <w:rPr>
                <w:sz w:val="20"/>
                <w:szCs w:val="20"/>
                <w:color w:val="auto"/>
              </w:rPr>
            </w:pPr>
            <w:r>
              <w:rPr>
                <w:rFonts w:ascii="Arial" w:cs="Arial" w:eastAsia="Arial" w:hAnsi="Arial"/>
                <w:sz w:val="13"/>
                <w:szCs w:val="13"/>
                <w:color w:val="auto"/>
              </w:rPr>
              <w:t>Net amortization (accretion) of premium (discount) on FHLB advances and other borrowings</w:t>
            </w: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214</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tcPr>
          <w:p>
            <w:pPr>
              <w:ind w:left="300"/>
              <w:spacing w:after="0"/>
              <w:rPr>
                <w:sz w:val="20"/>
                <w:szCs w:val="20"/>
                <w:color w:val="auto"/>
              </w:rPr>
            </w:pPr>
            <w:r>
              <w:rPr>
                <w:rFonts w:ascii="Arial" w:cs="Arial" w:eastAsia="Arial" w:hAnsi="Arial"/>
                <w:sz w:val="13"/>
                <w:szCs w:val="13"/>
                <w:color w:val="auto"/>
              </w:rPr>
              <w:t>Impairment of mortgage servicing rights</w:t>
            </w: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(508)</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177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40" w:type="dxa"/>
            <w:vAlign w:val="bottom"/>
            <w:shd w:val="clear" w:color="auto" w:fill="CCEEFF"/>
          </w:tcPr>
          <w:p>
            <w:pPr>
              <w:ind w:left="300"/>
              <w:spacing w:after="0"/>
              <w:rPr>
                <w:sz w:val="20"/>
                <w:szCs w:val="20"/>
                <w:color w:val="auto"/>
              </w:rPr>
            </w:pPr>
            <w:r>
              <w:rPr>
                <w:rFonts w:ascii="Arial" w:cs="Arial" w:eastAsia="Arial" w:hAnsi="Arial"/>
                <w:sz w:val="13"/>
                <w:szCs w:val="13"/>
                <w:color w:val="auto"/>
              </w:rPr>
              <w:t>Change in fair value of equity securities, net</w:t>
            </w: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(1,616)</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40" w:type="dxa"/>
            <w:vAlign w:val="bottom"/>
          </w:tcPr>
          <w:p>
            <w:pPr>
              <w:ind w:left="300"/>
              <w:spacing w:after="0"/>
              <w:rPr>
                <w:sz w:val="20"/>
                <w:szCs w:val="20"/>
                <w:color w:val="auto"/>
              </w:rPr>
            </w:pPr>
            <w:r>
              <w:rPr>
                <w:rFonts w:ascii="Arial" w:cs="Arial" w:eastAsia="Arial" w:hAnsi="Arial"/>
                <w:sz w:val="13"/>
                <w:szCs w:val="13"/>
                <w:color w:val="auto"/>
              </w:rPr>
              <w:t>(Gain) loss on sales of equity securities, net</w:t>
            </w: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40" w:type="dxa"/>
            <w:vAlign w:val="bottom"/>
            <w:shd w:val="clear" w:color="auto" w:fill="CCEEFF"/>
          </w:tcPr>
          <w:p>
            <w:pPr>
              <w:ind w:left="300"/>
              <w:spacing w:after="0"/>
              <w:rPr>
                <w:sz w:val="20"/>
                <w:szCs w:val="20"/>
                <w:color w:val="auto"/>
              </w:rPr>
            </w:pPr>
            <w:r>
              <w:rPr>
                <w:rFonts w:ascii="Arial" w:cs="Arial" w:eastAsia="Arial" w:hAnsi="Arial"/>
                <w:sz w:val="13"/>
                <w:szCs w:val="13"/>
                <w:color w:val="auto"/>
              </w:rPr>
              <w:t>(Gain) loss on sales of debt securities, net</w:t>
            </w: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(1,556)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40" w:type="dxa"/>
            <w:vAlign w:val="bottom"/>
          </w:tcPr>
          <w:p>
            <w:pPr>
              <w:ind w:left="300"/>
              <w:spacing w:after="0"/>
              <w:rPr>
                <w:sz w:val="20"/>
                <w:szCs w:val="20"/>
                <w:color w:val="auto"/>
              </w:rPr>
            </w:pPr>
            <w:r>
              <w:rPr>
                <w:rFonts w:ascii="Arial" w:cs="Arial" w:eastAsia="Arial" w:hAnsi="Arial"/>
                <w:sz w:val="13"/>
                <w:szCs w:val="13"/>
                <w:color w:val="auto"/>
              </w:rPr>
              <w:t>(Gain) loss on sales of loans, net</w:t>
            </w: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(3,369)</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(3,900)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shd w:val="clear" w:color="auto" w:fill="CCEEFF"/>
          </w:tcPr>
          <w:p>
            <w:pPr>
              <w:ind w:left="300"/>
              <w:spacing w:after="0"/>
              <w:rPr>
                <w:sz w:val="20"/>
                <w:szCs w:val="20"/>
                <w:color w:val="auto"/>
              </w:rPr>
            </w:pPr>
            <w:r>
              <w:rPr>
                <w:rFonts w:ascii="Arial" w:cs="Arial" w:eastAsia="Arial" w:hAnsi="Arial"/>
                <w:sz w:val="13"/>
                <w:szCs w:val="13"/>
                <w:color w:val="auto"/>
              </w:rPr>
              <w:t>(Gain) loss on sales of OREO</w:t>
            </w: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40" w:type="dxa"/>
            <w:vAlign w:val="bottom"/>
          </w:tcPr>
          <w:p>
            <w:pPr>
              <w:ind w:left="300"/>
              <w:spacing w:after="0"/>
              <w:rPr>
                <w:sz w:val="20"/>
                <w:szCs w:val="20"/>
                <w:color w:val="auto"/>
              </w:rPr>
            </w:pPr>
            <w:r>
              <w:rPr>
                <w:rFonts w:ascii="Arial" w:cs="Arial" w:eastAsia="Arial" w:hAnsi="Arial"/>
                <w:sz w:val="13"/>
                <w:szCs w:val="13"/>
                <w:color w:val="auto"/>
              </w:rPr>
              <w:t>(Gain) loss on sales of premises and equipment</w:t>
            </w: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(134)</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40" w:type="dxa"/>
            <w:vAlign w:val="bottom"/>
            <w:shd w:val="clear" w:color="auto" w:fill="CCEEFF"/>
          </w:tcPr>
          <w:p>
            <w:pPr>
              <w:ind w:left="300"/>
              <w:spacing w:after="0"/>
              <w:rPr>
                <w:sz w:val="20"/>
                <w:szCs w:val="20"/>
                <w:color w:val="auto"/>
              </w:rPr>
            </w:pPr>
            <w:r>
              <w:rPr>
                <w:rFonts w:ascii="Arial" w:cs="Arial" w:eastAsia="Arial" w:hAnsi="Arial"/>
                <w:sz w:val="13"/>
                <w:szCs w:val="13"/>
                <w:color w:val="auto"/>
              </w:rPr>
              <w:t>(Gain) loss on life insurance proceeds</w:t>
            </w: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40" w:type="dxa"/>
            <w:vAlign w:val="bottom"/>
          </w:tcPr>
          <w:p>
            <w:pPr>
              <w:ind w:left="300"/>
              <w:spacing w:after="0"/>
              <w:rPr>
                <w:sz w:val="20"/>
                <w:szCs w:val="20"/>
                <w:color w:val="auto"/>
              </w:rPr>
            </w:pPr>
            <w:r>
              <w:rPr>
                <w:rFonts w:ascii="Arial" w:cs="Arial" w:eastAsia="Arial" w:hAnsi="Arial"/>
                <w:sz w:val="13"/>
                <w:szCs w:val="13"/>
                <w:color w:val="auto"/>
              </w:rPr>
              <w:t>Provision for deferred income taxes</w:t>
            </w: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2,448</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1,722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40" w:type="dxa"/>
            <w:vAlign w:val="bottom"/>
            <w:shd w:val="clear" w:color="auto" w:fill="CCEEFF"/>
          </w:tcPr>
          <w:p>
            <w:pPr>
              <w:ind w:left="300"/>
              <w:spacing w:after="0"/>
              <w:rPr>
                <w:sz w:val="20"/>
                <w:szCs w:val="20"/>
                <w:color w:val="auto"/>
              </w:rPr>
            </w:pPr>
            <w:r>
              <w:rPr>
                <w:rFonts w:ascii="Arial" w:cs="Arial" w:eastAsia="Arial" w:hAnsi="Arial"/>
                <w:sz w:val="13"/>
                <w:szCs w:val="13"/>
                <w:color w:val="auto"/>
              </w:rPr>
              <w:t>Stock-based and non-cash compensation</w:t>
            </w: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1,448</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40" w:type="dxa"/>
            <w:vAlign w:val="bottom"/>
          </w:tcPr>
          <w:p>
            <w:pPr>
              <w:ind w:left="300"/>
              <w:spacing w:after="0"/>
              <w:rPr>
                <w:sz w:val="20"/>
                <w:szCs w:val="20"/>
                <w:color w:val="auto"/>
              </w:rPr>
            </w:pPr>
            <w:r>
              <w:rPr>
                <w:rFonts w:ascii="Arial" w:cs="Arial" w:eastAsia="Arial" w:hAnsi="Arial"/>
                <w:sz w:val="13"/>
                <w:szCs w:val="13"/>
                <w:color w:val="auto"/>
              </w:rPr>
              <w:t>(Increase) decrease in cash surrender value of bank owned life insurance</w:t>
            </w: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(964)</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(1,043)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shd w:val="clear" w:color="auto" w:fill="CCEEFF"/>
          </w:tcPr>
          <w:p>
            <w:pPr>
              <w:ind w:left="300"/>
              <w:spacing w:after="0"/>
              <w:rPr>
                <w:sz w:val="20"/>
                <w:szCs w:val="20"/>
                <w:color w:val="auto"/>
              </w:rPr>
            </w:pPr>
            <w:r>
              <w:rPr>
                <w:rFonts w:ascii="Arial" w:cs="Arial" w:eastAsia="Arial" w:hAnsi="Arial"/>
                <w:sz w:val="13"/>
                <w:szCs w:val="13"/>
                <w:color w:val="auto"/>
              </w:rPr>
              <w:t>Mortgage loans originated for sale</w:t>
            </w: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(91,479)</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(182,203)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40" w:type="dxa"/>
            <w:vAlign w:val="bottom"/>
          </w:tcPr>
          <w:p>
            <w:pPr>
              <w:ind w:left="300"/>
              <w:spacing w:after="0"/>
              <w:rPr>
                <w:sz w:val="20"/>
                <w:szCs w:val="20"/>
                <w:color w:val="auto"/>
              </w:rPr>
            </w:pPr>
            <w:r>
              <w:rPr>
                <w:rFonts w:ascii="Arial" w:cs="Arial" w:eastAsia="Arial" w:hAnsi="Arial"/>
                <w:sz w:val="13"/>
                <w:szCs w:val="13"/>
                <w:color w:val="auto"/>
              </w:rPr>
              <w:t>Proceeds from sales of mortgage loans</w:t>
            </w: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98,307</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165,008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40" w:type="dxa"/>
            <w:vAlign w:val="bottom"/>
            <w:shd w:val="clear" w:color="auto" w:fill="CCEEFF"/>
          </w:tcPr>
          <w:p>
            <w:pPr>
              <w:ind w:left="300"/>
              <w:spacing w:after="0"/>
              <w:rPr>
                <w:sz w:val="20"/>
                <w:szCs w:val="20"/>
                <w:color w:val="auto"/>
              </w:rPr>
            </w:pPr>
            <w:r>
              <w:rPr>
                <w:rFonts w:ascii="Arial" w:cs="Arial" w:eastAsia="Arial" w:hAnsi="Arial"/>
                <w:sz w:val="13"/>
                <w:szCs w:val="13"/>
                <w:color w:val="auto"/>
              </w:rPr>
              <w:t>Net change in operating assets and liabilities:</w:t>
            </w: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40" w:type="dxa"/>
            <w:vAlign w:val="bottom"/>
          </w:tcPr>
          <w:p>
            <w:pPr>
              <w:ind w:left="400"/>
              <w:spacing w:after="0"/>
              <w:rPr>
                <w:sz w:val="20"/>
                <w:szCs w:val="20"/>
                <w:color w:val="auto"/>
              </w:rPr>
            </w:pPr>
            <w:r>
              <w:rPr>
                <w:rFonts w:ascii="Arial" w:cs="Arial" w:eastAsia="Arial" w:hAnsi="Arial"/>
                <w:sz w:val="13"/>
                <w:szCs w:val="13"/>
                <w:color w:val="auto"/>
              </w:rPr>
              <w:t>(Increase) decrease in other assets</w:t>
            </w: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260</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991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40" w:type="dxa"/>
            <w:vAlign w:val="bottom"/>
            <w:shd w:val="clear" w:color="auto" w:fill="CCEEFF"/>
          </w:tcPr>
          <w:p>
            <w:pPr>
              <w:ind w:left="400"/>
              <w:spacing w:after="0"/>
              <w:rPr>
                <w:sz w:val="20"/>
                <w:szCs w:val="20"/>
                <w:color w:val="auto"/>
              </w:rPr>
            </w:pPr>
            <w:r>
              <w:rPr>
                <w:rFonts w:ascii="Arial" w:cs="Arial" w:eastAsia="Arial" w:hAnsi="Arial"/>
                <w:sz w:val="13"/>
                <w:szCs w:val="13"/>
                <w:color w:val="auto"/>
              </w:rPr>
              <w:t>Increase (decrease) in other liabilities</w:t>
            </w:r>
          </w:p>
        </w:tc>
        <w:tc>
          <w:tcPr>
            <w:tcW w:w="48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750</w:t>
            </w:r>
          </w:p>
        </w:tc>
        <w:tc>
          <w:tcPr>
            <w:tcW w:w="20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(1,194)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40" w:type="dxa"/>
            <w:vAlign w:val="bottom"/>
            <w:tcBorders>
              <w:bottom w:val="single" w:sz="8" w:color="CCEEFF"/>
            </w:tcBorders>
          </w:tcPr>
          <w:p>
            <w:pPr>
              <w:ind w:left="620"/>
              <w:spacing w:after="0" w:line="142" w:lineRule="exact"/>
              <w:rPr>
                <w:sz w:val="20"/>
                <w:szCs w:val="20"/>
                <w:color w:val="auto"/>
              </w:rPr>
            </w:pPr>
            <w:r>
              <w:rPr>
                <w:rFonts w:ascii="Arial" w:cs="Arial" w:eastAsia="Arial" w:hAnsi="Arial"/>
                <w:sz w:val="13"/>
                <w:szCs w:val="13"/>
                <w:color w:val="auto"/>
              </w:rPr>
              <w:t>Net cash provided by (used in) operating activities</w:t>
            </w:r>
          </w:p>
        </w:tc>
        <w:tc>
          <w:tcPr>
            <w:tcW w:w="4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45,537</w:t>
            </w:r>
          </w:p>
        </w:tc>
        <w:tc>
          <w:tcPr>
            <w:tcW w:w="2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18,813</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8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840" w:type="dxa"/>
            <w:vAlign w:val="bottom"/>
          </w:tcPr>
          <w:p>
            <w:pPr>
              <w:spacing w:after="0"/>
              <w:rPr>
                <w:sz w:val="20"/>
                <w:szCs w:val="20"/>
                <w:color w:val="auto"/>
              </w:rPr>
            </w:pPr>
            <w:r>
              <w:rPr>
                <w:rFonts w:ascii="Arial" w:cs="Arial" w:eastAsia="Arial" w:hAnsi="Arial"/>
                <w:sz w:val="13"/>
                <w:szCs w:val="13"/>
                <w:b w:val="1"/>
                <w:bCs w:val="1"/>
                <w:color w:val="auto"/>
              </w:rPr>
              <w:t>Cash Flows Provided by (Used in) Investing Activities</w:t>
            </w: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40" w:type="dxa"/>
            <w:vAlign w:val="bottom"/>
            <w:shd w:val="clear" w:color="auto" w:fill="CCEEFF"/>
          </w:tcPr>
          <w:p>
            <w:pPr>
              <w:ind w:left="300"/>
              <w:spacing w:after="0"/>
              <w:rPr>
                <w:sz w:val="20"/>
                <w:szCs w:val="20"/>
                <w:color w:val="auto"/>
              </w:rPr>
            </w:pPr>
            <w:r>
              <w:rPr>
                <w:rFonts w:ascii="Arial" w:cs="Arial" w:eastAsia="Arial" w:hAnsi="Arial"/>
                <w:sz w:val="13"/>
                <w:szCs w:val="13"/>
                <w:color w:val="auto"/>
              </w:rPr>
              <w:t>Purchases of equity securities</w:t>
            </w: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(998)</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40" w:type="dxa"/>
            <w:vAlign w:val="bottom"/>
          </w:tcPr>
          <w:p>
            <w:pPr>
              <w:ind w:left="300"/>
              <w:spacing w:after="0"/>
              <w:rPr>
                <w:sz w:val="20"/>
                <w:szCs w:val="20"/>
                <w:color w:val="auto"/>
              </w:rPr>
            </w:pPr>
            <w:r>
              <w:rPr>
                <w:rFonts w:ascii="Arial" w:cs="Arial" w:eastAsia="Arial" w:hAnsi="Arial"/>
                <w:sz w:val="13"/>
                <w:szCs w:val="13"/>
                <w:color w:val="auto"/>
              </w:rPr>
              <w:t>Purchases of debt securities available for sale</w:t>
            </w: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(789,884)</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(273,992)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shd w:val="clear" w:color="auto" w:fill="CCEEFF"/>
          </w:tcPr>
          <w:p>
            <w:pPr>
              <w:ind w:left="300"/>
              <w:spacing w:after="0"/>
              <w:rPr>
                <w:sz w:val="20"/>
                <w:szCs w:val="20"/>
                <w:color w:val="auto"/>
              </w:rPr>
            </w:pPr>
            <w:r>
              <w:rPr>
                <w:rFonts w:ascii="Arial" w:cs="Arial" w:eastAsia="Arial" w:hAnsi="Arial"/>
                <w:sz w:val="13"/>
                <w:szCs w:val="13"/>
                <w:color w:val="auto"/>
              </w:rPr>
              <w:t>Proceeds from sales of equity securities</w:t>
            </w: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998</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40" w:type="dxa"/>
            <w:vAlign w:val="bottom"/>
          </w:tcPr>
          <w:p>
            <w:pPr>
              <w:ind w:left="300"/>
              <w:spacing w:after="0"/>
              <w:rPr>
                <w:sz w:val="20"/>
                <w:szCs w:val="20"/>
                <w:color w:val="auto"/>
              </w:rPr>
            </w:pPr>
            <w:r>
              <w:rPr>
                <w:rFonts w:ascii="Arial" w:cs="Arial" w:eastAsia="Arial" w:hAnsi="Arial"/>
                <w:sz w:val="13"/>
                <w:szCs w:val="13"/>
                <w:color w:val="auto"/>
              </w:rPr>
              <w:t>Proceeds from paydowns and maturities of debt securities available for sale</w:t>
            </w: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207,490</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158,536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shd w:val="clear" w:color="auto" w:fill="CCEEFF"/>
          </w:tcPr>
          <w:p>
            <w:pPr>
              <w:ind w:left="300"/>
              <w:spacing w:after="0"/>
              <w:rPr>
                <w:sz w:val="20"/>
                <w:szCs w:val="20"/>
                <w:color w:val="auto"/>
              </w:rPr>
            </w:pPr>
            <w:r>
              <w:rPr>
                <w:rFonts w:ascii="Arial" w:cs="Arial" w:eastAsia="Arial" w:hAnsi="Arial"/>
                <w:sz w:val="13"/>
                <w:szCs w:val="13"/>
                <w:color w:val="auto"/>
              </w:rPr>
              <w:t>Net (increase) decrease in loans</w:t>
            </w: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36,501</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(64,338)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40" w:type="dxa"/>
            <w:vAlign w:val="bottom"/>
          </w:tcPr>
          <w:p>
            <w:pPr>
              <w:ind w:left="300"/>
              <w:spacing w:after="0"/>
              <w:rPr>
                <w:sz w:val="20"/>
                <w:szCs w:val="20"/>
                <w:color w:val="auto"/>
              </w:rPr>
            </w:pPr>
            <w:r>
              <w:rPr>
                <w:rFonts w:ascii="Arial" w:cs="Arial" w:eastAsia="Arial" w:hAnsi="Arial"/>
                <w:sz w:val="13"/>
                <w:szCs w:val="13"/>
                <w:color w:val="auto"/>
              </w:rPr>
              <w:t>Cash paid for premiums on bank-owned life insurance</w:t>
            </w: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(97)</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(111)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40" w:type="dxa"/>
            <w:vAlign w:val="bottom"/>
            <w:shd w:val="clear" w:color="auto" w:fill="CCEEFF"/>
          </w:tcPr>
          <w:p>
            <w:pPr>
              <w:ind w:left="300"/>
              <w:spacing w:after="0"/>
              <w:rPr>
                <w:sz w:val="20"/>
                <w:szCs w:val="20"/>
                <w:color w:val="auto"/>
              </w:rPr>
            </w:pPr>
            <w:r>
              <w:rPr>
                <w:rFonts w:ascii="Arial" w:cs="Arial" w:eastAsia="Arial" w:hAnsi="Arial"/>
                <w:sz w:val="13"/>
                <w:szCs w:val="13"/>
                <w:color w:val="auto"/>
              </w:rPr>
              <w:t>Purchases of premises and equipment</w:t>
            </w: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(1,911)</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tcPr>
          <w:p>
            <w:pPr>
              <w:ind w:left="300"/>
              <w:spacing w:after="0"/>
              <w:rPr>
                <w:sz w:val="20"/>
                <w:szCs w:val="20"/>
                <w:color w:val="auto"/>
              </w:rPr>
            </w:pPr>
            <w:r>
              <w:rPr>
                <w:rFonts w:ascii="Arial" w:cs="Arial" w:eastAsia="Arial" w:hAnsi="Arial"/>
                <w:sz w:val="13"/>
                <w:szCs w:val="13"/>
                <w:color w:val="auto"/>
              </w:rPr>
              <w:t>Proceeds from life insurance</w:t>
            </w: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274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40" w:type="dxa"/>
            <w:vAlign w:val="bottom"/>
            <w:shd w:val="clear" w:color="auto" w:fill="CCEEFF"/>
          </w:tcPr>
          <w:p>
            <w:pPr>
              <w:ind w:left="300"/>
              <w:spacing w:after="0"/>
              <w:rPr>
                <w:sz w:val="20"/>
                <w:szCs w:val="20"/>
                <w:color w:val="auto"/>
              </w:rPr>
            </w:pPr>
            <w:r>
              <w:rPr>
                <w:rFonts w:ascii="Arial" w:cs="Arial" w:eastAsia="Arial" w:hAnsi="Arial"/>
                <w:sz w:val="13"/>
                <w:szCs w:val="13"/>
                <w:color w:val="auto"/>
              </w:rPr>
              <w:t>Proceeds from disposition of premises and equipment</w:t>
            </w: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1,759</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40" w:type="dxa"/>
            <w:vAlign w:val="bottom"/>
            <w:tcBorders>
              <w:bottom w:val="single" w:sz="8" w:color="CCEEFF"/>
            </w:tcBorders>
          </w:tcPr>
          <w:p>
            <w:pPr>
              <w:ind w:left="300"/>
              <w:spacing w:after="0"/>
              <w:rPr>
                <w:sz w:val="20"/>
                <w:szCs w:val="20"/>
                <w:color w:val="auto"/>
              </w:rPr>
            </w:pPr>
            <w:r>
              <w:rPr>
                <w:rFonts w:ascii="Arial" w:cs="Arial" w:eastAsia="Arial" w:hAnsi="Arial"/>
                <w:sz w:val="13"/>
                <w:szCs w:val="13"/>
                <w:color w:val="auto"/>
              </w:rPr>
              <w:t>Proceeds from sales of OREO</w:t>
            </w:r>
          </w:p>
        </w:tc>
        <w:tc>
          <w:tcPr>
            <w:tcW w:w="4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294</w:t>
            </w:r>
          </w:p>
        </w:tc>
        <w:tc>
          <w:tcPr>
            <w:tcW w:w="2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40" w:type="dxa"/>
            <w:vAlign w:val="bottom"/>
            <w:shd w:val="clear" w:color="auto" w:fill="CCEEFF"/>
          </w:tcPr>
          <w:p>
            <w:pPr>
              <w:ind w:left="620"/>
              <w:spacing w:after="0" w:line="142" w:lineRule="exact"/>
              <w:rPr>
                <w:sz w:val="20"/>
                <w:szCs w:val="20"/>
                <w:color w:val="auto"/>
              </w:rPr>
            </w:pPr>
            <w:r>
              <w:rPr>
                <w:rFonts w:ascii="Arial" w:cs="Arial" w:eastAsia="Arial" w:hAnsi="Arial"/>
                <w:sz w:val="13"/>
                <w:szCs w:val="13"/>
                <w:color w:val="auto"/>
              </w:rPr>
              <w:t>Net cash provided by (used in) investing activities</w:t>
            </w:r>
          </w:p>
        </w:tc>
        <w:tc>
          <w:tcPr>
            <w:tcW w:w="48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(545,848)</w:t>
            </w:r>
          </w:p>
        </w:tc>
        <w:tc>
          <w:tcPr>
            <w:tcW w:w="20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(181,228)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(Unaudited) (Continued)</w:t>
      </w:r>
    </w:p>
    <w:p>
      <w:pPr>
        <w:jc w:val="center"/>
        <w:spacing w:after="0"/>
        <w:rPr>
          <w:sz w:val="20"/>
          <w:szCs w:val="20"/>
          <w:color w:val="auto"/>
        </w:rPr>
      </w:pPr>
      <w:r>
        <w:rPr>
          <w:rFonts w:ascii="Arial" w:cs="Arial" w:eastAsia="Arial" w:hAnsi="Arial"/>
          <w:sz w:val="18"/>
          <w:szCs w:val="18"/>
          <w:i w:val="1"/>
          <w:iCs w:val="1"/>
          <w:color w:val="auto"/>
        </w:rPr>
        <w:t>(dollars in thousands)</w:t>
      </w:r>
    </w:p>
    <w:p>
      <w:pPr>
        <w:spacing w:after="0" w:line="197"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4"/>
          </w:tcPr>
          <w:p>
            <w:pPr>
              <w:jc w:val="right"/>
              <w:ind w:right="313"/>
              <w:spacing w:after="0"/>
              <w:rPr>
                <w:sz w:val="20"/>
                <w:szCs w:val="20"/>
                <w:color w:val="auto"/>
              </w:rPr>
            </w:pPr>
            <w:r>
              <w:rPr>
                <w:rFonts w:ascii="Arial" w:cs="Arial" w:eastAsia="Arial" w:hAnsi="Arial"/>
                <w:sz w:val="13"/>
                <w:szCs w:val="13"/>
                <w:b w:val="1"/>
                <w:bCs w:val="1"/>
                <w:color w:val="auto"/>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80" w:type="dxa"/>
            <w:vAlign w:val="bottom"/>
            <w:tcBorders>
              <w:bottom w:val="single" w:sz="8" w:color="CCEEFF"/>
            </w:tcBorders>
          </w:tcPr>
          <w:p>
            <w:pPr>
              <w:spacing w:after="0"/>
              <w:rPr>
                <w:sz w:val="12"/>
                <w:szCs w:val="12"/>
                <w:color w:val="auto"/>
              </w:rPr>
            </w:pPr>
          </w:p>
        </w:tc>
        <w:tc>
          <w:tcPr>
            <w:tcW w:w="6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93"/>
              <w:spacing w:after="0" w:line="142" w:lineRule="exact"/>
              <w:rPr>
                <w:sz w:val="20"/>
                <w:szCs w:val="20"/>
                <w:color w:val="auto"/>
              </w:rPr>
            </w:pPr>
            <w:r>
              <w:rPr>
                <w:rFonts w:ascii="Arial" w:cs="Arial" w:eastAsia="Arial" w:hAnsi="Arial"/>
                <w:sz w:val="13"/>
                <w:szCs w:val="13"/>
                <w:b w:val="1"/>
                <w:bCs w:val="1"/>
                <w:color w:val="auto"/>
              </w:rPr>
              <w:t>2021</w:t>
            </w:r>
          </w:p>
        </w:tc>
        <w:tc>
          <w:tcPr>
            <w:tcW w:w="2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93"/>
              <w:spacing w:after="0" w:line="142" w:lineRule="exact"/>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80" w:type="dxa"/>
            <w:vAlign w:val="bottom"/>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Cash Flows Provided by (Used in) Financing Activities</w:t>
            </w: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tcPr>
          <w:p>
            <w:pPr>
              <w:ind w:left="200"/>
              <w:spacing w:after="0"/>
              <w:rPr>
                <w:sz w:val="20"/>
                <w:szCs w:val="20"/>
                <w:color w:val="auto"/>
              </w:rPr>
            </w:pPr>
            <w:r>
              <w:rPr>
                <w:rFonts w:ascii="Arial" w:cs="Arial" w:eastAsia="Arial" w:hAnsi="Arial"/>
                <w:sz w:val="13"/>
                <w:szCs w:val="13"/>
                <w:color w:val="auto"/>
              </w:rPr>
              <w:t>Net increase (decrease) in deposits</w:t>
            </w:r>
          </w:p>
        </w:tc>
        <w:tc>
          <w:tcPr>
            <w:tcW w:w="840" w:type="dxa"/>
            <w:vAlign w:val="bottom"/>
            <w:gridSpan w:val="2"/>
          </w:tcPr>
          <w:p>
            <w:pPr>
              <w:jc w:val="right"/>
              <w:ind w:right="89"/>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196,244</w:t>
            </w:r>
          </w:p>
        </w:tc>
        <w:tc>
          <w:tcPr>
            <w:tcW w:w="440" w:type="dxa"/>
            <w:vAlign w:val="bottom"/>
            <w:gridSpan w:val="2"/>
          </w:tcPr>
          <w:p>
            <w:pPr>
              <w:jc w:val="right"/>
              <w:ind w:right="129"/>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71,211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Net change in federal funds purchased and securities sold under agreements to repurchase</w:t>
            </w: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34,518</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(38,241)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80" w:type="dxa"/>
            <w:vAlign w:val="bottom"/>
          </w:tcPr>
          <w:p>
            <w:pPr>
              <w:ind w:left="200"/>
              <w:spacing w:after="0"/>
              <w:rPr>
                <w:sz w:val="20"/>
                <w:szCs w:val="20"/>
                <w:color w:val="auto"/>
              </w:rPr>
            </w:pPr>
            <w:r>
              <w:rPr>
                <w:rFonts w:ascii="Arial" w:cs="Arial" w:eastAsia="Arial" w:hAnsi="Arial"/>
                <w:sz w:val="13"/>
                <w:szCs w:val="13"/>
                <w:color w:val="auto"/>
              </w:rPr>
              <w:t>Proceeds from other borrowings</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20,000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Repayment of other borrowings</w:t>
            </w: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(54,000)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80" w:type="dxa"/>
            <w:vAlign w:val="bottom"/>
          </w:tcPr>
          <w:p>
            <w:pPr>
              <w:ind w:left="200"/>
              <w:spacing w:after="0"/>
              <w:rPr>
                <w:sz w:val="20"/>
                <w:szCs w:val="20"/>
                <w:color w:val="auto"/>
              </w:rPr>
            </w:pPr>
            <w:r>
              <w:rPr>
                <w:rFonts w:ascii="Arial" w:cs="Arial" w:eastAsia="Arial" w:hAnsi="Arial"/>
                <w:sz w:val="13"/>
                <w:szCs w:val="13"/>
                <w:color w:val="auto"/>
              </w:rPr>
              <w:t>Repayment of FHLB advances</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(163)</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(1,193)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Cash dividends paid</w:t>
            </w: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(12,513)</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tcPr>
          <w:p>
            <w:pPr>
              <w:ind w:left="200"/>
              <w:spacing w:after="0"/>
              <w:rPr>
                <w:sz w:val="20"/>
                <w:szCs w:val="20"/>
                <w:color w:val="auto"/>
              </w:rPr>
            </w:pPr>
            <w:r>
              <w:rPr>
                <w:rFonts w:ascii="Arial" w:cs="Arial" w:eastAsia="Arial" w:hAnsi="Arial"/>
                <w:sz w:val="13"/>
                <w:szCs w:val="13"/>
                <w:color w:val="auto"/>
              </w:rPr>
              <w:t>Purchase of treasury stock</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(1,510)</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(9,672)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Cash paid for withholding taxes on stock-based payments</w:t>
            </w:r>
          </w:p>
        </w:tc>
        <w:tc>
          <w:tcPr>
            <w:tcW w:w="64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80" w:type="dxa"/>
            <w:vAlign w:val="bottom"/>
            <w:tcBorders>
              <w:bottom w:val="single" w:sz="8" w:color="CCEEFF"/>
            </w:tcBorders>
          </w:tcPr>
          <w:p>
            <w:pPr>
              <w:ind w:left="620"/>
              <w:spacing w:after="0" w:line="142" w:lineRule="exact"/>
              <w:rPr>
                <w:sz w:val="20"/>
                <w:szCs w:val="20"/>
                <w:color w:val="auto"/>
              </w:rPr>
            </w:pPr>
            <w:r>
              <w:rPr>
                <w:rFonts w:ascii="Arial" w:cs="Arial" w:eastAsia="Arial" w:hAnsi="Arial"/>
                <w:sz w:val="13"/>
                <w:szCs w:val="13"/>
                <w:color w:val="auto"/>
              </w:rPr>
              <w:t>Net cash provided by (used in) financing activities</w:t>
            </w:r>
          </w:p>
        </w:tc>
        <w:tc>
          <w:tcPr>
            <w:tcW w:w="6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216,576</w:t>
            </w:r>
          </w:p>
        </w:tc>
        <w:tc>
          <w:tcPr>
            <w:tcW w:w="2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(24,025)</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6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5680" w:type="dxa"/>
            <w:vAlign w:val="bottom"/>
          </w:tcPr>
          <w:p>
            <w:pPr>
              <w:spacing w:after="0"/>
              <w:rPr>
                <w:sz w:val="20"/>
                <w:szCs w:val="20"/>
                <w:color w:val="auto"/>
              </w:rPr>
            </w:pPr>
            <w:r>
              <w:rPr>
                <w:rFonts w:ascii="Arial" w:cs="Arial" w:eastAsia="Arial" w:hAnsi="Arial"/>
                <w:sz w:val="13"/>
                <w:szCs w:val="13"/>
                <w:b w:val="1"/>
                <w:bCs w:val="1"/>
                <w:color w:val="auto"/>
              </w:rPr>
              <w:t>Net increase (decrease) in cash and cash equivalents</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(283,735)</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(186,440)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Cash and cash equivalents, beginning of period</w:t>
            </w:r>
          </w:p>
        </w:tc>
        <w:tc>
          <w:tcPr>
            <w:tcW w:w="64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688,537</w:t>
            </w:r>
          </w:p>
        </w:tc>
        <w:tc>
          <w:tcPr>
            <w:tcW w:w="20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529,288</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Cash and cash equivalents, ending of period</w:t>
            </w:r>
          </w:p>
        </w:tc>
        <w:tc>
          <w:tcPr>
            <w:tcW w:w="840" w:type="dxa"/>
            <w:vAlign w:val="bottom"/>
            <w:gridSpan w:val="2"/>
            <w:shd w:val="clear" w:color="auto" w:fill="CCEEFF"/>
          </w:tcPr>
          <w:p>
            <w:pPr>
              <w:jc w:val="right"/>
              <w:ind w:right="89"/>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404,802</w:t>
            </w:r>
          </w:p>
        </w:tc>
        <w:tc>
          <w:tcPr>
            <w:tcW w:w="440" w:type="dxa"/>
            <w:vAlign w:val="bottom"/>
            <w:gridSpan w:val="2"/>
            <w:shd w:val="clear" w:color="auto" w:fill="CCEEFF"/>
          </w:tcPr>
          <w:p>
            <w:pPr>
              <w:jc w:val="right"/>
              <w:ind w:right="129"/>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342,848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5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SUPPLEMENTAL DISCLOSURES OF CASH FLOW INFORMATION</w:t>
            </w: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Cash Payments for:</w:t>
            </w: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80" w:type="dxa"/>
            <w:vAlign w:val="bottom"/>
          </w:tcPr>
          <w:p>
            <w:pPr>
              <w:ind w:left="200"/>
              <w:spacing w:after="0"/>
              <w:rPr>
                <w:sz w:val="20"/>
                <w:szCs w:val="20"/>
                <w:color w:val="auto"/>
              </w:rPr>
            </w:pPr>
            <w:r>
              <w:rPr>
                <w:rFonts w:ascii="Arial" w:cs="Arial" w:eastAsia="Arial" w:hAnsi="Arial"/>
                <w:sz w:val="13"/>
                <w:szCs w:val="13"/>
                <w:color w:val="auto"/>
              </w:rPr>
              <w:t>Interest</w:t>
            </w:r>
          </w:p>
        </w:tc>
        <w:tc>
          <w:tcPr>
            <w:tcW w:w="840" w:type="dxa"/>
            <w:vAlign w:val="bottom"/>
            <w:gridSpan w:val="2"/>
          </w:tcPr>
          <w:p>
            <w:pPr>
              <w:jc w:val="right"/>
              <w:ind w:right="89"/>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1,767</w:t>
            </w:r>
          </w:p>
        </w:tc>
        <w:tc>
          <w:tcPr>
            <w:tcW w:w="440" w:type="dxa"/>
            <w:vAlign w:val="bottom"/>
            <w:gridSpan w:val="2"/>
          </w:tcPr>
          <w:p>
            <w:pPr>
              <w:jc w:val="right"/>
              <w:ind w:right="129"/>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14,391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Income taxes</w:t>
            </w: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5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Non-cash Investing and Financing Activities:</w:t>
            </w: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680" w:type="dxa"/>
            <w:vAlign w:val="bottom"/>
          </w:tcPr>
          <w:p>
            <w:pPr>
              <w:ind w:left="200"/>
              <w:spacing w:after="0"/>
              <w:rPr>
                <w:sz w:val="20"/>
                <w:szCs w:val="20"/>
                <w:color w:val="auto"/>
              </w:rPr>
            </w:pPr>
            <w:r>
              <w:rPr>
                <w:rFonts w:ascii="Arial" w:cs="Arial" w:eastAsia="Arial" w:hAnsi="Arial"/>
                <w:sz w:val="13"/>
                <w:szCs w:val="13"/>
                <w:color w:val="auto"/>
              </w:rPr>
              <w:t>OREO acquired in settlement of loans</w:t>
            </w: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14</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578</w:t>
            </w:r>
          </w:p>
        </w:tc>
        <w:tc>
          <w:tcPr>
            <w:tcW w:w="0" w:type="dxa"/>
            <w:vAlign w:val="bottom"/>
          </w:tcPr>
          <w:p>
            <w:pPr>
              <w:spacing w:after="0"/>
              <w:rPr>
                <w:sz w:val="1"/>
                <w:szCs w:val="1"/>
                <w:color w:val="auto"/>
              </w:rPr>
            </w:pPr>
          </w:p>
        </w:tc>
      </w:tr>
    </w:tbl>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 Significant Accounting Policies</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Nature of Operations</w:t>
      </w:r>
    </w:p>
    <w:p>
      <w:pPr>
        <w:spacing w:after="0" w:line="198" w:lineRule="exact"/>
        <w:rPr>
          <w:sz w:val="20"/>
          <w:szCs w:val="20"/>
          <w:color w:val="auto"/>
        </w:rPr>
      </w:pPr>
    </w:p>
    <w:p>
      <w:pPr>
        <w:ind w:left="60" w:right="99"/>
        <w:spacing w:after="0" w:line="248" w:lineRule="auto"/>
        <w:rPr>
          <w:sz w:val="20"/>
          <w:szCs w:val="20"/>
          <w:color w:val="auto"/>
        </w:rPr>
      </w:pPr>
      <w:r>
        <w:rPr>
          <w:rFonts w:ascii="Arial" w:cs="Arial" w:eastAsia="Arial" w:hAnsi="Arial"/>
          <w:sz w:val="18"/>
          <w:szCs w:val="18"/>
          <w:color w:val="auto"/>
        </w:rPr>
        <w:t>First Busey Corporation, a Nevada corporation organized in 1980, is a $10.8 billion financial holding company headquartered in Champaign, Illinois. Our common stock is traded on The Nasdaq Global Select Market under the symbol “BUSE.”</w:t>
      </w:r>
    </w:p>
    <w:p>
      <w:pPr>
        <w:spacing w:after="0" w:line="168" w:lineRule="exact"/>
        <w:rPr>
          <w:sz w:val="20"/>
          <w:szCs w:val="20"/>
          <w:color w:val="auto"/>
        </w:rPr>
      </w:pPr>
    </w:p>
    <w:p>
      <w:pPr>
        <w:ind w:left="60" w:right="259"/>
        <w:spacing w:after="0" w:line="238" w:lineRule="auto"/>
        <w:rPr>
          <w:sz w:val="20"/>
          <w:szCs w:val="20"/>
          <w:color w:val="auto"/>
        </w:rPr>
      </w:pPr>
      <w:r>
        <w:rPr>
          <w:rFonts w:ascii="Arial" w:cs="Arial" w:eastAsia="Arial" w:hAnsi="Arial"/>
          <w:sz w:val="18"/>
          <w:szCs w:val="18"/>
          <w:color w:val="auto"/>
        </w:rPr>
        <w:t>The Company operates and reports its business in three segments: Banking, Remittance Processing, and Wealth Management. The Banking operating segment provides a full range of banking services to individual and corporate customers through the Company’s wholly-owned bank subsidiary, Busey Bank, with banking centers in Illinois; the St. Louis, Missouri metropolitan area; southwest Florida; and Indianapolis, Indiana. The Remittance Processing operating segment provides solutions for online bill payments, lockbox, and walk-in payments through the Company’s subsidiary, FirsTech. The Wealth Management operating segment provides a full range of asset management, investment, and fiduciary services to individuals, businesses and foundations, tax preparation, philanthropic advisory services, farms, and brokerage services.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Basis of Financial Statement Presentation</w:t>
      </w:r>
    </w:p>
    <w:p>
      <w:pPr>
        <w:spacing w:after="0" w:line="198" w:lineRule="exact"/>
        <w:rPr>
          <w:sz w:val="20"/>
          <w:szCs w:val="20"/>
          <w:color w:val="auto"/>
        </w:rPr>
      </w:pPr>
    </w:p>
    <w:p>
      <w:pPr>
        <w:ind w:left="60" w:right="119"/>
        <w:spacing w:after="0" w:line="243" w:lineRule="auto"/>
        <w:rPr>
          <w:sz w:val="20"/>
          <w:szCs w:val="20"/>
          <w:color w:val="auto"/>
        </w:rPr>
      </w:pPr>
      <w:r>
        <w:rPr>
          <w:rFonts w:ascii="Arial" w:cs="Arial" w:eastAsia="Arial" w:hAnsi="Arial"/>
          <w:sz w:val="18"/>
          <w:szCs w:val="18"/>
          <w:color w:val="auto"/>
        </w:rPr>
        <w:t>These unaudited consolidated financial statements and related notes should be read in conjunction with the audited consolidated financial statements included in our 2020 Annual Report. These interim unaudited consolidated financial statements serve to update our 2020 Annual Report and may not include all information and notes necessary to constitute a complete set of financial statements.</w:t>
      </w:r>
    </w:p>
    <w:p>
      <w:pPr>
        <w:spacing w:after="0" w:line="174" w:lineRule="exact"/>
        <w:rPr>
          <w:sz w:val="20"/>
          <w:szCs w:val="20"/>
          <w:color w:val="auto"/>
        </w:rPr>
      </w:pPr>
    </w:p>
    <w:p>
      <w:pPr>
        <w:ind w:left="60" w:right="359"/>
        <w:spacing w:after="0" w:line="243" w:lineRule="auto"/>
        <w:rPr>
          <w:sz w:val="20"/>
          <w:szCs w:val="20"/>
          <w:color w:val="auto"/>
        </w:rPr>
      </w:pPr>
      <w:r>
        <w:rPr>
          <w:rFonts w:ascii="Arial" w:cs="Arial" w:eastAsia="Arial" w:hAnsi="Arial"/>
          <w:sz w:val="18"/>
          <w:szCs w:val="18"/>
          <w:color w:val="auto"/>
        </w:rPr>
        <w:t>We prepared these unaudited consolidated financial statements in conformity with GAAP. We have eliminated intercompany accounts and transactions. We have also reclassified certain prior year amounts to conform to the current period presentation. These reclassifications did not have a material impact on our consolidated financial condition or results of operations.</w:t>
      </w:r>
    </w:p>
    <w:p>
      <w:pPr>
        <w:spacing w:after="0" w:line="174" w:lineRule="exact"/>
        <w:rPr>
          <w:sz w:val="20"/>
          <w:szCs w:val="20"/>
          <w:color w:val="auto"/>
        </w:rPr>
      </w:pPr>
    </w:p>
    <w:p>
      <w:pPr>
        <w:jc w:val="both"/>
        <w:ind w:left="60" w:right="199"/>
        <w:spacing w:after="0" w:line="248" w:lineRule="auto"/>
        <w:rPr>
          <w:sz w:val="20"/>
          <w:szCs w:val="20"/>
          <w:color w:val="auto"/>
        </w:rPr>
      </w:pPr>
      <w:r>
        <w:rPr>
          <w:rFonts w:ascii="Arial" w:cs="Arial" w:eastAsia="Arial" w:hAnsi="Arial"/>
          <w:sz w:val="18"/>
          <w:szCs w:val="18"/>
          <w:color w:val="auto"/>
        </w:rPr>
        <w:t>In our opinion, the unaudited consolidated financial statements reflect all normal, recurring adjustments needed to present fairly our results for the interim periods. The results of operations for interim periods are not necessarily indicative of the results that may be expected for the full year or any other interim period.</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COVID-19</w:t>
      </w:r>
    </w:p>
    <w:p>
      <w:pPr>
        <w:spacing w:after="0" w:line="198" w:lineRule="exact"/>
        <w:rPr>
          <w:sz w:val="20"/>
          <w:szCs w:val="20"/>
          <w:color w:val="auto"/>
        </w:rPr>
      </w:pPr>
    </w:p>
    <w:p>
      <w:pPr>
        <w:ind w:left="60" w:right="119"/>
        <w:spacing w:after="0" w:line="294" w:lineRule="auto"/>
        <w:rPr>
          <w:sz w:val="20"/>
          <w:szCs w:val="20"/>
          <w:color w:val="auto"/>
        </w:rPr>
      </w:pPr>
      <w:r>
        <w:rPr>
          <w:rFonts w:ascii="Arial" w:cs="Arial" w:eastAsia="Arial" w:hAnsi="Arial"/>
          <w:sz w:val="16"/>
          <w:szCs w:val="16"/>
          <w:color w:val="auto"/>
        </w:rPr>
        <w:t>First Busey continues to operate as an essential community resource during these challenging and unprecedented times. Federal bank regulatory agencies, along with their state counterparts, have issued a steady stream of guidance responding to the COVID-19 pandemic and have taken a number of steps to help banks navigate the pandemic and mitigate its impact.</w:t>
      </w:r>
    </w:p>
    <w:p>
      <w:pPr>
        <w:spacing w:after="0" w:line="134" w:lineRule="exact"/>
        <w:rPr>
          <w:sz w:val="20"/>
          <w:szCs w:val="20"/>
          <w:color w:val="auto"/>
        </w:rPr>
      </w:pPr>
    </w:p>
    <w:p>
      <w:pPr>
        <w:ind w:left="60" w:right="539"/>
        <w:spacing w:after="0" w:line="261" w:lineRule="auto"/>
        <w:rPr>
          <w:sz w:val="20"/>
          <w:szCs w:val="20"/>
          <w:color w:val="auto"/>
        </w:rPr>
      </w:pPr>
      <w:r>
        <w:rPr>
          <w:rFonts w:ascii="Arial" w:cs="Arial" w:eastAsia="Arial" w:hAnsi="Arial"/>
          <w:sz w:val="18"/>
          <w:szCs w:val="18"/>
          <w:color w:val="auto"/>
        </w:rPr>
        <w:t>The Company remains vigilant, given that negative impacts of COVID-19, such as further margin compression and a deterioration in asset quality, could impact future quarters.</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7"/>
          <w:szCs w:val="17"/>
          <w:color w:val="auto"/>
        </w:rPr>
        <w:t>As part of the CARES Act, Congress appropriated approximately $349 billion for the creation of the PPP and then</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6"/>
          <w:szCs w:val="16"/>
          <w:color w:val="auto"/>
        </w:rPr>
        <w:t>authorized a second phase for an additional $310 billion in PPP loans. The program provided payroll assistance for the</w:t>
      </w:r>
    </w:p>
    <w:p>
      <w:pPr>
        <w:spacing w:after="0" w:line="19" w:lineRule="exact"/>
        <w:rPr>
          <w:sz w:val="20"/>
          <w:szCs w:val="20"/>
          <w:color w:val="auto"/>
        </w:rPr>
      </w:pPr>
    </w:p>
    <w:p>
      <w:pPr>
        <w:ind w:left="60"/>
        <w:spacing w:after="0"/>
        <w:rPr>
          <w:sz w:val="20"/>
          <w:szCs w:val="20"/>
          <w:color w:val="auto"/>
        </w:rPr>
      </w:pPr>
      <w:r>
        <w:rPr>
          <w:rFonts w:ascii="Arial" w:cs="Arial" w:eastAsia="Arial" w:hAnsi="Arial"/>
          <w:sz w:val="17"/>
          <w:szCs w:val="17"/>
          <w:color w:val="auto"/>
        </w:rPr>
        <w:t>nation’s nearly 30 million small businesses—and select nonprofits—in the form of 100% government-guaranteed low-</w:t>
      </w:r>
    </w:p>
    <w:p>
      <w:pPr>
        <w:spacing w:after="0" w:line="7" w:lineRule="exact"/>
        <w:rPr>
          <w:sz w:val="20"/>
          <w:szCs w:val="20"/>
          <w:color w:val="auto"/>
        </w:rPr>
      </w:pPr>
    </w:p>
    <w:p>
      <w:pPr>
        <w:ind w:left="60"/>
        <w:spacing w:after="0"/>
        <w:rPr>
          <w:sz w:val="20"/>
          <w:szCs w:val="20"/>
          <w:color w:val="auto"/>
        </w:rPr>
      </w:pPr>
      <w:r>
        <w:rPr>
          <w:rFonts w:ascii="Arial" w:cs="Arial" w:eastAsia="Arial" w:hAnsi="Arial"/>
          <w:sz w:val="16"/>
          <w:szCs w:val="16"/>
          <w:color w:val="auto"/>
        </w:rPr>
        <w:t>interest loans from the SBA. First Busey served as a bridge for the program, actively helping existing and new business</w:t>
      </w:r>
    </w:p>
    <w:p>
      <w:pPr>
        <w:spacing w:after="0" w:line="19" w:lineRule="exact"/>
        <w:rPr>
          <w:sz w:val="20"/>
          <w:szCs w:val="20"/>
          <w:color w:val="auto"/>
        </w:rPr>
      </w:pPr>
    </w:p>
    <w:p>
      <w:pPr>
        <w:ind w:left="60"/>
        <w:spacing w:after="0"/>
        <w:rPr>
          <w:sz w:val="20"/>
          <w:szCs w:val="20"/>
          <w:color w:val="auto"/>
        </w:rPr>
      </w:pPr>
      <w:r>
        <w:rPr>
          <w:rFonts w:ascii="Arial" w:cs="Arial" w:eastAsia="Arial" w:hAnsi="Arial"/>
          <w:sz w:val="16"/>
          <w:szCs w:val="16"/>
          <w:color w:val="auto"/>
        </w:rPr>
        <w:t>clients sign up for this important financial resource. The Company originated a total of $749.4 million in first round PPP</w:t>
      </w:r>
    </w:p>
    <w:p>
      <w:pPr>
        <w:spacing w:after="0" w:line="19" w:lineRule="exact"/>
        <w:rPr>
          <w:sz w:val="20"/>
          <w:szCs w:val="20"/>
          <w:color w:val="auto"/>
        </w:rPr>
      </w:pPr>
    </w:p>
    <w:p>
      <w:pPr>
        <w:ind w:left="60"/>
        <w:spacing w:after="0"/>
        <w:rPr>
          <w:sz w:val="20"/>
          <w:szCs w:val="20"/>
          <w:color w:val="auto"/>
        </w:rPr>
      </w:pPr>
      <w:r>
        <w:rPr>
          <w:rFonts w:ascii="Arial" w:cs="Arial" w:eastAsia="Arial" w:hAnsi="Arial"/>
          <w:sz w:val="16"/>
          <w:szCs w:val="16"/>
          <w:color w:val="auto"/>
        </w:rPr>
        <w:t>loans representing 4,569 new and existing customers. As of March 31, 2021, the Company had received approximately</w:t>
      </w:r>
    </w:p>
    <w:p>
      <w:pPr>
        <w:spacing w:after="0" w:line="19" w:lineRule="exact"/>
        <w:rPr>
          <w:sz w:val="20"/>
          <w:szCs w:val="20"/>
          <w:color w:val="auto"/>
        </w:rPr>
      </w:pPr>
    </w:p>
    <w:p>
      <w:pPr>
        <w:ind w:left="100"/>
        <w:spacing w:after="0"/>
        <w:rPr>
          <w:sz w:val="20"/>
          <w:szCs w:val="20"/>
          <w:color w:val="auto"/>
        </w:rPr>
      </w:pPr>
      <w:r>
        <w:rPr>
          <w:rFonts w:ascii="Arial" w:cs="Arial" w:eastAsia="Arial" w:hAnsi="Arial"/>
          <w:sz w:val="16"/>
          <w:szCs w:val="16"/>
          <w:color w:val="auto"/>
        </w:rPr>
        <w:t>$478.5 million in loan forgiveness on these loans from the SBA and had submitted forgiveness applications to the SBA for</w:t>
      </w:r>
    </w:p>
    <w:p>
      <w:pPr>
        <w:spacing w:after="0" w:line="19" w:lineRule="exact"/>
        <w:rPr>
          <w:sz w:val="20"/>
          <w:szCs w:val="20"/>
          <w:color w:val="auto"/>
        </w:rPr>
      </w:pPr>
    </w:p>
    <w:p>
      <w:pPr>
        <w:ind w:left="60"/>
        <w:spacing w:after="0"/>
        <w:rPr>
          <w:sz w:val="20"/>
          <w:szCs w:val="20"/>
          <w:color w:val="auto"/>
        </w:rPr>
      </w:pPr>
      <w:r>
        <w:rPr>
          <w:rFonts w:ascii="Arial" w:cs="Arial" w:eastAsia="Arial" w:hAnsi="Arial"/>
          <w:sz w:val="16"/>
          <w:szCs w:val="16"/>
          <w:color w:val="auto"/>
        </w:rPr>
        <w:t>another $131.6 million. Net fee income accretion recognized on these loans in the first quarter of 2021 was $3.3 million.</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8"/>
          <w:szCs w:val="18"/>
          <w:b w:val="1"/>
          <w:bCs w:val="1"/>
          <w:color w:val="auto"/>
        </w:rPr>
        <w:t>FIRST BUSEY CORPORATION</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w:t>
      </w:r>
    </w:p>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5" w:lineRule="exact"/>
        <w:rPr>
          <w:sz w:val="20"/>
          <w:szCs w:val="20"/>
          <w:color w:val="auto"/>
        </w:rPr>
      </w:pPr>
    </w:p>
    <w:p>
      <w:pPr>
        <w:ind w:left="60" w:right="279"/>
        <w:spacing w:after="0"/>
        <w:rPr>
          <w:sz w:val="20"/>
          <w:szCs w:val="20"/>
          <w:color w:val="auto"/>
        </w:rPr>
      </w:pPr>
      <w:r>
        <w:rPr>
          <w:rFonts w:ascii="Arial" w:cs="Arial" w:eastAsia="Arial" w:hAnsi="Arial"/>
          <w:sz w:val="18"/>
          <w:szCs w:val="18"/>
          <w:color w:val="auto"/>
        </w:rPr>
        <w:t>On December 27, 2020, the Economic Aid Act extended the authority to make PPP loans through March 31, 2021, and revised certain PPP requirements. On March 30, 2021, the President signed the PPP Extension Act of 2021, which extended the PPP application deadline to May 31, 2021, or until funding is exhausted. As of March 31, 2021, the Company originated a total of $262.5 million in second round PPP loans representing 2,123 new and existing customers. Net fee income accretion recognized on the loans related to this new round of PPP in the first quarter of 2021 was $0.3 million.</w:t>
      </w:r>
    </w:p>
    <w:p>
      <w:pPr>
        <w:spacing w:after="0" w:line="176" w:lineRule="exact"/>
        <w:rPr>
          <w:sz w:val="20"/>
          <w:szCs w:val="20"/>
          <w:color w:val="auto"/>
        </w:rPr>
      </w:pPr>
    </w:p>
    <w:p>
      <w:pPr>
        <w:ind w:left="60" w:right="619"/>
        <w:spacing w:after="0" w:line="261" w:lineRule="auto"/>
        <w:rPr>
          <w:sz w:val="20"/>
          <w:szCs w:val="20"/>
          <w:color w:val="auto"/>
        </w:rPr>
      </w:pPr>
      <w:r>
        <w:rPr>
          <w:rFonts w:ascii="Arial" w:cs="Arial" w:eastAsia="Arial" w:hAnsi="Arial"/>
          <w:sz w:val="18"/>
          <w:szCs w:val="18"/>
          <w:color w:val="auto"/>
        </w:rPr>
        <w:t>At March 31, 2021, First Busey had $533.4 million in total PPP loans outstanding, with an amortized cost of $522.1 million, representing 3,441 customers.</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98"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In preparing the accompanying unaudited consolidated financial statements in conformity with GAAP, the Company’s management is required to make estimates and assumptions that affect the amounts reported in the financial statements and the disclosures provided. Actual results could differ from those estimates. Material estimates which are particularly susceptible to significant change in the near term relate to the fair value of investment securities available for sale, fair value of assets acquired and liabilities assumed in business combinations, goodwill, income taxes, and the determination of the ACL.</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Subsequent Events</w:t>
      </w:r>
    </w:p>
    <w:p>
      <w:pPr>
        <w:spacing w:after="0" w:line="198" w:lineRule="exact"/>
        <w:rPr>
          <w:sz w:val="20"/>
          <w:szCs w:val="20"/>
          <w:color w:val="auto"/>
        </w:rPr>
      </w:pPr>
    </w:p>
    <w:p>
      <w:pPr>
        <w:ind w:left="60" w:right="239"/>
        <w:spacing w:after="0" w:line="294" w:lineRule="auto"/>
        <w:rPr>
          <w:sz w:val="20"/>
          <w:szCs w:val="20"/>
          <w:color w:val="auto"/>
        </w:rPr>
      </w:pPr>
      <w:r>
        <w:rPr>
          <w:rFonts w:ascii="Arial" w:cs="Arial" w:eastAsia="Arial" w:hAnsi="Arial"/>
          <w:sz w:val="16"/>
          <w:szCs w:val="16"/>
          <w:color w:val="auto"/>
        </w:rPr>
        <w:t>The Company has evaluated subsequent events for potential recognition and/or disclosure through the date the unaudited consolidated financial statements included in this Quarterly Report were issued. There were no significant subsequent events for the quarter ended March 31, 2021, through the filing date of these unaudited consolidated financial statements.</w:t>
      </w:r>
    </w:p>
    <w:p>
      <w:pPr>
        <w:spacing w:after="0" w:line="13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2: Acquisitions</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Cummins-American Corp.</w:t>
      </w:r>
    </w:p>
    <w:p>
      <w:pPr>
        <w:spacing w:after="0" w:line="198" w:lineRule="exact"/>
        <w:rPr>
          <w:sz w:val="20"/>
          <w:szCs w:val="20"/>
          <w:color w:val="auto"/>
        </w:rPr>
      </w:pPr>
    </w:p>
    <w:p>
      <w:pPr>
        <w:ind w:left="60" w:right="159"/>
        <w:spacing w:after="0" w:line="243" w:lineRule="auto"/>
        <w:rPr>
          <w:sz w:val="20"/>
          <w:szCs w:val="20"/>
          <w:color w:val="auto"/>
        </w:rPr>
      </w:pPr>
      <w:r>
        <w:rPr>
          <w:rFonts w:ascii="Arial" w:cs="Arial" w:eastAsia="Arial" w:hAnsi="Arial"/>
          <w:sz w:val="18"/>
          <w:szCs w:val="18"/>
          <w:color w:val="auto"/>
        </w:rPr>
        <w:t>On January 19, 2021, the Company and CAC, the holding company for GSB, jointly announced the signing of a definitive agreement pursuant to which the Company will acquire CAC and GSB through a merger transaction. The partnership will enhance the Company’s existing deposit, commercial banking, and wealth management presence in the Chicago-Naperville-Elgin, IL-IN-WI Metropolitan Statistical Area.</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7"/>
          <w:szCs w:val="17"/>
          <w:color w:val="auto"/>
        </w:rPr>
        <w:t>Under the terms of the merger agreement, CAC’s stockholders will have the right to receive 444.4783 shares of First</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6"/>
          <w:szCs w:val="16"/>
          <w:color w:val="auto"/>
        </w:rPr>
        <w:t>Busey’s common stock and $27,969.67 in cash for each share of common stock of CAC with total consideration to consist</w:t>
      </w:r>
    </w:p>
    <w:p>
      <w:pPr>
        <w:spacing w:after="0" w:line="19" w:lineRule="exact"/>
        <w:rPr>
          <w:sz w:val="20"/>
          <w:szCs w:val="20"/>
          <w:color w:val="auto"/>
        </w:rPr>
      </w:pPr>
    </w:p>
    <w:p>
      <w:pPr>
        <w:ind w:left="60"/>
        <w:spacing w:after="0"/>
        <w:rPr>
          <w:sz w:val="20"/>
          <w:szCs w:val="20"/>
          <w:color w:val="auto"/>
        </w:rPr>
      </w:pPr>
      <w:r>
        <w:rPr>
          <w:rFonts w:ascii="Arial" w:cs="Arial" w:eastAsia="Arial" w:hAnsi="Arial"/>
          <w:sz w:val="17"/>
          <w:szCs w:val="17"/>
          <w:color w:val="auto"/>
        </w:rPr>
        <w:t>of approximately 73% cash and 27% stock. Based upon the closing price of Busey’s common stock of $23.54 on</w:t>
      </w:r>
    </w:p>
    <w:p>
      <w:pPr>
        <w:spacing w:after="0" w:line="7" w:lineRule="exact"/>
        <w:rPr>
          <w:sz w:val="20"/>
          <w:szCs w:val="20"/>
          <w:color w:val="auto"/>
        </w:rPr>
      </w:pPr>
    </w:p>
    <w:p>
      <w:pPr>
        <w:ind w:left="60"/>
        <w:spacing w:after="0"/>
        <w:rPr>
          <w:sz w:val="20"/>
          <w:szCs w:val="20"/>
          <w:color w:val="auto"/>
        </w:rPr>
      </w:pPr>
      <w:r>
        <w:rPr>
          <w:rFonts w:ascii="Arial" w:cs="Arial" w:eastAsia="Arial" w:hAnsi="Arial"/>
          <w:sz w:val="16"/>
          <w:szCs w:val="16"/>
          <w:color w:val="auto"/>
        </w:rPr>
        <w:t>January 15, 2021, the implied per share purchase price is $38,432.69 with an aggregate transaction value of approximately</w:t>
      </w:r>
    </w:p>
    <w:p>
      <w:pPr>
        <w:spacing w:after="0" w:line="19" w:lineRule="exact"/>
        <w:rPr>
          <w:sz w:val="20"/>
          <w:szCs w:val="20"/>
          <w:color w:val="auto"/>
        </w:rPr>
      </w:pPr>
    </w:p>
    <w:p>
      <w:pPr>
        <w:ind w:left="60"/>
        <w:spacing w:after="0"/>
        <w:rPr>
          <w:sz w:val="20"/>
          <w:szCs w:val="20"/>
          <w:color w:val="auto"/>
        </w:rPr>
      </w:pPr>
      <w:r>
        <w:rPr>
          <w:rFonts w:ascii="Arial" w:cs="Arial" w:eastAsia="Arial" w:hAnsi="Arial"/>
          <w:sz w:val="16"/>
          <w:szCs w:val="16"/>
          <w:color w:val="auto"/>
        </w:rPr>
        <w:t>$190.8 million. The merger agreement provides that the cash consideration to be paid in the merger will be funded with a</w:t>
      </w:r>
    </w:p>
    <w:p>
      <w:pPr>
        <w:spacing w:after="0" w:line="19" w:lineRule="exact"/>
        <w:rPr>
          <w:sz w:val="20"/>
          <w:szCs w:val="20"/>
          <w:color w:val="auto"/>
        </w:rPr>
      </w:pPr>
    </w:p>
    <w:p>
      <w:pPr>
        <w:ind w:left="60"/>
        <w:spacing w:after="0"/>
        <w:rPr>
          <w:sz w:val="20"/>
          <w:szCs w:val="20"/>
          <w:color w:val="auto"/>
        </w:rPr>
      </w:pPr>
      <w:r>
        <w:rPr>
          <w:rFonts w:ascii="Arial" w:cs="Arial" w:eastAsia="Arial" w:hAnsi="Arial"/>
          <w:sz w:val="17"/>
          <w:szCs w:val="17"/>
          <w:color w:val="auto"/>
        </w:rPr>
        <w:t>combination of cash from First Busey and a special dividend to be paid by CAC to its shareholders. Specifically,</w:t>
      </w:r>
    </w:p>
    <w:p>
      <w:pPr>
        <w:spacing w:after="0" w:line="7" w:lineRule="exact"/>
        <w:rPr>
          <w:sz w:val="20"/>
          <w:szCs w:val="20"/>
          <w:color w:val="auto"/>
        </w:rPr>
      </w:pPr>
    </w:p>
    <w:p>
      <w:pPr>
        <w:ind w:left="60"/>
        <w:spacing w:after="0"/>
        <w:rPr>
          <w:sz w:val="20"/>
          <w:szCs w:val="20"/>
          <w:color w:val="auto"/>
        </w:rPr>
      </w:pPr>
      <w:r>
        <w:rPr>
          <w:rFonts w:ascii="Arial" w:cs="Arial" w:eastAsia="Arial" w:hAnsi="Arial"/>
          <w:sz w:val="17"/>
          <w:szCs w:val="17"/>
          <w:color w:val="auto"/>
        </w:rPr>
        <w:t>immediately prior to closing and subject to the completion of all closing conditions, CAC will cause GSB to pay a one-</w:t>
      </w:r>
    </w:p>
    <w:p>
      <w:pPr>
        <w:spacing w:after="0" w:line="7" w:lineRule="exact"/>
        <w:rPr>
          <w:sz w:val="20"/>
          <w:szCs w:val="20"/>
          <w:color w:val="auto"/>
        </w:rPr>
      </w:pPr>
    </w:p>
    <w:p>
      <w:pPr>
        <w:ind w:left="60"/>
        <w:spacing w:after="0"/>
        <w:rPr>
          <w:sz w:val="20"/>
          <w:szCs w:val="20"/>
          <w:color w:val="auto"/>
        </w:rPr>
      </w:pPr>
      <w:r>
        <w:rPr>
          <w:rFonts w:ascii="Arial" w:cs="Arial" w:eastAsia="Arial" w:hAnsi="Arial"/>
          <w:sz w:val="16"/>
          <w:szCs w:val="16"/>
          <w:color w:val="auto"/>
        </w:rPr>
        <w:t>time special cash dividend of $60.0 million to CAC and, upon receipt, CAC will declare and issue a $60.0 million special</w:t>
      </w:r>
    </w:p>
    <w:p>
      <w:pPr>
        <w:spacing w:after="0" w:line="19" w:lineRule="exact"/>
        <w:rPr>
          <w:sz w:val="20"/>
          <w:szCs w:val="20"/>
          <w:color w:val="auto"/>
        </w:rPr>
      </w:pPr>
    </w:p>
    <w:p>
      <w:pPr>
        <w:ind w:left="60"/>
        <w:spacing w:after="0"/>
        <w:rPr>
          <w:sz w:val="20"/>
          <w:szCs w:val="20"/>
          <w:color w:val="auto"/>
        </w:rPr>
      </w:pPr>
      <w:r>
        <w:rPr>
          <w:rFonts w:ascii="Arial" w:cs="Arial" w:eastAsia="Arial" w:hAnsi="Arial"/>
          <w:sz w:val="17"/>
          <w:szCs w:val="17"/>
          <w:color w:val="auto"/>
        </w:rPr>
        <w:t>cash dividend to CAC’s shareholders, which will be used to fund, in part, the cash consideration to be paid to CAC’s</w:t>
      </w:r>
    </w:p>
    <w:p>
      <w:pPr>
        <w:spacing w:after="0" w:line="7" w:lineRule="exact"/>
        <w:rPr>
          <w:sz w:val="20"/>
          <w:szCs w:val="20"/>
          <w:color w:val="auto"/>
        </w:rPr>
      </w:pPr>
    </w:p>
    <w:p>
      <w:pPr>
        <w:ind w:left="60"/>
        <w:spacing w:after="0"/>
        <w:rPr>
          <w:sz w:val="20"/>
          <w:szCs w:val="20"/>
          <w:color w:val="auto"/>
        </w:rPr>
      </w:pPr>
      <w:r>
        <w:rPr>
          <w:rFonts w:ascii="Arial" w:cs="Arial" w:eastAsia="Arial" w:hAnsi="Arial"/>
          <w:sz w:val="16"/>
          <w:szCs w:val="16"/>
          <w:color w:val="auto"/>
        </w:rPr>
        <w:t>shareholders at closing. Further, the cash portion of the merger consideration is subject to downward adjustment in the</w:t>
      </w:r>
    </w:p>
    <w:p>
      <w:pPr>
        <w:spacing w:after="0" w:line="19" w:lineRule="exact"/>
        <w:rPr>
          <w:sz w:val="20"/>
          <w:szCs w:val="20"/>
          <w:color w:val="auto"/>
        </w:rPr>
      </w:pPr>
    </w:p>
    <w:p>
      <w:pPr>
        <w:ind w:left="60"/>
        <w:spacing w:after="0"/>
        <w:rPr>
          <w:sz w:val="20"/>
          <w:szCs w:val="20"/>
          <w:color w:val="auto"/>
        </w:rPr>
      </w:pPr>
      <w:r>
        <w:rPr>
          <w:rFonts w:ascii="Arial" w:cs="Arial" w:eastAsia="Arial" w:hAnsi="Arial"/>
          <w:sz w:val="16"/>
          <w:szCs w:val="16"/>
          <w:color w:val="auto"/>
        </w:rPr>
        <w:t>event that CAC’s consolidated tangible common equity as of the closing date of the first-step merger, and as adjusted in</w:t>
      </w:r>
    </w:p>
    <w:p>
      <w:pPr>
        <w:spacing w:after="0" w:line="19" w:lineRule="exact"/>
        <w:rPr>
          <w:sz w:val="20"/>
          <w:szCs w:val="20"/>
          <w:color w:val="auto"/>
        </w:rPr>
      </w:pPr>
    </w:p>
    <w:p>
      <w:pPr>
        <w:ind w:left="60"/>
        <w:spacing w:after="0"/>
        <w:rPr>
          <w:sz w:val="20"/>
          <w:szCs w:val="20"/>
          <w:color w:val="auto"/>
        </w:rPr>
      </w:pPr>
      <w:r>
        <w:rPr>
          <w:rFonts w:ascii="Arial" w:cs="Arial" w:eastAsia="Arial" w:hAnsi="Arial"/>
          <w:sz w:val="16"/>
          <w:szCs w:val="16"/>
          <w:color w:val="auto"/>
        </w:rPr>
        <w:t>accordance with the merger agreement, is less than $169.6 million. Specifically, in the event of a CAC tangible common</w:t>
      </w:r>
    </w:p>
    <w:p>
      <w:pPr>
        <w:spacing w:after="0" w:line="19" w:lineRule="exact"/>
        <w:rPr>
          <w:sz w:val="20"/>
          <w:szCs w:val="20"/>
          <w:color w:val="auto"/>
        </w:rPr>
      </w:pPr>
    </w:p>
    <w:p>
      <w:pPr>
        <w:ind w:left="60"/>
        <w:spacing w:after="0"/>
        <w:rPr>
          <w:sz w:val="20"/>
          <w:szCs w:val="20"/>
          <w:color w:val="auto"/>
        </w:rPr>
      </w:pPr>
      <w:r>
        <w:rPr>
          <w:rFonts w:ascii="Arial" w:cs="Arial" w:eastAsia="Arial" w:hAnsi="Arial"/>
          <w:sz w:val="16"/>
          <w:szCs w:val="16"/>
          <w:color w:val="auto"/>
        </w:rPr>
        <w:t>equity shortfall, the cash portion of the merger consideration will be reduced on a dollar-for-dollar basis to the extent of</w:t>
      </w:r>
    </w:p>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color w:val="auto"/>
        </w:rPr>
        <w:t>such shortfall.</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color w:val="auto"/>
        </w:rPr>
        <w:t>FIRST BUSEY CORPORATION</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w:t>
      </w:r>
    </w:p>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5" w:lineRule="exact"/>
        <w:rPr>
          <w:sz w:val="20"/>
          <w:szCs w:val="20"/>
          <w:color w:val="auto"/>
        </w:rPr>
      </w:pPr>
    </w:p>
    <w:p>
      <w:pPr>
        <w:ind w:left="60" w:right="119"/>
        <w:spacing w:after="0" w:line="243" w:lineRule="auto"/>
        <w:rPr>
          <w:sz w:val="20"/>
          <w:szCs w:val="20"/>
          <w:color w:val="auto"/>
        </w:rPr>
      </w:pPr>
      <w:r>
        <w:rPr>
          <w:rFonts w:ascii="Arial" w:cs="Arial" w:eastAsia="Arial" w:hAnsi="Arial"/>
          <w:sz w:val="18"/>
          <w:szCs w:val="18"/>
          <w:color w:val="auto"/>
        </w:rPr>
        <w:t>The transaction is expected to close in the second quarter of 2021, subject to customary closing conditions and approval by CAC’s shareholders. Required regulatory approvals have been obtained. It is anticipated GSB will be merged with and into Busey Bank during the third quarter of 2021. At the time of the bank merger, GSB banking centers will become banking centers of Busey Bank.</w:t>
      </w:r>
    </w:p>
    <w:p>
      <w:pPr>
        <w:spacing w:after="0" w:line="174" w:lineRule="exact"/>
        <w:rPr>
          <w:sz w:val="20"/>
          <w:szCs w:val="20"/>
          <w:color w:val="auto"/>
        </w:rPr>
      </w:pPr>
    </w:p>
    <w:p>
      <w:pPr>
        <w:ind w:left="60" w:right="79"/>
        <w:spacing w:after="0" w:line="261" w:lineRule="auto"/>
        <w:rPr>
          <w:sz w:val="20"/>
          <w:szCs w:val="20"/>
          <w:color w:val="auto"/>
        </w:rPr>
      </w:pPr>
      <w:r>
        <w:rPr>
          <w:rFonts w:ascii="Arial" w:cs="Arial" w:eastAsia="Arial" w:hAnsi="Arial"/>
          <w:sz w:val="18"/>
          <w:szCs w:val="18"/>
          <w:color w:val="auto"/>
        </w:rPr>
        <w:t>During the three months ended March 31, 2021, First Busey incurred $0.3 million in pre-tax acquisition expenses related to the planned acquisition of CAC, comprised primarily of professional fees.</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3: Securities</w:t>
      </w:r>
    </w:p>
    <w:p>
      <w:pPr>
        <w:spacing w:after="0" w:line="202" w:lineRule="exact"/>
        <w:rPr>
          <w:sz w:val="20"/>
          <w:szCs w:val="20"/>
          <w:color w:val="auto"/>
        </w:rPr>
      </w:pPr>
    </w:p>
    <w:p>
      <w:pPr>
        <w:ind w:left="60" w:right="159"/>
        <w:spacing w:after="0" w:line="261" w:lineRule="auto"/>
        <w:rPr>
          <w:sz w:val="20"/>
          <w:szCs w:val="20"/>
          <w:color w:val="auto"/>
        </w:rPr>
      </w:pPr>
      <w:r>
        <w:rPr>
          <w:rFonts w:ascii="Arial" w:cs="Arial" w:eastAsia="Arial" w:hAnsi="Arial"/>
          <w:sz w:val="18"/>
          <w:szCs w:val="18"/>
          <w:color w:val="auto"/>
        </w:rPr>
        <w:t xml:space="preserve">The table below provides the amortized cost, unrealized gains and losses, and fair values of debt securities summarized by major category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62"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2"/>
        </w:trPr>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ind w:right="34"/>
              <w:spacing w:after="0"/>
              <w:rPr>
                <w:sz w:val="20"/>
                <w:szCs w:val="20"/>
                <w:color w:val="auto"/>
              </w:rPr>
            </w:pPr>
            <w:r>
              <w:rPr>
                <w:rFonts w:ascii="Arial" w:cs="Arial" w:eastAsia="Arial" w:hAnsi="Arial"/>
                <w:sz w:val="14"/>
                <w:szCs w:val="14"/>
                <w:b w:val="1"/>
                <w:bCs w:val="1"/>
                <w:color w:val="auto"/>
                <w:w w:val="93"/>
              </w:rPr>
              <w:t>Amortized</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3"/>
              </w:rPr>
              <w:t>Unrealized</w:t>
            </w:r>
          </w:p>
        </w:tc>
        <w:tc>
          <w:tcPr>
            <w:tcW w:w="120" w:type="dxa"/>
            <w:vAlign w:val="bottom"/>
          </w:tcPr>
          <w:p>
            <w:pPr>
              <w:spacing w:after="0"/>
              <w:rPr>
                <w:sz w:val="14"/>
                <w:szCs w:val="14"/>
                <w:color w:val="auto"/>
              </w:rPr>
            </w:pPr>
          </w:p>
        </w:tc>
        <w:tc>
          <w:tcPr>
            <w:tcW w:w="76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3"/>
              </w:rPr>
              <w:t>Unrealized</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right="54"/>
              <w:spacing w:after="0"/>
              <w:rPr>
                <w:sz w:val="20"/>
                <w:szCs w:val="20"/>
                <w:color w:val="auto"/>
              </w:rPr>
            </w:pPr>
            <w:r>
              <w:rPr>
                <w:rFonts w:ascii="Arial" w:cs="Arial" w:eastAsia="Arial" w:hAnsi="Arial"/>
                <w:sz w:val="14"/>
                <w:szCs w:val="14"/>
                <w:b w:val="1"/>
                <w:bCs w:val="1"/>
                <w:color w:val="auto"/>
              </w:rPr>
              <w:t>Fair</w:t>
            </w:r>
          </w:p>
        </w:tc>
      </w:tr>
      <w:tr>
        <w:trPr>
          <w:trHeight w:val="158"/>
        </w:trPr>
        <w:tc>
          <w:tcPr>
            <w:tcW w:w="434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March 31, 2021:</w:t>
            </w: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right"/>
              <w:ind w:right="234"/>
              <w:spacing w:after="0" w:line="158" w:lineRule="exact"/>
              <w:rPr>
                <w:sz w:val="20"/>
                <w:szCs w:val="20"/>
                <w:color w:val="auto"/>
              </w:rPr>
            </w:pPr>
            <w:r>
              <w:rPr>
                <w:rFonts w:ascii="Arial" w:cs="Arial" w:eastAsia="Arial" w:hAnsi="Arial"/>
                <w:sz w:val="14"/>
                <w:szCs w:val="14"/>
                <w:b w:val="1"/>
                <w:bCs w:val="1"/>
                <w:color w:val="auto"/>
              </w:rPr>
              <w:t>Cost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center"/>
              <w:ind w:right="160"/>
              <w:spacing w:after="0" w:line="158" w:lineRule="exact"/>
              <w:rPr>
                <w:sz w:val="20"/>
                <w:szCs w:val="20"/>
                <w:color w:val="auto"/>
              </w:rPr>
            </w:pPr>
            <w:r>
              <w:rPr>
                <w:rFonts w:ascii="Arial" w:cs="Arial" w:eastAsia="Arial" w:hAnsi="Arial"/>
                <w:sz w:val="14"/>
                <w:szCs w:val="14"/>
                <w:b w:val="1"/>
                <w:bCs w:val="1"/>
                <w:color w:val="auto"/>
                <w:w w:val="92"/>
              </w:rPr>
              <w:t>Gains</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center"/>
              <w:ind w:right="160"/>
              <w:spacing w:after="0" w:line="158" w:lineRule="exact"/>
              <w:rPr>
                <w:sz w:val="20"/>
                <w:szCs w:val="20"/>
                <w:color w:val="auto"/>
              </w:rPr>
            </w:pPr>
            <w:r>
              <w:rPr>
                <w:rFonts w:ascii="Arial" w:cs="Arial" w:eastAsia="Arial" w:hAnsi="Arial"/>
                <w:sz w:val="14"/>
                <w:szCs w:val="14"/>
                <w:b w:val="1"/>
                <w:bCs w:val="1"/>
                <w:color w:val="auto"/>
                <w:w w:val="82"/>
              </w:rPr>
              <w:t>Losses</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ind w:left="40"/>
              <w:spacing w:after="0" w:line="158" w:lineRule="exact"/>
              <w:rPr>
                <w:sz w:val="20"/>
                <w:szCs w:val="20"/>
                <w:color w:val="auto"/>
              </w:rPr>
            </w:pPr>
            <w:r>
              <w:rPr>
                <w:rFonts w:ascii="Arial" w:cs="Arial" w:eastAsia="Arial" w:hAnsi="Arial"/>
                <w:sz w:val="14"/>
                <w:szCs w:val="14"/>
                <w:b w:val="1"/>
                <w:bCs w:val="1"/>
                <w:color w:val="auto"/>
              </w:rPr>
              <w:t>ACL</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center"/>
              <w:ind w:right="54"/>
              <w:spacing w:after="0" w:line="158" w:lineRule="exact"/>
              <w:rPr>
                <w:sz w:val="20"/>
                <w:szCs w:val="20"/>
                <w:color w:val="auto"/>
              </w:rPr>
            </w:pPr>
            <w:r>
              <w:rPr>
                <w:rFonts w:ascii="Arial" w:cs="Arial" w:eastAsia="Arial" w:hAnsi="Arial"/>
                <w:sz w:val="14"/>
                <w:szCs w:val="14"/>
                <w:b w:val="1"/>
                <w:bCs w:val="1"/>
                <w:color w:val="auto"/>
                <w:w w:val="96"/>
              </w:rPr>
              <w:t>Value</w:t>
            </w:r>
          </w:p>
        </w:tc>
      </w:tr>
      <w:tr>
        <w:trPr>
          <w:trHeight w:val="20"/>
        </w:trPr>
        <w:tc>
          <w:tcPr>
            <w:tcW w:w="1000" w:type="dxa"/>
            <w:vAlign w:val="bottom"/>
            <w:tcBorders>
              <w:top w:val="single" w:sz="8" w:color="auto"/>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83"/>
        </w:trPr>
        <w:tc>
          <w:tcPr>
            <w:tcW w:w="4340" w:type="dxa"/>
            <w:vAlign w:val="bottom"/>
            <w:gridSpan w:val="3"/>
            <w:shd w:val="clear" w:color="auto" w:fill="CCEEFF"/>
          </w:tcPr>
          <w:p>
            <w:pPr>
              <w:spacing w:after="0" w:line="183" w:lineRule="exact"/>
              <w:rPr>
                <w:sz w:val="20"/>
                <w:szCs w:val="20"/>
                <w:color w:val="auto"/>
              </w:rPr>
            </w:pPr>
            <w:r>
              <w:rPr>
                <w:rFonts w:ascii="Arial" w:cs="Arial" w:eastAsia="Arial" w:hAnsi="Arial"/>
                <w:sz w:val="18"/>
                <w:szCs w:val="18"/>
                <w:color w:val="auto"/>
              </w:rPr>
              <w:t>U.S. Treasury securities</w:t>
            </w:r>
          </w:p>
        </w:tc>
        <w:tc>
          <w:tcPr>
            <w:tcW w:w="140" w:type="dxa"/>
            <w:vAlign w:val="bottom"/>
            <w:shd w:val="clear" w:color="auto" w:fill="CCEEFF"/>
          </w:tcPr>
          <w:p>
            <w:pPr>
              <w:spacing w:after="0"/>
              <w:rPr>
                <w:sz w:val="15"/>
                <w:szCs w:val="15"/>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line="183" w:lineRule="exact"/>
              <w:rPr>
                <w:sz w:val="20"/>
                <w:szCs w:val="20"/>
                <w:color w:val="auto"/>
              </w:rPr>
            </w:pPr>
            <w:r>
              <w:rPr>
                <w:rFonts w:ascii="Arial" w:cs="Arial" w:eastAsia="Arial" w:hAnsi="Arial"/>
                <w:sz w:val="18"/>
                <w:szCs w:val="18"/>
                <w:color w:val="auto"/>
              </w:rPr>
              <w:t>23,514</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line="183" w:lineRule="exact"/>
              <w:rPr>
                <w:sz w:val="20"/>
                <w:szCs w:val="20"/>
                <w:color w:val="auto"/>
              </w:rPr>
            </w:pPr>
            <w:r>
              <w:rPr>
                <w:rFonts w:ascii="Arial" w:cs="Arial" w:eastAsia="Arial" w:hAnsi="Arial"/>
                <w:sz w:val="18"/>
                <w:szCs w:val="18"/>
                <w:color w:val="auto"/>
              </w:rPr>
              <w:t>243</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80"/>
              <w:spacing w:after="0" w:line="183"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line="183" w:lineRule="exact"/>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ind w:left="160"/>
              <w:spacing w:after="0" w:line="183"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gridSpan w:val="2"/>
            <w:shd w:val="clear" w:color="auto" w:fill="CCEEFF"/>
          </w:tcPr>
          <w:p>
            <w:pPr>
              <w:spacing w:after="0" w:line="183" w:lineRule="exact"/>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line="183" w:lineRule="exact"/>
              <w:rPr>
                <w:sz w:val="20"/>
                <w:szCs w:val="20"/>
                <w:color w:val="auto"/>
              </w:rPr>
            </w:pPr>
            <w:r>
              <w:rPr>
                <w:rFonts w:ascii="Arial" w:cs="Arial" w:eastAsia="Arial" w:hAnsi="Arial"/>
                <w:sz w:val="18"/>
                <w:szCs w:val="18"/>
                <w:color w:val="auto"/>
              </w:rPr>
              <w:t>23,757</w:t>
            </w:r>
          </w:p>
        </w:tc>
      </w:tr>
      <w:tr>
        <w:trPr>
          <w:trHeight w:val="203"/>
        </w:trPr>
        <w:tc>
          <w:tcPr>
            <w:tcW w:w="4340" w:type="dxa"/>
            <w:vAlign w:val="bottom"/>
            <w:gridSpan w:val="3"/>
          </w:tcPr>
          <w:p>
            <w:pPr>
              <w:spacing w:after="0" w:line="202" w:lineRule="exact"/>
              <w:rPr>
                <w:sz w:val="20"/>
                <w:szCs w:val="20"/>
                <w:color w:val="auto"/>
              </w:rPr>
            </w:pPr>
            <w:r>
              <w:rPr>
                <w:rFonts w:ascii="Arial" w:cs="Arial" w:eastAsia="Arial" w:hAnsi="Arial"/>
                <w:sz w:val="18"/>
                <w:szCs w:val="18"/>
                <w:color w:val="auto"/>
                <w:w w:val="92"/>
              </w:rPr>
              <w:t>Obligations of U.S. government corporations and agencies</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64,903</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1,720</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(45)</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ind w:left="16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66,578</w:t>
            </w:r>
          </w:p>
        </w:tc>
      </w:tr>
      <w:tr>
        <w:trPr>
          <w:trHeight w:val="203"/>
        </w:trPr>
        <w:tc>
          <w:tcPr>
            <w:tcW w:w="43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Obligations of states and political subdivisions</w:t>
            </w: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280,150</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8,854</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(1,542)</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287,462</w:t>
            </w:r>
          </w:p>
        </w:tc>
      </w:tr>
      <w:tr>
        <w:trPr>
          <w:trHeight w:val="203"/>
        </w:trPr>
        <w:tc>
          <w:tcPr>
            <w:tcW w:w="4340" w:type="dxa"/>
            <w:vAlign w:val="bottom"/>
            <w:gridSpan w:val="3"/>
          </w:tcPr>
          <w:p>
            <w:pPr>
              <w:spacing w:after="0" w:line="202" w:lineRule="exact"/>
              <w:rPr>
                <w:sz w:val="20"/>
                <w:szCs w:val="20"/>
                <w:color w:val="auto"/>
              </w:rPr>
            </w:pPr>
            <w:r>
              <w:rPr>
                <w:rFonts w:ascii="Arial" w:cs="Arial" w:eastAsia="Arial" w:hAnsi="Arial"/>
                <w:sz w:val="18"/>
                <w:szCs w:val="18"/>
                <w:color w:val="auto"/>
              </w:rPr>
              <w:t>Commercial mortgage-backed securities</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499,996</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5,308</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(6,786)</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ind w:left="16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498,518</w:t>
            </w:r>
          </w:p>
        </w:tc>
      </w:tr>
      <w:tr>
        <w:trPr>
          <w:trHeight w:val="203"/>
        </w:trPr>
        <w:tc>
          <w:tcPr>
            <w:tcW w:w="43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Residential mortgage-backed securities</w:t>
            </w: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87"/>
              </w:rPr>
              <w:t>1,786,062</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87"/>
              </w:rPr>
              <w:t>18,587</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w w:val="89"/>
              </w:rPr>
              <w:t>(18,329)</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2"/>
              </w:rPr>
              <w:t>1,786,320</w:t>
            </w:r>
          </w:p>
        </w:tc>
      </w:tr>
      <w:tr>
        <w:trPr>
          <w:trHeight w:val="203"/>
        </w:trPr>
        <w:tc>
          <w:tcPr>
            <w:tcW w:w="4340" w:type="dxa"/>
            <w:vAlign w:val="bottom"/>
            <w:tcBorders>
              <w:bottom w:val="single" w:sz="8" w:color="CCEEFF"/>
            </w:tcBorders>
            <w:gridSpan w:val="3"/>
          </w:tcPr>
          <w:p>
            <w:pPr>
              <w:spacing w:after="0" w:line="202" w:lineRule="exact"/>
              <w:rPr>
                <w:sz w:val="20"/>
                <w:szCs w:val="20"/>
                <w:color w:val="auto"/>
              </w:rPr>
            </w:pPr>
            <w:r>
              <w:rPr>
                <w:rFonts w:ascii="Arial" w:cs="Arial" w:eastAsia="Arial" w:hAnsi="Arial"/>
                <w:sz w:val="18"/>
                <w:szCs w:val="18"/>
                <w:color w:val="auto"/>
              </w:rPr>
              <w:t>Corporate debt securities</w:t>
            </w:r>
          </w:p>
        </w:tc>
        <w:tc>
          <w:tcPr>
            <w:tcW w:w="14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134,783</w:t>
            </w: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964</w:t>
            </w: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gridSpan w:val="2"/>
          </w:tcPr>
          <w:p>
            <w:pPr>
              <w:jc w:val="right"/>
              <w:ind w:right="20"/>
              <w:spacing w:after="0" w:line="202" w:lineRule="exact"/>
              <w:rPr>
                <w:sz w:val="20"/>
                <w:szCs w:val="20"/>
                <w:color w:val="auto"/>
              </w:rPr>
            </w:pPr>
            <w:r>
              <w:rPr>
                <w:rFonts w:ascii="Arial" w:cs="Arial" w:eastAsia="Arial" w:hAnsi="Arial"/>
                <w:sz w:val="18"/>
                <w:szCs w:val="18"/>
                <w:color w:val="auto"/>
              </w:rPr>
              <w:t>(1,427)</w:t>
            </w: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ind w:left="160"/>
              <w:spacing w:after="0" w:line="202" w:lineRule="exact"/>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134,320</w:t>
            </w:r>
          </w:p>
        </w:tc>
      </w:tr>
      <w:tr>
        <w:trPr>
          <w:trHeight w:val="196"/>
        </w:trPr>
        <w:tc>
          <w:tcPr>
            <w:tcW w:w="4340" w:type="dxa"/>
            <w:vAlign w:val="bottom"/>
            <w:tcBorders>
              <w:bottom w:val="single" w:sz="8" w:color="CCEEFF"/>
            </w:tcBorders>
            <w:gridSpan w:val="3"/>
            <w:shd w:val="clear" w:color="auto" w:fill="CCEEFF"/>
          </w:tcPr>
          <w:p>
            <w:pPr>
              <w:ind w:left="220"/>
              <w:spacing w:after="0" w:line="196" w:lineRule="exact"/>
              <w:rPr>
                <w:sz w:val="20"/>
                <w:szCs w:val="20"/>
                <w:color w:val="auto"/>
              </w:rPr>
            </w:pPr>
            <w:r>
              <w:rPr>
                <w:rFonts w:ascii="Arial" w:cs="Arial" w:eastAsia="Arial" w:hAnsi="Arial"/>
                <w:sz w:val="18"/>
                <w:szCs w:val="18"/>
                <w:color w:val="auto"/>
              </w:rPr>
              <w:t>Debt securities available for sale</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2,789,408</w:t>
            </w:r>
          </w:p>
        </w:tc>
        <w:tc>
          <w:tcPr>
            <w:tcW w:w="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w w:val="85"/>
              </w:rPr>
              <w:t>$ 35,676</w:t>
            </w:r>
          </w:p>
        </w:tc>
        <w:tc>
          <w:tcPr>
            <w:tcW w:w="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auto"/>
            </w:tcBorders>
            <w:gridSpan w:val="4"/>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w w:val="87"/>
              </w:rPr>
              <w:t>$ (28,129)</w:t>
            </w: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CEEFF"/>
          </w:tcPr>
          <w:p>
            <w:pPr>
              <w:ind w:left="160"/>
              <w:spacing w:after="0" w:line="196" w:lineRule="exact"/>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2"/>
              </w:rPr>
              <w:t>2,796,955</w:t>
            </w:r>
          </w:p>
        </w:tc>
      </w:tr>
      <w:tr>
        <w:trPr>
          <w:trHeight w:val="20"/>
        </w:trPr>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349"/>
        </w:trPr>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2"/>
        </w:trPr>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w w:val="99"/>
              </w:rPr>
              <w:t>Amortized</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3"/>
              </w:rPr>
              <w:t>Unrealized</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3"/>
              </w:rPr>
              <w:t>Unrealized</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right="34"/>
              <w:spacing w:after="0"/>
              <w:rPr>
                <w:sz w:val="20"/>
                <w:szCs w:val="20"/>
                <w:color w:val="auto"/>
              </w:rPr>
            </w:pPr>
            <w:r>
              <w:rPr>
                <w:rFonts w:ascii="Arial" w:cs="Arial" w:eastAsia="Arial" w:hAnsi="Arial"/>
                <w:sz w:val="14"/>
                <w:szCs w:val="14"/>
                <w:b w:val="1"/>
                <w:bCs w:val="1"/>
                <w:color w:val="auto"/>
              </w:rPr>
              <w:t>Fair</w:t>
            </w:r>
          </w:p>
        </w:tc>
      </w:tr>
      <w:tr>
        <w:trPr>
          <w:trHeight w:val="158"/>
        </w:trPr>
        <w:tc>
          <w:tcPr>
            <w:tcW w:w="434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December 31, 2020:</w:t>
            </w: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right"/>
              <w:ind w:right="194"/>
              <w:spacing w:after="0" w:line="158" w:lineRule="exact"/>
              <w:rPr>
                <w:sz w:val="20"/>
                <w:szCs w:val="20"/>
                <w:color w:val="auto"/>
              </w:rPr>
            </w:pPr>
            <w:r>
              <w:rPr>
                <w:rFonts w:ascii="Arial" w:cs="Arial" w:eastAsia="Arial" w:hAnsi="Arial"/>
                <w:sz w:val="14"/>
                <w:szCs w:val="14"/>
                <w:b w:val="1"/>
                <w:bCs w:val="1"/>
                <w:color w:val="auto"/>
              </w:rPr>
              <w:t>Cost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center"/>
              <w:ind w:right="80"/>
              <w:spacing w:after="0" w:line="158" w:lineRule="exact"/>
              <w:rPr>
                <w:sz w:val="20"/>
                <w:szCs w:val="20"/>
                <w:color w:val="auto"/>
              </w:rPr>
            </w:pPr>
            <w:r>
              <w:rPr>
                <w:rFonts w:ascii="Arial" w:cs="Arial" w:eastAsia="Arial" w:hAnsi="Arial"/>
                <w:sz w:val="14"/>
                <w:szCs w:val="14"/>
                <w:b w:val="1"/>
                <w:bCs w:val="1"/>
                <w:color w:val="auto"/>
                <w:w w:val="92"/>
              </w:rPr>
              <w:t>Gains</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82"/>
              </w:rPr>
              <w:t>Losses</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ind w:left="20"/>
              <w:spacing w:after="0" w:line="158" w:lineRule="exact"/>
              <w:rPr>
                <w:sz w:val="20"/>
                <w:szCs w:val="20"/>
                <w:color w:val="auto"/>
              </w:rPr>
            </w:pPr>
            <w:r>
              <w:rPr>
                <w:rFonts w:ascii="Arial" w:cs="Arial" w:eastAsia="Arial" w:hAnsi="Arial"/>
                <w:sz w:val="14"/>
                <w:szCs w:val="14"/>
                <w:b w:val="1"/>
                <w:bCs w:val="1"/>
                <w:color w:val="auto"/>
              </w:rPr>
              <w:t>ACL</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center"/>
              <w:ind w:right="34"/>
              <w:spacing w:after="0" w:line="158" w:lineRule="exact"/>
              <w:rPr>
                <w:sz w:val="20"/>
                <w:szCs w:val="20"/>
                <w:color w:val="auto"/>
              </w:rPr>
            </w:pPr>
            <w:r>
              <w:rPr>
                <w:rFonts w:ascii="Arial" w:cs="Arial" w:eastAsia="Arial" w:hAnsi="Arial"/>
                <w:sz w:val="14"/>
                <w:szCs w:val="14"/>
                <w:b w:val="1"/>
                <w:bCs w:val="1"/>
                <w:color w:val="auto"/>
                <w:w w:val="90"/>
              </w:rPr>
              <w:t>Value</w:t>
            </w:r>
          </w:p>
        </w:tc>
      </w:tr>
      <w:tr>
        <w:trPr>
          <w:trHeight w:val="20"/>
        </w:trPr>
        <w:tc>
          <w:tcPr>
            <w:tcW w:w="1000" w:type="dxa"/>
            <w:vAlign w:val="bottom"/>
            <w:tcBorders>
              <w:top w:val="single" w:sz="8" w:color="auto"/>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CCEEFF"/>
            </w:tcBorders>
          </w:tcPr>
          <w:p>
            <w:pPr>
              <w:spacing w:after="0" w:line="20" w:lineRule="exact"/>
              <w:rPr>
                <w:sz w:val="1"/>
                <w:szCs w:val="1"/>
                <w:color w:val="auto"/>
              </w:rPr>
            </w:pPr>
          </w:p>
        </w:tc>
        <w:tc>
          <w:tcPr>
            <w:tcW w:w="3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83"/>
        </w:trPr>
        <w:tc>
          <w:tcPr>
            <w:tcW w:w="4340" w:type="dxa"/>
            <w:vAlign w:val="bottom"/>
            <w:gridSpan w:val="3"/>
            <w:shd w:val="clear" w:color="auto" w:fill="CCEEFF"/>
          </w:tcPr>
          <w:p>
            <w:pPr>
              <w:spacing w:after="0" w:line="183" w:lineRule="exact"/>
              <w:rPr>
                <w:sz w:val="20"/>
                <w:szCs w:val="20"/>
                <w:color w:val="auto"/>
              </w:rPr>
            </w:pPr>
            <w:r>
              <w:rPr>
                <w:rFonts w:ascii="Arial" w:cs="Arial" w:eastAsia="Arial" w:hAnsi="Arial"/>
                <w:sz w:val="18"/>
                <w:szCs w:val="18"/>
                <w:color w:val="auto"/>
              </w:rPr>
              <w:t>U.S. Treasury securities</w:t>
            </w:r>
          </w:p>
        </w:tc>
        <w:tc>
          <w:tcPr>
            <w:tcW w:w="180" w:type="dxa"/>
            <w:vAlign w:val="bottom"/>
            <w:gridSpan w:val="2"/>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line="183" w:lineRule="exact"/>
              <w:rPr>
                <w:sz w:val="20"/>
                <w:szCs w:val="20"/>
                <w:color w:val="auto"/>
              </w:rPr>
            </w:pPr>
            <w:r>
              <w:rPr>
                <w:rFonts w:ascii="Arial" w:cs="Arial" w:eastAsia="Arial" w:hAnsi="Arial"/>
                <w:sz w:val="18"/>
                <w:szCs w:val="18"/>
                <w:color w:val="auto"/>
              </w:rPr>
              <w:t>27,481</w:t>
            </w:r>
          </w:p>
        </w:tc>
        <w:tc>
          <w:tcPr>
            <w:tcW w:w="40" w:type="dxa"/>
            <w:vAlign w:val="bottom"/>
            <w:shd w:val="clear" w:color="auto" w:fill="CCEEFF"/>
          </w:tcPr>
          <w:p>
            <w:pPr>
              <w:spacing w:after="0"/>
              <w:rPr>
                <w:sz w:val="15"/>
                <w:szCs w:val="15"/>
                <w:color w:val="auto"/>
              </w:rPr>
            </w:pPr>
          </w:p>
        </w:tc>
        <w:tc>
          <w:tcPr>
            <w:tcW w:w="160" w:type="dxa"/>
            <w:vAlign w:val="bottom"/>
            <w:gridSpan w:val="2"/>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line="183" w:lineRule="exact"/>
              <w:rPr>
                <w:sz w:val="20"/>
                <w:szCs w:val="20"/>
                <w:color w:val="auto"/>
              </w:rPr>
            </w:pPr>
            <w:r>
              <w:rPr>
                <w:rFonts w:ascii="Arial" w:cs="Arial" w:eastAsia="Arial" w:hAnsi="Arial"/>
                <w:sz w:val="18"/>
                <w:szCs w:val="18"/>
                <w:color w:val="auto"/>
              </w:rPr>
              <w:t>356</w:t>
            </w:r>
          </w:p>
        </w:tc>
        <w:tc>
          <w:tcPr>
            <w:tcW w:w="40" w:type="dxa"/>
            <w:vAlign w:val="bottom"/>
            <w:shd w:val="clear" w:color="auto" w:fill="CCEEFF"/>
          </w:tcPr>
          <w:p>
            <w:pPr>
              <w:spacing w:after="0"/>
              <w:rPr>
                <w:sz w:val="15"/>
                <w:szCs w:val="15"/>
                <w:color w:val="auto"/>
              </w:rPr>
            </w:pPr>
          </w:p>
        </w:tc>
        <w:tc>
          <w:tcPr>
            <w:tcW w:w="160" w:type="dxa"/>
            <w:vAlign w:val="bottom"/>
            <w:gridSpan w:val="2"/>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line="183"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gridSpan w:val="2"/>
            <w:shd w:val="clear" w:color="auto" w:fill="CCEEFF"/>
          </w:tcPr>
          <w:p>
            <w:pPr>
              <w:spacing w:after="0" w:line="183" w:lineRule="exact"/>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ind w:left="180"/>
              <w:spacing w:after="0" w:line="183"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5"/>
                <w:szCs w:val="15"/>
                <w:color w:val="auto"/>
              </w:rPr>
            </w:pPr>
          </w:p>
        </w:tc>
        <w:tc>
          <w:tcPr>
            <w:tcW w:w="160" w:type="dxa"/>
            <w:vAlign w:val="bottom"/>
            <w:gridSpan w:val="2"/>
            <w:shd w:val="clear" w:color="auto" w:fill="CCEEFF"/>
          </w:tcPr>
          <w:p>
            <w:pPr>
              <w:spacing w:after="0"/>
              <w:rPr>
                <w:sz w:val="15"/>
                <w:szCs w:val="15"/>
                <w:color w:val="auto"/>
              </w:rPr>
            </w:pPr>
          </w:p>
        </w:tc>
        <w:tc>
          <w:tcPr>
            <w:tcW w:w="100" w:type="dxa"/>
            <w:vAlign w:val="bottom"/>
            <w:shd w:val="clear" w:color="auto" w:fill="CCEEFF"/>
          </w:tcPr>
          <w:p>
            <w:pPr>
              <w:spacing w:after="0" w:line="183"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183" w:lineRule="exact"/>
              <w:rPr>
                <w:sz w:val="20"/>
                <w:szCs w:val="20"/>
                <w:color w:val="auto"/>
              </w:rPr>
            </w:pPr>
            <w:r>
              <w:rPr>
                <w:rFonts w:ascii="Arial" w:cs="Arial" w:eastAsia="Arial" w:hAnsi="Arial"/>
                <w:sz w:val="18"/>
                <w:szCs w:val="18"/>
                <w:color w:val="auto"/>
              </w:rPr>
              <w:t>27,837</w:t>
            </w:r>
          </w:p>
        </w:tc>
      </w:tr>
      <w:tr>
        <w:trPr>
          <w:trHeight w:val="203"/>
        </w:trPr>
        <w:tc>
          <w:tcPr>
            <w:tcW w:w="4340" w:type="dxa"/>
            <w:vAlign w:val="bottom"/>
            <w:gridSpan w:val="3"/>
          </w:tcPr>
          <w:p>
            <w:pPr>
              <w:spacing w:after="0" w:line="202" w:lineRule="exact"/>
              <w:rPr>
                <w:sz w:val="20"/>
                <w:szCs w:val="20"/>
                <w:color w:val="auto"/>
              </w:rPr>
            </w:pPr>
            <w:r>
              <w:rPr>
                <w:rFonts w:ascii="Arial" w:cs="Arial" w:eastAsia="Arial" w:hAnsi="Arial"/>
                <w:sz w:val="18"/>
                <w:szCs w:val="18"/>
                <w:color w:val="auto"/>
                <w:w w:val="92"/>
              </w:rPr>
              <w:t>Obligations of U.S. government corporations and agencies</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67,406</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2,162</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(49)</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ind w:left="18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69,519</w:t>
            </w:r>
          </w:p>
        </w:tc>
      </w:tr>
      <w:tr>
        <w:trPr>
          <w:trHeight w:val="203"/>
        </w:trPr>
        <w:tc>
          <w:tcPr>
            <w:tcW w:w="43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Obligations of states and political subdivisions</w:t>
            </w: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292,940</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4"/>
              </w:rPr>
              <w:t>11,779</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304,711</w:t>
            </w:r>
          </w:p>
        </w:tc>
      </w:tr>
      <w:tr>
        <w:trPr>
          <w:trHeight w:val="203"/>
        </w:trPr>
        <w:tc>
          <w:tcPr>
            <w:tcW w:w="4340" w:type="dxa"/>
            <w:vAlign w:val="bottom"/>
            <w:gridSpan w:val="3"/>
          </w:tcPr>
          <w:p>
            <w:pPr>
              <w:spacing w:after="0" w:line="202" w:lineRule="exact"/>
              <w:rPr>
                <w:sz w:val="20"/>
                <w:szCs w:val="20"/>
                <w:color w:val="auto"/>
              </w:rPr>
            </w:pPr>
            <w:r>
              <w:rPr>
                <w:rFonts w:ascii="Arial" w:cs="Arial" w:eastAsia="Arial" w:hAnsi="Arial"/>
                <w:sz w:val="18"/>
                <w:szCs w:val="18"/>
                <w:color w:val="auto"/>
              </w:rPr>
              <w:t>Commercial mortgage-backed securities</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408,716</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w w:val="94"/>
              </w:rPr>
              <w:t>10,212</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(312)</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ind w:left="18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418,616</w:t>
            </w:r>
          </w:p>
        </w:tc>
      </w:tr>
      <w:tr>
        <w:trPr>
          <w:trHeight w:val="203"/>
        </w:trPr>
        <w:tc>
          <w:tcPr>
            <w:tcW w:w="43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Residential mortgage-backed securities</w:t>
            </w: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2"/>
              </w:rPr>
              <w:t>1,344,047</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4"/>
              </w:rPr>
              <w:t>24,571</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(303)</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2"/>
              </w:rPr>
              <w:t>1,368,315</w:t>
            </w:r>
          </w:p>
        </w:tc>
      </w:tr>
      <w:tr>
        <w:trPr>
          <w:trHeight w:val="202"/>
        </w:trPr>
        <w:tc>
          <w:tcPr>
            <w:tcW w:w="4340" w:type="dxa"/>
            <w:vAlign w:val="bottom"/>
            <w:tcBorders>
              <w:bottom w:val="single" w:sz="8" w:color="CCEEFF"/>
            </w:tcBorders>
            <w:gridSpan w:val="3"/>
          </w:tcPr>
          <w:p>
            <w:pPr>
              <w:spacing w:after="0" w:line="202" w:lineRule="exact"/>
              <w:rPr>
                <w:sz w:val="20"/>
                <w:szCs w:val="20"/>
                <w:color w:val="auto"/>
              </w:rPr>
            </w:pPr>
            <w:r>
              <w:rPr>
                <w:rFonts w:ascii="Arial" w:cs="Arial" w:eastAsia="Arial" w:hAnsi="Arial"/>
                <w:sz w:val="18"/>
                <w:szCs w:val="18"/>
                <w:color w:val="auto"/>
              </w:rPr>
              <w:t>Corporate debt securities</w:t>
            </w:r>
          </w:p>
        </w:tc>
        <w:tc>
          <w:tcPr>
            <w:tcW w:w="1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70,953</w:t>
            </w: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1,237</w:t>
            </w: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w:t>
            </w: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ind w:left="180"/>
              <w:spacing w:after="0" w:line="202" w:lineRule="exact"/>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72,189</w:t>
            </w:r>
          </w:p>
        </w:tc>
      </w:tr>
      <w:tr>
        <w:trPr>
          <w:trHeight w:val="196"/>
        </w:trPr>
        <w:tc>
          <w:tcPr>
            <w:tcW w:w="4340" w:type="dxa"/>
            <w:vAlign w:val="bottom"/>
            <w:gridSpan w:val="3"/>
            <w:shd w:val="clear" w:color="auto" w:fill="CCEEFF"/>
          </w:tcPr>
          <w:p>
            <w:pPr>
              <w:ind w:left="220"/>
              <w:spacing w:after="0" w:line="196" w:lineRule="exact"/>
              <w:rPr>
                <w:sz w:val="20"/>
                <w:szCs w:val="20"/>
                <w:color w:val="auto"/>
              </w:rPr>
            </w:pPr>
            <w:r>
              <w:rPr>
                <w:rFonts w:ascii="Arial" w:cs="Arial" w:eastAsia="Arial" w:hAnsi="Arial"/>
                <w:sz w:val="18"/>
                <w:szCs w:val="18"/>
                <w:color w:val="auto"/>
              </w:rPr>
              <w:t>Debt securities available for sale</w:t>
            </w:r>
          </w:p>
        </w:tc>
        <w:tc>
          <w:tcPr>
            <w:tcW w:w="260" w:type="dxa"/>
            <w:vAlign w:val="bottom"/>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2"/>
              </w:rPr>
              <w:t>2,211,543</w:t>
            </w:r>
          </w:p>
        </w:tc>
        <w:tc>
          <w:tcPr>
            <w:tcW w:w="40" w:type="dxa"/>
            <w:vAlign w:val="bottom"/>
            <w:shd w:val="clear" w:color="auto" w:fill="CCEEFF"/>
          </w:tcPr>
          <w:p>
            <w:pPr>
              <w:spacing w:after="0"/>
              <w:rPr>
                <w:sz w:val="17"/>
                <w:szCs w:val="17"/>
                <w:color w:val="auto"/>
              </w:rPr>
            </w:pPr>
          </w:p>
        </w:tc>
        <w:tc>
          <w:tcPr>
            <w:tcW w:w="160" w:type="dxa"/>
            <w:vAlign w:val="bottom"/>
            <w:gridSpan w:val="2"/>
            <w:shd w:val="clear" w:color="auto" w:fill="CCEEFF"/>
          </w:tcPr>
          <w:p>
            <w:pPr>
              <w:spacing w:after="0"/>
              <w:rPr>
                <w:sz w:val="17"/>
                <w:szCs w:val="17"/>
                <w:color w:val="auto"/>
              </w:rPr>
            </w:pPr>
          </w:p>
        </w:tc>
        <w:tc>
          <w:tcPr>
            <w:tcW w:w="6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85"/>
              </w:rPr>
              <w:t>$ 50,317</w:t>
            </w:r>
          </w:p>
        </w:tc>
        <w:tc>
          <w:tcPr>
            <w:tcW w:w="40" w:type="dxa"/>
            <w:vAlign w:val="bottom"/>
            <w:shd w:val="clear" w:color="auto" w:fill="CCEEFF"/>
          </w:tcPr>
          <w:p>
            <w:pPr>
              <w:spacing w:after="0"/>
              <w:rPr>
                <w:sz w:val="17"/>
                <w:szCs w:val="17"/>
                <w:color w:val="auto"/>
              </w:rPr>
            </w:pPr>
          </w:p>
        </w:tc>
        <w:tc>
          <w:tcPr>
            <w:tcW w:w="160" w:type="dxa"/>
            <w:vAlign w:val="bottom"/>
            <w:gridSpan w:val="2"/>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(673)</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ind w:left="180"/>
              <w:spacing w:after="0" w:line="196"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160" w:type="dxa"/>
            <w:vAlign w:val="bottom"/>
            <w:gridSpan w:val="2"/>
            <w:shd w:val="clear" w:color="auto" w:fill="CCEEFF"/>
          </w:tcPr>
          <w:p>
            <w:pPr>
              <w:spacing w:after="0"/>
              <w:rPr>
                <w:sz w:val="17"/>
                <w:szCs w:val="17"/>
                <w:color w:val="auto"/>
              </w:rPr>
            </w:pPr>
          </w:p>
        </w:tc>
        <w:tc>
          <w:tcPr>
            <w:tcW w:w="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2"/>
              </w:rPr>
              <w:t>2,261,187</w:t>
            </w:r>
          </w:p>
        </w:tc>
      </w:tr>
      <w:tr>
        <w:trPr>
          <w:trHeight w:val="20"/>
        </w:trPr>
        <w:tc>
          <w:tcPr>
            <w:tcW w:w="10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60" w:right="119"/>
        <w:spacing w:after="0" w:line="243" w:lineRule="auto"/>
        <w:rPr>
          <w:sz w:val="20"/>
          <w:szCs w:val="20"/>
          <w:color w:val="auto"/>
        </w:rPr>
      </w:pPr>
      <w:r>
        <w:rPr>
          <w:rFonts w:ascii="Arial" w:cs="Arial" w:eastAsia="Arial" w:hAnsi="Arial"/>
          <w:sz w:val="18"/>
          <w:szCs w:val="18"/>
          <w:color w:val="auto"/>
        </w:rPr>
        <w:t xml:space="preserve">Amortized cost and fair value of debt securities by contractual maturity or pre-refunded date are shown below. Mortgages underlying mortgage-backed securities may be called or prepaid; therefore, actual maturities could differ from the contractual maturities. All mortgage-backed securities were issued by U.S. government corporations and agencies </w:t>
      </w:r>
      <w:r>
        <w:rPr>
          <w:rFonts w:ascii="Arial" w:cs="Arial" w:eastAsia="Arial" w:hAnsi="Arial"/>
          <w:sz w:val="18"/>
          <w:szCs w:val="18"/>
          <w:i w:val="1"/>
          <w:iCs w:val="1"/>
          <w:color w:val="auto"/>
        </w:rPr>
        <w:t>(dollars</w:t>
      </w:r>
      <w:r>
        <w:rPr>
          <w:rFonts w:ascii="Arial" w:cs="Arial" w:eastAsia="Arial" w:hAnsi="Arial"/>
          <w:sz w:val="18"/>
          <w:szCs w:val="18"/>
          <w:color w:val="auto"/>
        </w:rPr>
        <w:t xml:space="preserve">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right"/>
              <w:ind w:right="435"/>
              <w:spacing w:after="0"/>
              <w:rPr>
                <w:sz w:val="20"/>
                <w:szCs w:val="20"/>
                <w:color w:val="auto"/>
              </w:rPr>
            </w:pPr>
            <w:r>
              <w:rPr>
                <w:rFonts w:ascii="Arial" w:cs="Arial" w:eastAsia="Arial" w:hAnsi="Arial"/>
                <w:sz w:val="14"/>
                <w:szCs w:val="14"/>
                <w:b w:val="1"/>
                <w:bCs w:val="1"/>
                <w:color w:val="auto"/>
              </w:rPr>
              <w:t>As of March 31, 2021</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right"/>
              <w:ind w:right="117"/>
              <w:spacing w:after="0" w:line="133" w:lineRule="exact"/>
              <w:rPr>
                <w:sz w:val="20"/>
                <w:szCs w:val="20"/>
                <w:color w:val="auto"/>
              </w:rPr>
            </w:pPr>
            <w:r>
              <w:rPr>
                <w:rFonts w:ascii="Arial" w:cs="Arial" w:eastAsia="Arial" w:hAnsi="Arial"/>
                <w:sz w:val="14"/>
                <w:szCs w:val="14"/>
                <w:b w:val="1"/>
                <w:bCs w:val="1"/>
                <w:color w:val="auto"/>
                <w:w w:val="99"/>
              </w:rPr>
              <w:t>Amortized</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jc w:val="right"/>
              <w:ind w:right="335"/>
              <w:spacing w:after="0" w:line="133"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540" w:type="dxa"/>
            <w:vAlign w:val="bottom"/>
            <w:tcBorders>
              <w:bottom w:val="single" w:sz="8" w:color="CCEEFF"/>
            </w:tcBorders>
          </w:tcPr>
          <w:p>
            <w:pPr>
              <w:spacing w:after="0"/>
              <w:rPr>
                <w:sz w:val="16"/>
                <w:szCs w:val="16"/>
                <w:color w:val="auto"/>
              </w:rPr>
            </w:pPr>
          </w:p>
        </w:tc>
        <w:tc>
          <w:tcPr>
            <w:tcW w:w="30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Cost</w:t>
            </w:r>
          </w:p>
        </w:tc>
        <w:tc>
          <w:tcPr>
            <w:tcW w:w="2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Due in one year or less</w:t>
            </w:r>
          </w:p>
        </w:tc>
        <w:tc>
          <w:tcPr>
            <w:tcW w:w="30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100,016</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100,789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40" w:type="dxa"/>
            <w:vAlign w:val="bottom"/>
          </w:tcPr>
          <w:p>
            <w:pPr>
              <w:spacing w:after="0" w:line="202" w:lineRule="exact"/>
              <w:rPr>
                <w:sz w:val="20"/>
                <w:szCs w:val="20"/>
                <w:color w:val="auto"/>
              </w:rPr>
            </w:pPr>
            <w:r>
              <w:rPr>
                <w:rFonts w:ascii="Arial" w:cs="Arial" w:eastAsia="Arial" w:hAnsi="Arial"/>
                <w:sz w:val="18"/>
                <w:szCs w:val="18"/>
                <w:color w:val="auto"/>
              </w:rPr>
              <w:t>Due after one year through five years</w:t>
            </w:r>
          </w:p>
        </w:tc>
        <w:tc>
          <w:tcPr>
            <w:tcW w:w="3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291,357</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297,624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Due after five years through ten years</w:t>
            </w:r>
          </w:p>
        </w:tc>
        <w:tc>
          <w:tcPr>
            <w:tcW w:w="3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303,453</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309,672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4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Due after ten years</w:t>
            </w:r>
          </w:p>
        </w:tc>
        <w:tc>
          <w:tcPr>
            <w:tcW w:w="30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2,094,582</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9"/>
              </w:rPr>
              <w:t>2,088,870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40" w:type="dxa"/>
            <w:vAlign w:val="bottom"/>
            <w:tcBorders>
              <w:bottom w:val="single" w:sz="8" w:color="CCEEFF"/>
            </w:tcBorders>
            <w:shd w:val="clear" w:color="auto" w:fill="CCEEFF"/>
          </w:tcPr>
          <w:p>
            <w:pPr>
              <w:ind w:left="220"/>
              <w:spacing w:after="0" w:line="196" w:lineRule="exact"/>
              <w:rPr>
                <w:sz w:val="20"/>
                <w:szCs w:val="20"/>
                <w:color w:val="auto"/>
              </w:rPr>
            </w:pPr>
            <w:r>
              <w:rPr>
                <w:rFonts w:ascii="Arial" w:cs="Arial" w:eastAsia="Arial" w:hAnsi="Arial"/>
                <w:sz w:val="18"/>
                <w:szCs w:val="18"/>
                <w:color w:val="auto"/>
              </w:rPr>
              <w:t>Debt securities available for sale</w:t>
            </w:r>
          </w:p>
        </w:tc>
        <w:tc>
          <w:tcPr>
            <w:tcW w:w="30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2,789,408</w:t>
            </w:r>
          </w:p>
        </w:tc>
        <w:tc>
          <w:tcPr>
            <w:tcW w:w="2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2,796,955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3040" w:type="dxa"/>
            <w:vAlign w:val="bottom"/>
            <w:vMerge w:val="restart"/>
          </w:tcPr>
          <w:p>
            <w:pPr>
              <w:jc w:val="right"/>
              <w:ind w:right="1950"/>
              <w:spacing w:after="0"/>
              <w:rPr>
                <w:sz w:val="20"/>
                <w:szCs w:val="20"/>
                <w:color w:val="auto"/>
              </w:rPr>
            </w:pPr>
            <w:r>
              <w:rPr>
                <w:rFonts w:ascii="Arial" w:cs="Arial" w:eastAsia="Arial" w:hAnsi="Arial"/>
                <w:sz w:val="18"/>
                <w:szCs w:val="18"/>
                <w:color w:val="auto"/>
              </w:rPr>
              <w:t>14</w:t>
            </w: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30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t>FIRST BUSEY CORPORATION</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w:t>
      </w:r>
    </w:p>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5" w:lineRule="exact"/>
        <w:rPr>
          <w:sz w:val="20"/>
          <w:szCs w:val="20"/>
          <w:color w:val="auto"/>
        </w:rPr>
      </w:pPr>
    </w:p>
    <w:p>
      <w:pPr>
        <w:ind w:left="60" w:right="219"/>
        <w:spacing w:after="0" w:line="261" w:lineRule="auto"/>
        <w:rPr>
          <w:sz w:val="20"/>
          <w:szCs w:val="20"/>
          <w:color w:val="auto"/>
        </w:rPr>
      </w:pPr>
      <w:r>
        <w:rPr>
          <w:rFonts w:ascii="Arial" w:cs="Arial" w:eastAsia="Arial" w:hAnsi="Arial"/>
          <w:sz w:val="18"/>
          <w:szCs w:val="18"/>
          <w:color w:val="auto"/>
        </w:rPr>
        <w:t xml:space="preserve">Realized gains and losses related to sales and calls of debt securities available for sale are summarized as follows </w:t>
      </w:r>
      <w:r>
        <w:rPr>
          <w:rFonts w:ascii="Arial" w:cs="Arial" w:eastAsia="Arial" w:hAnsi="Arial"/>
          <w:sz w:val="18"/>
          <w:szCs w:val="18"/>
          <w:i w:val="1"/>
          <w:iCs w:val="1"/>
          <w:color w:val="auto"/>
        </w:rPr>
        <w:t>(dollars</w:t>
      </w:r>
      <w:r>
        <w:rPr>
          <w:rFonts w:ascii="Arial" w:cs="Arial" w:eastAsia="Arial" w:hAnsi="Arial"/>
          <w:sz w:val="18"/>
          <w:szCs w:val="18"/>
          <w:color w:val="auto"/>
        </w:rPr>
        <w:t xml:space="preserve">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280" w:type="dxa"/>
            <w:vAlign w:val="bottom"/>
            <w:tcBorders>
              <w:bottom w:val="single" w:sz="8" w:color="auto"/>
            </w:tcBorders>
            <w:gridSpan w:val="5"/>
          </w:tcPr>
          <w:p>
            <w:pPr>
              <w:jc w:val="right"/>
              <w:ind w:right="95"/>
              <w:spacing w:after="0"/>
              <w:rPr>
                <w:sz w:val="20"/>
                <w:szCs w:val="20"/>
                <w:color w:val="auto"/>
              </w:rPr>
            </w:pPr>
            <w:r>
              <w:rPr>
                <w:rFonts w:ascii="Arial" w:cs="Arial" w:eastAsia="Arial" w:hAnsi="Arial"/>
                <w:sz w:val="14"/>
                <w:szCs w:val="14"/>
                <w:b w:val="1"/>
                <w:bCs w:val="1"/>
                <w:color w:val="auto"/>
              </w:rPr>
              <w:t>Three Months Ended March 31,</w:t>
            </w:r>
          </w:p>
        </w:tc>
      </w:tr>
      <w:tr>
        <w:trPr>
          <w:trHeight w:val="155"/>
        </w:trPr>
        <w:tc>
          <w:tcPr>
            <w:tcW w:w="20" w:type="dxa"/>
            <w:vAlign w:val="bottom"/>
          </w:tcPr>
          <w:p>
            <w:pPr>
              <w:spacing w:after="0"/>
              <w:rPr>
                <w:sz w:val="13"/>
                <w:szCs w:val="13"/>
                <w:color w:val="auto"/>
              </w:rPr>
            </w:pPr>
          </w:p>
        </w:tc>
        <w:tc>
          <w:tcPr>
            <w:tcW w:w="2220" w:type="dxa"/>
            <w:vAlign w:val="bottom"/>
            <w:tcBorders>
              <w:bottom w:val="single" w:sz="8" w:color="CCEEFF"/>
            </w:tcBorders>
          </w:tcPr>
          <w:p>
            <w:pPr>
              <w:spacing w:after="0"/>
              <w:rPr>
                <w:sz w:val="13"/>
                <w:szCs w:val="13"/>
                <w:color w:val="auto"/>
              </w:rPr>
            </w:pPr>
          </w:p>
        </w:tc>
        <w:tc>
          <w:tcPr>
            <w:tcW w:w="2880" w:type="dxa"/>
            <w:vAlign w:val="bottom"/>
            <w:tcBorders>
              <w:bottom w:val="single" w:sz="8" w:color="CCEEFF"/>
            </w:tcBorders>
          </w:tcPr>
          <w:p>
            <w:pPr>
              <w:spacing w:after="0"/>
              <w:rPr>
                <w:sz w:val="13"/>
                <w:szCs w:val="13"/>
                <w:color w:val="auto"/>
              </w:rPr>
            </w:pPr>
          </w:p>
        </w:tc>
        <w:tc>
          <w:tcPr>
            <w:tcW w:w="152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auto"/>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5"/>
              <w:spacing w:after="0" w:line="155" w:lineRule="exact"/>
              <w:rPr>
                <w:sz w:val="20"/>
                <w:szCs w:val="20"/>
                <w:color w:val="auto"/>
              </w:rPr>
            </w:pPr>
            <w:r>
              <w:rPr>
                <w:rFonts w:ascii="Arial" w:cs="Arial" w:eastAsia="Arial" w:hAnsi="Arial"/>
                <w:sz w:val="14"/>
                <w:szCs w:val="14"/>
                <w:b w:val="1"/>
                <w:bCs w:val="1"/>
                <w:color w:val="auto"/>
              </w:rPr>
              <w:t>2020</w:t>
            </w:r>
          </w:p>
        </w:tc>
      </w:tr>
      <w:tr>
        <w:trPr>
          <w:trHeight w:val="196"/>
        </w:trPr>
        <w:tc>
          <w:tcPr>
            <w:tcW w:w="20" w:type="dxa"/>
            <w:vAlign w:val="bottom"/>
          </w:tcPr>
          <w:p>
            <w:pPr>
              <w:spacing w:after="0"/>
              <w:rPr>
                <w:sz w:val="17"/>
                <w:szCs w:val="17"/>
                <w:color w:val="auto"/>
              </w:rPr>
            </w:pPr>
          </w:p>
        </w:tc>
        <w:tc>
          <w:tcPr>
            <w:tcW w:w="51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Gross security gains</w:t>
            </w:r>
          </w:p>
        </w:tc>
        <w:tc>
          <w:tcPr>
            <w:tcW w:w="152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567"/>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25</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1,561</w:t>
            </w:r>
          </w:p>
        </w:tc>
      </w:tr>
      <w:tr>
        <w:trPr>
          <w:trHeight w:val="203"/>
        </w:trPr>
        <w:tc>
          <w:tcPr>
            <w:tcW w:w="20" w:type="dxa"/>
            <w:vAlign w:val="bottom"/>
          </w:tcPr>
          <w:p>
            <w:pPr>
              <w:spacing w:after="0"/>
              <w:rPr>
                <w:sz w:val="17"/>
                <w:szCs w:val="17"/>
                <w:color w:val="auto"/>
              </w:rPr>
            </w:pPr>
          </w:p>
        </w:tc>
        <w:tc>
          <w:tcPr>
            <w:tcW w:w="5100" w:type="dxa"/>
            <w:vAlign w:val="bottom"/>
            <w:tcBorders>
              <w:bottom w:val="single" w:sz="8" w:color="CCEEFF"/>
            </w:tcBorders>
            <w:gridSpan w:val="2"/>
          </w:tcPr>
          <w:p>
            <w:pPr>
              <w:spacing w:after="0" w:line="202" w:lineRule="exact"/>
              <w:rPr>
                <w:sz w:val="20"/>
                <w:szCs w:val="20"/>
                <w:color w:val="auto"/>
              </w:rPr>
            </w:pPr>
            <w:r>
              <w:rPr>
                <w:rFonts w:ascii="Arial" w:cs="Arial" w:eastAsia="Arial" w:hAnsi="Arial"/>
                <w:sz w:val="18"/>
                <w:szCs w:val="18"/>
                <w:color w:val="auto"/>
              </w:rPr>
              <w:t>Gross security (losses)</w:t>
            </w:r>
          </w:p>
        </w:tc>
        <w:tc>
          <w:tcPr>
            <w:tcW w:w="152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w:t>
            </w:r>
          </w:p>
        </w:tc>
      </w:tr>
      <w:tr>
        <w:trPr>
          <w:trHeight w:val="196"/>
        </w:trPr>
        <w:tc>
          <w:tcPr>
            <w:tcW w:w="20" w:type="dxa"/>
            <w:vAlign w:val="bottom"/>
          </w:tcPr>
          <w:p>
            <w:pPr>
              <w:spacing w:after="0"/>
              <w:rPr>
                <w:sz w:val="17"/>
                <w:szCs w:val="17"/>
                <w:color w:val="auto"/>
              </w:rPr>
            </w:pPr>
          </w:p>
        </w:tc>
        <w:tc>
          <w:tcPr>
            <w:tcW w:w="5100" w:type="dxa"/>
            <w:vAlign w:val="bottom"/>
            <w:tcBorders>
              <w:bottom w:val="single" w:sz="8" w:color="CCEEFF"/>
            </w:tcBorders>
            <w:gridSpan w:val="2"/>
            <w:shd w:val="clear" w:color="auto" w:fill="CCEEFF"/>
          </w:tcPr>
          <w:p>
            <w:pPr>
              <w:ind w:left="220"/>
              <w:spacing w:after="0" w:line="195" w:lineRule="exact"/>
              <w:rPr>
                <w:sz w:val="20"/>
                <w:szCs w:val="20"/>
                <w:color w:val="auto"/>
              </w:rPr>
            </w:pPr>
            <w:r>
              <w:rPr>
                <w:rFonts w:ascii="Arial" w:cs="Arial" w:eastAsia="Arial" w:hAnsi="Arial"/>
                <w:sz w:val="16"/>
                <w:szCs w:val="16"/>
                <w:color w:val="auto"/>
              </w:rPr>
              <w:t xml:space="preserve">Net gains (losses) on sales of debt securities </w:t>
            </w:r>
            <w:r>
              <w:rPr>
                <w:rFonts w:ascii="Arial" w:cs="Arial" w:eastAsia="Arial" w:hAnsi="Arial"/>
                <w:sz w:val="22"/>
                <w:szCs w:val="22"/>
                <w:color w:val="auto"/>
                <w:vertAlign w:val="superscript"/>
              </w:rPr>
              <w:t>(1)</w:t>
            </w:r>
          </w:p>
        </w:tc>
        <w:tc>
          <w:tcPr>
            <w:tcW w:w="15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567"/>
              <w:spacing w:after="0"/>
              <w:rPr>
                <w:sz w:val="20"/>
                <w:szCs w:val="20"/>
                <w:color w:val="auto"/>
              </w:rPr>
            </w:pPr>
            <w:r>
              <w:rPr>
                <w:rFonts w:ascii="Arial" w:cs="Arial" w:eastAsia="Arial" w:hAnsi="Arial"/>
                <w:sz w:val="15"/>
                <w:szCs w:val="15"/>
                <w:color w:val="auto"/>
                <w:w w:val="71"/>
              </w:rPr>
              <w:t>$</w:t>
            </w:r>
          </w:p>
        </w:tc>
        <w:tc>
          <w:tcPr>
            <w:tcW w:w="3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w:t>
            </w:r>
          </w:p>
        </w:tc>
        <w:tc>
          <w:tcPr>
            <w:tcW w:w="1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1,556</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28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r>
    </w:tbl>
    <w:p>
      <w:pPr>
        <w:spacing w:after="0" w:line="62" w:lineRule="exact"/>
        <w:rPr>
          <w:sz w:val="20"/>
          <w:szCs w:val="20"/>
          <w:color w:val="auto"/>
        </w:rPr>
      </w:pPr>
    </w:p>
    <w:p>
      <w:pPr>
        <w:ind w:left="480" w:right="79" w:hanging="322"/>
        <w:spacing w:after="0" w:line="273" w:lineRule="auto"/>
        <w:tabs>
          <w:tab w:leader="none" w:pos="480" w:val="left"/>
        </w:tabs>
        <w:numPr>
          <w:ilvl w:val="0"/>
          <w:numId w:val="4"/>
        </w:numPr>
        <w:rPr>
          <w:rFonts w:ascii="Arial" w:cs="Arial" w:eastAsia="Arial" w:hAnsi="Arial"/>
          <w:sz w:val="13"/>
          <w:szCs w:val="13"/>
          <w:color w:val="auto"/>
        </w:rPr>
      </w:pPr>
      <w:r>
        <w:rPr>
          <w:rFonts w:ascii="Arial" w:cs="Arial" w:eastAsia="Arial" w:hAnsi="Arial"/>
          <w:sz w:val="14"/>
          <w:szCs w:val="14"/>
          <w:color w:val="auto"/>
        </w:rPr>
        <w:t>Net gains (losses) on sales of securities reported on the unaudited Consolidated Statements of Income includes sales of equity securities, excluded in this table.</w:t>
      </w:r>
    </w:p>
    <w:p>
      <w:pPr>
        <w:spacing w:after="0" w:line="165" w:lineRule="exact"/>
        <w:rPr>
          <w:sz w:val="20"/>
          <w:szCs w:val="20"/>
          <w:color w:val="auto"/>
        </w:rPr>
      </w:pPr>
    </w:p>
    <w:p>
      <w:pPr>
        <w:jc w:val="both"/>
        <w:ind w:left="60" w:right="339"/>
        <w:spacing w:after="0" w:line="248" w:lineRule="auto"/>
        <w:rPr>
          <w:sz w:val="20"/>
          <w:szCs w:val="20"/>
          <w:color w:val="auto"/>
        </w:rPr>
      </w:pPr>
      <w:r>
        <w:rPr>
          <w:rFonts w:ascii="Arial" w:cs="Arial" w:eastAsia="Arial" w:hAnsi="Arial"/>
          <w:sz w:val="18"/>
          <w:szCs w:val="18"/>
          <w:color w:val="auto"/>
        </w:rPr>
        <w:t>Debt securities with carrying amounts of $562.6 million on March 31, 2021, and $628.0 million on December 31, 2020, were pledged as collateral for public deposits, securities sold under agreements to repurchase, and for other purposes as required.</w:t>
      </w:r>
    </w:p>
    <w:p>
      <w:pPr>
        <w:spacing w:after="0" w:line="168" w:lineRule="exact"/>
        <w:rPr>
          <w:sz w:val="20"/>
          <w:szCs w:val="20"/>
          <w:color w:val="auto"/>
        </w:rPr>
      </w:pPr>
    </w:p>
    <w:p>
      <w:pPr>
        <w:ind w:left="60" w:right="199"/>
        <w:spacing w:after="0" w:line="324" w:lineRule="auto"/>
        <w:rPr>
          <w:sz w:val="20"/>
          <w:szCs w:val="20"/>
          <w:color w:val="auto"/>
        </w:rPr>
      </w:pPr>
      <w:r>
        <w:rPr>
          <w:rFonts w:ascii="Arial" w:cs="Arial" w:eastAsia="Arial" w:hAnsi="Arial"/>
          <w:sz w:val="16"/>
          <w:szCs w:val="16"/>
          <w:color w:val="auto"/>
        </w:rPr>
        <w:t xml:space="preserve">The following information pertains to debt securities with gross unrealized losses, aggregated by investment category and the length of time that individual securities have been in a continuous loss position </w:t>
      </w:r>
      <w:r>
        <w:rPr>
          <w:rFonts w:ascii="Arial" w:cs="Arial" w:eastAsia="Arial" w:hAnsi="Arial"/>
          <w:sz w:val="16"/>
          <w:szCs w:val="16"/>
          <w:i w:val="1"/>
          <w:iCs w:val="1"/>
          <w:color w:val="auto"/>
        </w:rPr>
        <w:t>(dollars in thousands)</w:t>
      </w:r>
      <w:r>
        <w:rPr>
          <w:rFonts w:ascii="Arial" w:cs="Arial" w:eastAsia="Arial" w:hAnsi="Arial"/>
          <w:sz w:val="16"/>
          <w:szCs w:val="16"/>
          <w:color w:val="auto"/>
        </w:rPr>
        <w:t>:</w:t>
      </w:r>
    </w:p>
    <w:p>
      <w:pPr>
        <w:spacing w:after="0" w:line="116" w:lineRule="exact"/>
        <w:rPr>
          <w:sz w:val="20"/>
          <w:szCs w:val="20"/>
          <w:color w:val="auto"/>
        </w:rPr>
      </w:pPr>
    </w:p>
    <w:tbl>
      <w:tblPr>
        <w:tblLayout w:type="fixed"/>
        <w:tblInd w:w="60" w:type="dxa"/>
        <w:tblCellMar>
          <w:top w:w="0" w:type="dxa"/>
          <w:left w:w="0" w:type="dxa"/>
          <w:bottom w:w="0" w:type="dxa"/>
          <w:right w:w="0" w:type="dxa"/>
        </w:tblCellMar>
      </w:tblPr>
      <w:tr>
        <w:trPr>
          <w:trHeight w:val="185"/>
        </w:trPr>
        <w:tc>
          <w:tcPr>
            <w:tcW w:w="100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4"/>
          </w:tcPr>
          <w:p>
            <w:pPr>
              <w:jc w:val="right"/>
              <w:ind w:right="88"/>
              <w:spacing w:after="0"/>
              <w:rPr>
                <w:sz w:val="20"/>
                <w:szCs w:val="20"/>
                <w:color w:val="auto"/>
              </w:rPr>
            </w:pPr>
            <w:r>
              <w:rPr>
                <w:rFonts w:ascii="Arial" w:cs="Arial" w:eastAsia="Arial" w:hAnsi="Arial"/>
                <w:sz w:val="14"/>
                <w:szCs w:val="14"/>
                <w:b w:val="1"/>
                <w:bCs w:val="1"/>
                <w:color w:val="auto"/>
                <w:w w:val="93"/>
              </w:rPr>
              <w:t>Less than 12 months</w:t>
            </w:r>
          </w:p>
        </w:tc>
        <w:tc>
          <w:tcPr>
            <w:tcW w:w="1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9"/>
              </w:rPr>
              <w:t>12 months or more</w:t>
            </w: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rPr>
              <w:t>Total</w:t>
            </w:r>
          </w:p>
        </w:tc>
        <w:tc>
          <w:tcPr>
            <w:tcW w:w="580" w:type="dxa"/>
            <w:vAlign w:val="bottom"/>
            <w:tcBorders>
              <w:bottom w:val="single" w:sz="8" w:color="auto"/>
            </w:tcBorders>
          </w:tcPr>
          <w:p>
            <w:pPr>
              <w:spacing w:after="0"/>
              <w:rPr>
                <w:sz w:val="16"/>
                <w:szCs w:val="16"/>
                <w:color w:val="auto"/>
              </w:rPr>
            </w:pPr>
          </w:p>
        </w:tc>
      </w:tr>
      <w:tr>
        <w:trPr>
          <w:trHeight w:val="133"/>
        </w:trPr>
        <w:tc>
          <w:tcPr>
            <w:tcW w:w="100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ind w:right="188"/>
              <w:spacing w:after="0" w:line="133" w:lineRule="exact"/>
              <w:rPr>
                <w:sz w:val="20"/>
                <w:szCs w:val="20"/>
                <w:color w:val="auto"/>
              </w:rPr>
            </w:pPr>
            <w:r>
              <w:rPr>
                <w:rFonts w:ascii="Arial" w:cs="Arial" w:eastAsia="Arial" w:hAnsi="Arial"/>
                <w:sz w:val="14"/>
                <w:szCs w:val="14"/>
                <w:b w:val="1"/>
                <w:bCs w:val="1"/>
                <w:color w:val="auto"/>
              </w:rPr>
              <w:t>Fair</w:t>
            </w:r>
          </w:p>
        </w:tc>
        <w:tc>
          <w:tcPr>
            <w:tcW w:w="820" w:type="dxa"/>
            <w:vAlign w:val="bottom"/>
            <w:gridSpan w:val="3"/>
          </w:tcPr>
          <w:p>
            <w:pPr>
              <w:jc w:val="right"/>
              <w:spacing w:after="0" w:line="133" w:lineRule="exact"/>
              <w:rPr>
                <w:sz w:val="20"/>
                <w:szCs w:val="20"/>
                <w:color w:val="auto"/>
              </w:rPr>
            </w:pPr>
            <w:r>
              <w:rPr>
                <w:rFonts w:ascii="Arial" w:cs="Arial" w:eastAsia="Arial" w:hAnsi="Arial"/>
                <w:sz w:val="14"/>
                <w:szCs w:val="14"/>
                <w:b w:val="1"/>
                <w:bCs w:val="1"/>
                <w:color w:val="auto"/>
              </w:rPr>
              <w:t>Unrealized</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ind w:right="68"/>
              <w:spacing w:after="0" w:line="133" w:lineRule="exact"/>
              <w:rPr>
                <w:sz w:val="20"/>
                <w:szCs w:val="20"/>
                <w:color w:val="auto"/>
              </w:rPr>
            </w:pPr>
            <w:r>
              <w:rPr>
                <w:rFonts w:ascii="Arial" w:cs="Arial" w:eastAsia="Arial" w:hAnsi="Arial"/>
                <w:sz w:val="14"/>
                <w:szCs w:val="14"/>
                <w:b w:val="1"/>
                <w:bCs w:val="1"/>
                <w:color w:val="auto"/>
              </w:rPr>
              <w:t>Fair</w:t>
            </w:r>
          </w:p>
        </w:tc>
        <w:tc>
          <w:tcPr>
            <w:tcW w:w="840" w:type="dxa"/>
            <w:vAlign w:val="bottom"/>
            <w:gridSpan w:val="3"/>
          </w:tcPr>
          <w:p>
            <w:pPr>
              <w:jc w:val="right"/>
              <w:spacing w:after="0" w:line="133" w:lineRule="exact"/>
              <w:rPr>
                <w:sz w:val="20"/>
                <w:szCs w:val="20"/>
                <w:color w:val="auto"/>
              </w:rPr>
            </w:pPr>
            <w:r>
              <w:rPr>
                <w:rFonts w:ascii="Arial" w:cs="Arial" w:eastAsia="Arial" w:hAnsi="Arial"/>
                <w:sz w:val="14"/>
                <w:szCs w:val="14"/>
                <w:b w:val="1"/>
                <w:bCs w:val="1"/>
                <w:color w:val="auto"/>
              </w:rPr>
              <w:t>Unrealized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ind w:right="188"/>
              <w:spacing w:after="0" w:line="133" w:lineRule="exact"/>
              <w:rPr>
                <w:sz w:val="20"/>
                <w:szCs w:val="20"/>
                <w:color w:val="auto"/>
              </w:rPr>
            </w:pPr>
            <w:r>
              <w:rPr>
                <w:rFonts w:ascii="Arial" w:cs="Arial" w:eastAsia="Arial" w:hAnsi="Arial"/>
                <w:sz w:val="14"/>
                <w:szCs w:val="14"/>
                <w:b w:val="1"/>
                <w:bCs w:val="1"/>
                <w:color w:val="auto"/>
              </w:rPr>
              <w:t>Fair</w:t>
            </w:r>
          </w:p>
        </w:tc>
        <w:tc>
          <w:tcPr>
            <w:tcW w:w="820" w:type="dxa"/>
            <w:vAlign w:val="bottom"/>
            <w:gridSpan w:val="3"/>
          </w:tcPr>
          <w:p>
            <w:pPr>
              <w:ind w:left="140"/>
              <w:spacing w:after="0" w:line="133" w:lineRule="exact"/>
              <w:rPr>
                <w:sz w:val="20"/>
                <w:szCs w:val="20"/>
                <w:color w:val="auto"/>
              </w:rPr>
            </w:pPr>
            <w:r>
              <w:rPr>
                <w:rFonts w:ascii="Arial" w:cs="Arial" w:eastAsia="Arial" w:hAnsi="Arial"/>
                <w:sz w:val="14"/>
                <w:szCs w:val="14"/>
                <w:b w:val="1"/>
                <w:bCs w:val="1"/>
                <w:color w:val="auto"/>
                <w:w w:val="93"/>
              </w:rPr>
              <w:t>Unrealized</w:t>
            </w:r>
          </w:p>
        </w:tc>
      </w:tr>
      <w:tr>
        <w:trPr>
          <w:trHeight w:val="158"/>
        </w:trPr>
        <w:tc>
          <w:tcPr>
            <w:tcW w:w="372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March 31, 2021:</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ind w:right="128"/>
              <w:spacing w:after="0" w:line="158" w:lineRule="exact"/>
              <w:rPr>
                <w:sz w:val="20"/>
                <w:szCs w:val="20"/>
                <w:color w:val="auto"/>
              </w:rPr>
            </w:pPr>
            <w:r>
              <w:rPr>
                <w:rFonts w:ascii="Arial" w:cs="Arial" w:eastAsia="Arial" w:hAnsi="Arial"/>
                <w:sz w:val="14"/>
                <w:szCs w:val="14"/>
                <w:b w:val="1"/>
                <w:bCs w:val="1"/>
                <w:color w:val="auto"/>
              </w:rPr>
              <w:t>Value</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ind w:right="68"/>
              <w:spacing w:after="0" w:line="158" w:lineRule="exact"/>
              <w:rPr>
                <w:sz w:val="20"/>
                <w:szCs w:val="20"/>
                <w:color w:val="auto"/>
              </w:rPr>
            </w:pPr>
            <w:r>
              <w:rPr>
                <w:rFonts w:ascii="Arial" w:cs="Arial" w:eastAsia="Arial" w:hAnsi="Arial"/>
                <w:sz w:val="14"/>
                <w:szCs w:val="14"/>
                <w:b w:val="1"/>
                <w:bCs w:val="1"/>
                <w:color w:val="auto"/>
                <w:w w:val="86"/>
              </w:rPr>
              <w:t>Losses</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ind w:left="20"/>
              <w:spacing w:after="0" w:line="158" w:lineRule="exact"/>
              <w:rPr>
                <w:sz w:val="20"/>
                <w:szCs w:val="20"/>
                <w:color w:val="auto"/>
              </w:rPr>
            </w:pPr>
            <w:r>
              <w:rPr>
                <w:rFonts w:ascii="Arial" w:cs="Arial" w:eastAsia="Arial" w:hAnsi="Arial"/>
                <w:sz w:val="14"/>
                <w:szCs w:val="14"/>
                <w:b w:val="1"/>
                <w:bCs w:val="1"/>
                <w:color w:val="auto"/>
              </w:rPr>
              <w:t>Value</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ind w:right="88"/>
              <w:spacing w:after="0" w:line="158" w:lineRule="exact"/>
              <w:rPr>
                <w:sz w:val="20"/>
                <w:szCs w:val="20"/>
                <w:color w:val="auto"/>
              </w:rPr>
            </w:pPr>
            <w:r>
              <w:rPr>
                <w:rFonts w:ascii="Arial" w:cs="Arial" w:eastAsia="Arial" w:hAnsi="Arial"/>
                <w:sz w:val="14"/>
                <w:szCs w:val="14"/>
                <w:b w:val="1"/>
                <w:bCs w:val="1"/>
                <w:color w:val="auto"/>
                <w:w w:val="82"/>
              </w:rPr>
              <w:t>Losses</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ind w:right="148"/>
              <w:spacing w:after="0" w:line="158" w:lineRule="exact"/>
              <w:rPr>
                <w:sz w:val="20"/>
                <w:szCs w:val="20"/>
                <w:color w:val="auto"/>
              </w:rPr>
            </w:pPr>
            <w:r>
              <w:rPr>
                <w:rFonts w:ascii="Arial" w:cs="Arial" w:eastAsia="Arial" w:hAnsi="Arial"/>
                <w:sz w:val="14"/>
                <w:szCs w:val="14"/>
                <w:b w:val="1"/>
                <w:bCs w:val="1"/>
                <w:color w:val="auto"/>
              </w:rPr>
              <w:t>Value</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ind w:right="68"/>
              <w:spacing w:after="0" w:line="158" w:lineRule="exact"/>
              <w:rPr>
                <w:sz w:val="20"/>
                <w:szCs w:val="20"/>
                <w:color w:val="auto"/>
              </w:rPr>
            </w:pPr>
            <w:r>
              <w:rPr>
                <w:rFonts w:ascii="Arial" w:cs="Arial" w:eastAsia="Arial" w:hAnsi="Arial"/>
                <w:sz w:val="14"/>
                <w:szCs w:val="14"/>
                <w:b w:val="1"/>
                <w:bCs w:val="1"/>
                <w:color w:val="auto"/>
                <w:w w:val="86"/>
              </w:rPr>
              <w:t>Losses</w:t>
            </w:r>
          </w:p>
        </w:tc>
      </w:tr>
      <w:tr>
        <w:trPr>
          <w:trHeight w:val="20"/>
        </w:trPr>
        <w:tc>
          <w:tcPr>
            <w:tcW w:w="1000" w:type="dxa"/>
            <w:vAlign w:val="bottom"/>
            <w:tcBorders>
              <w:top w:val="single" w:sz="8" w:color="auto"/>
              <w:bottom w:val="single" w:sz="8" w:color="CCEEFF"/>
            </w:tcBorders>
          </w:tcPr>
          <w:p>
            <w:pPr>
              <w:spacing w:after="0" w:line="20" w:lineRule="exact"/>
              <w:rPr>
                <w:sz w:val="1"/>
                <w:szCs w:val="1"/>
                <w:color w:val="auto"/>
              </w:rPr>
            </w:pPr>
          </w:p>
        </w:tc>
        <w:tc>
          <w:tcPr>
            <w:tcW w:w="27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143"/>
        </w:trPr>
        <w:tc>
          <w:tcPr>
            <w:tcW w:w="372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Debt securities available for sale</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r>
      <w:tr>
        <w:trPr>
          <w:trHeight w:val="162"/>
        </w:trPr>
        <w:tc>
          <w:tcPr>
            <w:tcW w:w="3720" w:type="dxa"/>
            <w:vAlign w:val="bottom"/>
            <w:gridSpan w:val="2"/>
          </w:tcPr>
          <w:p>
            <w:pPr>
              <w:spacing w:after="0"/>
              <w:rPr>
                <w:sz w:val="20"/>
                <w:szCs w:val="20"/>
                <w:color w:val="auto"/>
              </w:rPr>
            </w:pPr>
            <w:r>
              <w:rPr>
                <w:rFonts w:ascii="Arial" w:cs="Arial" w:eastAsia="Arial" w:hAnsi="Arial"/>
                <w:sz w:val="14"/>
                <w:szCs w:val="14"/>
                <w:color w:val="auto"/>
              </w:rPr>
              <w:t>Obligations of U.S. government corporations and agencies</w:t>
            </w:r>
          </w:p>
        </w:tc>
        <w:tc>
          <w:tcPr>
            <w:tcW w:w="4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4,695</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(45)</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4,695</w:t>
            </w:r>
          </w:p>
        </w:tc>
        <w:tc>
          <w:tcPr>
            <w:tcW w:w="2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(45)</w:t>
            </w:r>
          </w:p>
        </w:tc>
      </w:tr>
      <w:tr>
        <w:trPr>
          <w:trHeight w:val="162"/>
        </w:trPr>
        <w:tc>
          <w:tcPr>
            <w:tcW w:w="37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Obligations of states and political subdivisions</w:t>
            </w: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58,555</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(1,542)</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58,555</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(1,542)</w:t>
            </w:r>
          </w:p>
        </w:tc>
      </w:tr>
      <w:tr>
        <w:trPr>
          <w:trHeight w:val="162"/>
        </w:trPr>
        <w:tc>
          <w:tcPr>
            <w:tcW w:w="3720" w:type="dxa"/>
            <w:vAlign w:val="bottom"/>
            <w:gridSpan w:val="2"/>
          </w:tcPr>
          <w:p>
            <w:pPr>
              <w:spacing w:after="0"/>
              <w:rPr>
                <w:sz w:val="20"/>
                <w:szCs w:val="20"/>
                <w:color w:val="auto"/>
              </w:rPr>
            </w:pPr>
            <w:r>
              <w:rPr>
                <w:rFonts w:ascii="Arial" w:cs="Arial" w:eastAsia="Arial" w:hAnsi="Arial"/>
                <w:sz w:val="14"/>
                <w:szCs w:val="14"/>
                <w:color w:val="auto"/>
              </w:rPr>
              <w:t>Commercial mortgage-backed securities</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314,109</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(6,786)</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314,109</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(6,786)</w:t>
            </w:r>
          </w:p>
        </w:tc>
      </w:tr>
      <w:tr>
        <w:trPr>
          <w:trHeight w:val="162"/>
        </w:trPr>
        <w:tc>
          <w:tcPr>
            <w:tcW w:w="37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Residential mortgage-backed securities</w:t>
            </w: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1,019,462</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(18,325)</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352</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1,019,814</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(18,329)</w:t>
            </w:r>
          </w:p>
        </w:tc>
      </w:tr>
      <w:tr>
        <w:trPr>
          <w:trHeight w:val="162"/>
        </w:trPr>
        <w:tc>
          <w:tcPr>
            <w:tcW w:w="372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Corporate debt securities</w:t>
            </w:r>
          </w:p>
        </w:tc>
        <w:tc>
          <w:tcPr>
            <w:tcW w:w="3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95,164</w:t>
            </w: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(1,427)</w:t>
            </w: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95,164</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(1,427)</w:t>
            </w:r>
          </w:p>
        </w:tc>
      </w:tr>
      <w:tr>
        <w:trPr>
          <w:trHeight w:val="155"/>
        </w:trPr>
        <w:tc>
          <w:tcPr>
            <w:tcW w:w="3720" w:type="dxa"/>
            <w:vAlign w:val="bottom"/>
            <w:tcBorders>
              <w:bottom w:val="single" w:sz="8" w:color="CCEEFF"/>
            </w:tcBorders>
            <w:gridSpan w:val="2"/>
            <w:shd w:val="clear" w:color="auto" w:fill="CCEEFF"/>
          </w:tcPr>
          <w:p>
            <w:pPr>
              <w:ind w:left="220"/>
              <w:spacing w:after="0" w:line="155" w:lineRule="exact"/>
              <w:rPr>
                <w:sz w:val="20"/>
                <w:szCs w:val="20"/>
                <w:color w:val="auto"/>
              </w:rPr>
            </w:pPr>
            <w:r>
              <w:rPr>
                <w:rFonts w:ascii="Arial" w:cs="Arial" w:eastAsia="Arial" w:hAnsi="Arial"/>
                <w:sz w:val="14"/>
                <w:szCs w:val="14"/>
                <w:color w:val="auto"/>
              </w:rPr>
              <w:t>Total temporarily impaired securities</w:t>
            </w:r>
          </w:p>
        </w:tc>
        <w:tc>
          <w:tcPr>
            <w:tcW w:w="3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93"/>
              </w:rPr>
              <w:t>1,487,290</w:t>
            </w:r>
          </w:p>
        </w:tc>
        <w:tc>
          <w:tcPr>
            <w:tcW w:w="1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(28,080)</w:t>
            </w:r>
          </w:p>
        </w:tc>
        <w:tc>
          <w:tcPr>
            <w:tcW w:w="1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5,047</w:t>
            </w:r>
          </w:p>
        </w:tc>
        <w:tc>
          <w:tcPr>
            <w:tcW w:w="1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(49)</w:t>
            </w:r>
          </w:p>
        </w:tc>
        <w:tc>
          <w:tcPr>
            <w:tcW w:w="1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93"/>
              </w:rPr>
              <w:t>1,492,337</w:t>
            </w:r>
          </w:p>
        </w:tc>
        <w:tc>
          <w:tcPr>
            <w:tcW w:w="1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(28,129)</w:t>
            </w:r>
          </w:p>
        </w:tc>
      </w:tr>
      <w:tr>
        <w:trPr>
          <w:trHeight w:val="20"/>
        </w:trPr>
        <w:tc>
          <w:tcPr>
            <w:tcW w:w="10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tbl>
      <w:tblPr>
        <w:tblLayout w:type="fixed"/>
        <w:tblInd w:w="60" w:type="dxa"/>
        <w:tblCellMar>
          <w:top w:w="0" w:type="dxa"/>
          <w:left w:w="0" w:type="dxa"/>
          <w:bottom w:w="0" w:type="dxa"/>
          <w:right w:w="0" w:type="dxa"/>
        </w:tblCellMar>
      </w:tblPr>
      <w:tr>
        <w:trPr>
          <w:trHeight w:val="185"/>
        </w:trPr>
        <w:tc>
          <w:tcPr>
            <w:tcW w:w="120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4"/>
          </w:tcPr>
          <w:p>
            <w:pPr>
              <w:jc w:val="right"/>
              <w:ind w:right="48"/>
              <w:spacing w:after="0"/>
              <w:rPr>
                <w:sz w:val="20"/>
                <w:szCs w:val="20"/>
                <w:color w:val="auto"/>
              </w:rPr>
            </w:pPr>
            <w:r>
              <w:rPr>
                <w:rFonts w:ascii="Arial" w:cs="Arial" w:eastAsia="Arial" w:hAnsi="Arial"/>
                <w:sz w:val="14"/>
                <w:szCs w:val="14"/>
                <w:b w:val="1"/>
                <w:bCs w:val="1"/>
                <w:color w:val="auto"/>
                <w:w w:val="90"/>
              </w:rPr>
              <w:t>Less than 12 months</w:t>
            </w: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12 months or more</w:t>
            </w: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w w:val="95"/>
              </w:rPr>
              <w:t>Total</w:t>
            </w:r>
          </w:p>
        </w:tc>
        <w:tc>
          <w:tcPr>
            <w:tcW w:w="560" w:type="dxa"/>
            <w:vAlign w:val="bottom"/>
            <w:tcBorders>
              <w:bottom w:val="single" w:sz="8" w:color="auto"/>
            </w:tcBorders>
          </w:tcPr>
          <w:p>
            <w:pPr>
              <w:spacing w:after="0"/>
              <w:rPr>
                <w:sz w:val="16"/>
                <w:szCs w:val="16"/>
                <w:color w:val="auto"/>
              </w:rPr>
            </w:pPr>
          </w:p>
        </w:tc>
      </w:tr>
      <w:tr>
        <w:trPr>
          <w:trHeight w:val="133"/>
        </w:trPr>
        <w:tc>
          <w:tcPr>
            <w:tcW w:w="120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ind w:right="128"/>
              <w:spacing w:after="0" w:line="133" w:lineRule="exact"/>
              <w:rPr>
                <w:sz w:val="20"/>
                <w:szCs w:val="20"/>
                <w:color w:val="auto"/>
              </w:rPr>
            </w:pPr>
            <w:r>
              <w:rPr>
                <w:rFonts w:ascii="Arial" w:cs="Arial" w:eastAsia="Arial" w:hAnsi="Arial"/>
                <w:sz w:val="14"/>
                <w:szCs w:val="14"/>
                <w:b w:val="1"/>
                <w:bCs w:val="1"/>
                <w:color w:val="auto"/>
              </w:rPr>
              <w:t>Fair</w:t>
            </w:r>
          </w:p>
        </w:tc>
        <w:tc>
          <w:tcPr>
            <w:tcW w:w="820" w:type="dxa"/>
            <w:vAlign w:val="bottom"/>
            <w:gridSpan w:val="3"/>
          </w:tcPr>
          <w:p>
            <w:pPr>
              <w:ind w:left="140"/>
              <w:spacing w:after="0" w:line="133" w:lineRule="exact"/>
              <w:rPr>
                <w:sz w:val="20"/>
                <w:szCs w:val="20"/>
                <w:color w:val="auto"/>
              </w:rPr>
            </w:pPr>
            <w:r>
              <w:rPr>
                <w:rFonts w:ascii="Arial" w:cs="Arial" w:eastAsia="Arial" w:hAnsi="Arial"/>
                <w:sz w:val="14"/>
                <w:szCs w:val="14"/>
                <w:b w:val="1"/>
                <w:bCs w:val="1"/>
                <w:color w:val="auto"/>
                <w:w w:val="93"/>
              </w:rPr>
              <w:t>Unrealized</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ind w:right="128"/>
              <w:spacing w:after="0" w:line="133" w:lineRule="exact"/>
              <w:rPr>
                <w:sz w:val="20"/>
                <w:szCs w:val="20"/>
                <w:color w:val="auto"/>
              </w:rPr>
            </w:pPr>
            <w:r>
              <w:rPr>
                <w:rFonts w:ascii="Arial" w:cs="Arial" w:eastAsia="Arial" w:hAnsi="Arial"/>
                <w:sz w:val="14"/>
                <w:szCs w:val="14"/>
                <w:b w:val="1"/>
                <w:bCs w:val="1"/>
                <w:color w:val="auto"/>
              </w:rPr>
              <w:t>Fair</w:t>
            </w:r>
          </w:p>
        </w:tc>
        <w:tc>
          <w:tcPr>
            <w:tcW w:w="820" w:type="dxa"/>
            <w:vAlign w:val="bottom"/>
            <w:gridSpan w:val="3"/>
          </w:tcPr>
          <w:p>
            <w:pPr>
              <w:ind w:left="140"/>
              <w:spacing w:after="0" w:line="133" w:lineRule="exact"/>
              <w:rPr>
                <w:sz w:val="20"/>
                <w:szCs w:val="20"/>
                <w:color w:val="auto"/>
              </w:rPr>
            </w:pPr>
            <w:r>
              <w:rPr>
                <w:rFonts w:ascii="Arial" w:cs="Arial" w:eastAsia="Arial" w:hAnsi="Arial"/>
                <w:sz w:val="14"/>
                <w:szCs w:val="14"/>
                <w:b w:val="1"/>
                <w:bCs w:val="1"/>
                <w:color w:val="auto"/>
                <w:w w:val="93"/>
              </w:rPr>
              <w:t>Unrealized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ind w:right="128"/>
              <w:spacing w:after="0" w:line="133" w:lineRule="exact"/>
              <w:rPr>
                <w:sz w:val="20"/>
                <w:szCs w:val="20"/>
                <w:color w:val="auto"/>
              </w:rPr>
            </w:pPr>
            <w:r>
              <w:rPr>
                <w:rFonts w:ascii="Arial" w:cs="Arial" w:eastAsia="Arial" w:hAnsi="Arial"/>
                <w:sz w:val="14"/>
                <w:szCs w:val="14"/>
                <w:b w:val="1"/>
                <w:bCs w:val="1"/>
                <w:color w:val="auto"/>
              </w:rPr>
              <w:t>Fair</w:t>
            </w:r>
          </w:p>
        </w:tc>
        <w:tc>
          <w:tcPr>
            <w:tcW w:w="820" w:type="dxa"/>
            <w:vAlign w:val="bottom"/>
            <w:gridSpan w:val="3"/>
          </w:tcPr>
          <w:p>
            <w:pPr>
              <w:ind w:left="140"/>
              <w:spacing w:after="0" w:line="133" w:lineRule="exact"/>
              <w:rPr>
                <w:sz w:val="20"/>
                <w:szCs w:val="20"/>
                <w:color w:val="auto"/>
              </w:rPr>
            </w:pPr>
            <w:r>
              <w:rPr>
                <w:rFonts w:ascii="Arial" w:cs="Arial" w:eastAsia="Arial" w:hAnsi="Arial"/>
                <w:sz w:val="14"/>
                <w:szCs w:val="14"/>
                <w:b w:val="1"/>
                <w:bCs w:val="1"/>
                <w:color w:val="auto"/>
                <w:w w:val="93"/>
              </w:rPr>
              <w:t>Unrealized</w:t>
            </w:r>
          </w:p>
        </w:tc>
      </w:tr>
      <w:tr>
        <w:trPr>
          <w:trHeight w:val="158"/>
        </w:trPr>
        <w:tc>
          <w:tcPr>
            <w:tcW w:w="378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December 31, 2020:</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ind w:right="88"/>
              <w:spacing w:after="0" w:line="158" w:lineRule="exact"/>
              <w:rPr>
                <w:sz w:val="20"/>
                <w:szCs w:val="20"/>
                <w:color w:val="auto"/>
              </w:rPr>
            </w:pPr>
            <w:r>
              <w:rPr>
                <w:rFonts w:ascii="Arial" w:cs="Arial" w:eastAsia="Arial" w:hAnsi="Arial"/>
                <w:sz w:val="14"/>
                <w:szCs w:val="14"/>
                <w:b w:val="1"/>
                <w:bCs w:val="1"/>
                <w:color w:val="auto"/>
              </w:rPr>
              <w:t>Value</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ind w:right="68"/>
              <w:spacing w:after="0" w:line="158" w:lineRule="exact"/>
              <w:rPr>
                <w:sz w:val="20"/>
                <w:szCs w:val="20"/>
                <w:color w:val="auto"/>
              </w:rPr>
            </w:pPr>
            <w:r>
              <w:rPr>
                <w:rFonts w:ascii="Arial" w:cs="Arial" w:eastAsia="Arial" w:hAnsi="Arial"/>
                <w:sz w:val="14"/>
                <w:szCs w:val="14"/>
                <w:b w:val="1"/>
                <w:bCs w:val="1"/>
                <w:color w:val="auto"/>
                <w:w w:val="86"/>
              </w:rPr>
              <w:t>Losses</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ind w:left="40"/>
              <w:spacing w:after="0" w:line="158" w:lineRule="exact"/>
              <w:rPr>
                <w:sz w:val="20"/>
                <w:szCs w:val="20"/>
                <w:color w:val="auto"/>
              </w:rPr>
            </w:pPr>
            <w:r>
              <w:rPr>
                <w:rFonts w:ascii="Arial" w:cs="Arial" w:eastAsia="Arial" w:hAnsi="Arial"/>
                <w:sz w:val="14"/>
                <w:szCs w:val="14"/>
                <w:b w:val="1"/>
                <w:bCs w:val="1"/>
                <w:color w:val="auto"/>
              </w:rPr>
              <w:t>Value</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ind w:right="68"/>
              <w:spacing w:after="0" w:line="158" w:lineRule="exact"/>
              <w:rPr>
                <w:sz w:val="20"/>
                <w:szCs w:val="20"/>
                <w:color w:val="auto"/>
              </w:rPr>
            </w:pPr>
            <w:r>
              <w:rPr>
                <w:rFonts w:ascii="Arial" w:cs="Arial" w:eastAsia="Arial" w:hAnsi="Arial"/>
                <w:sz w:val="14"/>
                <w:szCs w:val="14"/>
                <w:b w:val="1"/>
                <w:bCs w:val="1"/>
                <w:color w:val="auto"/>
                <w:w w:val="86"/>
              </w:rPr>
              <w:t>Losses</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88"/>
              <w:spacing w:after="0" w:line="158" w:lineRule="exact"/>
              <w:rPr>
                <w:sz w:val="20"/>
                <w:szCs w:val="20"/>
                <w:color w:val="auto"/>
              </w:rPr>
            </w:pPr>
            <w:r>
              <w:rPr>
                <w:rFonts w:ascii="Arial" w:cs="Arial" w:eastAsia="Arial" w:hAnsi="Arial"/>
                <w:sz w:val="14"/>
                <w:szCs w:val="14"/>
                <w:b w:val="1"/>
                <w:bCs w:val="1"/>
                <w:color w:val="auto"/>
              </w:rPr>
              <w:t>Value</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68"/>
              <w:spacing w:after="0" w:line="158" w:lineRule="exact"/>
              <w:rPr>
                <w:sz w:val="20"/>
                <w:szCs w:val="20"/>
                <w:color w:val="auto"/>
              </w:rPr>
            </w:pPr>
            <w:r>
              <w:rPr>
                <w:rFonts w:ascii="Arial" w:cs="Arial" w:eastAsia="Arial" w:hAnsi="Arial"/>
                <w:sz w:val="14"/>
                <w:szCs w:val="14"/>
                <w:b w:val="1"/>
                <w:bCs w:val="1"/>
                <w:color w:val="auto"/>
                <w:w w:val="82"/>
              </w:rPr>
              <w:t>Losses</w:t>
            </w:r>
          </w:p>
        </w:tc>
      </w:tr>
      <w:tr>
        <w:trPr>
          <w:trHeight w:val="20"/>
        </w:trPr>
        <w:tc>
          <w:tcPr>
            <w:tcW w:w="1200" w:type="dxa"/>
            <w:vAlign w:val="bottom"/>
            <w:tcBorders>
              <w:top w:val="single" w:sz="8" w:color="auto"/>
              <w:bottom w:val="single" w:sz="8" w:color="CCEEFF"/>
            </w:tcBorders>
          </w:tcPr>
          <w:p>
            <w:pPr>
              <w:spacing w:after="0" w:line="20" w:lineRule="exact"/>
              <w:rPr>
                <w:sz w:val="1"/>
                <w:szCs w:val="1"/>
                <w:color w:val="auto"/>
              </w:rPr>
            </w:pPr>
          </w:p>
        </w:tc>
        <w:tc>
          <w:tcPr>
            <w:tcW w:w="25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143"/>
        </w:trPr>
        <w:tc>
          <w:tcPr>
            <w:tcW w:w="378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Debt securities available for sale</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r>
      <w:tr>
        <w:trPr>
          <w:trHeight w:val="162"/>
        </w:trPr>
        <w:tc>
          <w:tcPr>
            <w:tcW w:w="3780" w:type="dxa"/>
            <w:vAlign w:val="bottom"/>
            <w:gridSpan w:val="2"/>
          </w:tcPr>
          <w:p>
            <w:pPr>
              <w:spacing w:after="0"/>
              <w:rPr>
                <w:sz w:val="20"/>
                <w:szCs w:val="20"/>
                <w:color w:val="auto"/>
              </w:rPr>
            </w:pPr>
            <w:r>
              <w:rPr>
                <w:rFonts w:ascii="Arial" w:cs="Arial" w:eastAsia="Arial" w:hAnsi="Arial"/>
                <w:sz w:val="14"/>
                <w:szCs w:val="14"/>
                <w:color w:val="auto"/>
              </w:rPr>
              <w:t>Obligations of U.S. government corporations and agencies</w:t>
            </w: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4,957</w:t>
            </w:r>
          </w:p>
        </w:tc>
        <w:tc>
          <w:tcPr>
            <w:tcW w:w="2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(49)</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4,957</w:t>
            </w:r>
          </w:p>
        </w:tc>
        <w:tc>
          <w:tcPr>
            <w:tcW w:w="26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(49)</w:t>
            </w:r>
          </w:p>
        </w:tc>
      </w:tr>
      <w:tr>
        <w:trPr>
          <w:trHeight w:val="162"/>
        </w:trPr>
        <w:tc>
          <w:tcPr>
            <w:tcW w:w="37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Obligations of states and political subdivisions</w:t>
            </w: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762</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762</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r>
      <w:tr>
        <w:trPr>
          <w:trHeight w:val="162"/>
        </w:trPr>
        <w:tc>
          <w:tcPr>
            <w:tcW w:w="3780" w:type="dxa"/>
            <w:vAlign w:val="bottom"/>
            <w:gridSpan w:val="2"/>
          </w:tcPr>
          <w:p>
            <w:pPr>
              <w:spacing w:after="0"/>
              <w:rPr>
                <w:sz w:val="20"/>
                <w:szCs w:val="20"/>
                <w:color w:val="auto"/>
              </w:rPr>
            </w:pPr>
            <w:r>
              <w:rPr>
                <w:rFonts w:ascii="Arial" w:cs="Arial" w:eastAsia="Arial" w:hAnsi="Arial"/>
                <w:sz w:val="14"/>
                <w:szCs w:val="14"/>
                <w:color w:val="auto"/>
              </w:rPr>
              <w:t>Commercial mortgage-backed securities</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w w:val="98"/>
              </w:rPr>
              <w:t>129,655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(312)</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w w:val="94"/>
              </w:rPr>
              <w:t>129,655</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(312)</w:t>
            </w:r>
          </w:p>
        </w:tc>
      </w:tr>
      <w:tr>
        <w:trPr>
          <w:trHeight w:val="162"/>
        </w:trPr>
        <w:tc>
          <w:tcPr>
            <w:tcW w:w="37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Residential mortgage-backed securities</w:t>
            </w: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89,997</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90,136</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(303)</w:t>
            </w:r>
          </w:p>
        </w:tc>
      </w:tr>
      <w:tr>
        <w:trPr>
          <w:trHeight w:val="162"/>
        </w:trPr>
        <w:tc>
          <w:tcPr>
            <w:tcW w:w="378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Corporate debt securities</w:t>
            </w:r>
          </w:p>
        </w:tc>
        <w:tc>
          <w:tcPr>
            <w:tcW w:w="4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1,499</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1,499</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r>
      <w:tr>
        <w:trPr>
          <w:trHeight w:val="155"/>
        </w:trPr>
        <w:tc>
          <w:tcPr>
            <w:tcW w:w="3780" w:type="dxa"/>
            <w:vAlign w:val="bottom"/>
            <w:tcBorders>
              <w:bottom w:val="single" w:sz="8" w:color="CCEEFF"/>
            </w:tcBorders>
            <w:gridSpan w:val="2"/>
            <w:shd w:val="clear" w:color="auto" w:fill="CCEEFF"/>
          </w:tcPr>
          <w:p>
            <w:pPr>
              <w:ind w:left="220"/>
              <w:spacing w:after="0" w:line="155" w:lineRule="exact"/>
              <w:rPr>
                <w:sz w:val="20"/>
                <w:szCs w:val="20"/>
                <w:color w:val="auto"/>
              </w:rPr>
            </w:pPr>
            <w:r>
              <w:rPr>
                <w:rFonts w:ascii="Arial" w:cs="Arial" w:eastAsia="Arial" w:hAnsi="Arial"/>
                <w:sz w:val="14"/>
                <w:szCs w:val="14"/>
                <w:color w:val="auto"/>
              </w:rPr>
              <w:t>Total temporarily impaired securities</w:t>
            </w:r>
          </w:p>
        </w:tc>
        <w:tc>
          <w:tcPr>
            <w:tcW w:w="4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98"/>
              </w:rPr>
              <w:t>221,913</w:t>
            </w:r>
          </w:p>
        </w:tc>
        <w:tc>
          <w:tcPr>
            <w:tcW w:w="1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(621)</w:t>
            </w:r>
          </w:p>
        </w:tc>
        <w:tc>
          <w:tcPr>
            <w:tcW w:w="1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5,096</w:t>
            </w:r>
          </w:p>
        </w:tc>
        <w:tc>
          <w:tcPr>
            <w:tcW w:w="1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(52)</w:t>
            </w:r>
          </w:p>
        </w:tc>
        <w:tc>
          <w:tcPr>
            <w:tcW w:w="1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94"/>
              </w:rPr>
              <w:t>227,009</w:t>
            </w:r>
          </w:p>
        </w:tc>
        <w:tc>
          <w:tcPr>
            <w:tcW w:w="1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(673)</w:t>
            </w:r>
          </w:p>
        </w:tc>
      </w:tr>
      <w:tr>
        <w:trPr>
          <w:trHeight w:val="20"/>
        </w:trPr>
        <w:tc>
          <w:tcPr>
            <w:tcW w:w="12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60" w:right="219"/>
        <w:spacing w:after="0" w:line="252" w:lineRule="auto"/>
        <w:rPr>
          <w:sz w:val="20"/>
          <w:szCs w:val="20"/>
          <w:color w:val="auto"/>
        </w:rPr>
      </w:pPr>
      <w:r>
        <w:rPr>
          <w:rFonts w:ascii="Arial" w:cs="Arial" w:eastAsia="Arial" w:hAnsi="Arial"/>
          <w:sz w:val="17"/>
          <w:szCs w:val="17"/>
          <w:color w:val="auto"/>
        </w:rPr>
        <w:t>Debt securities available for sale are not within the scope of CECL, however, the accounting for credit losses on these securities is affected by ASC 326-30. As of March 31, 2021, the Company’s debt security portfolio consisted of 1,108 securities, compared to 1,114 securities at December 31, 2020. The total number of debt securities in the investment portfolio in an unrealized loss position as of March 31, 2021, was 192 and represented an unrealized loss of 1.88% of the aggregate fair value. The total number of debt securities in the investment portfolio in an unrealized loss position as of December 31, 2020, was 23 and represented an unrealized loss of 0.30% of the aggregate fair value. Unrealized losses related to changes in market interest rates and market conditions that do not represent credit-related impairments. Furthermore, the Company does not intend to sell such securities and it is more likely than not that the Company will recover the amortized cost prior to being required to sell the debt securities. Full collection of the amounts due according to the contractual terms of the debt securities is expected; therefore, the impairment related to noncredit factors is recognized in accumulated other comprehensive income (loss), net of applicable taxes. As of March 31, 2021, the Company did not hold general obligation bonds of any single issuer, the aggregate of which exceeded 10% of the Company’s stockholders’ equity.</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4: Portfolio Loans</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Distributions of portfolio loans are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03" w:lineRule="exact"/>
        <w:rPr>
          <w:sz w:val="20"/>
          <w:szCs w:val="20"/>
          <w:color w:val="auto"/>
        </w:rPr>
      </w:pPr>
    </w:p>
    <w:tbl>
      <w:tblPr>
        <w:tblLayout w:type="fixed"/>
        <w:tblInd w:w="6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65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79"/>
              </w:rPr>
              <w:t>As of</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right"/>
              <w:ind w:right="94"/>
              <w:spacing w:after="0" w:line="133" w:lineRule="exact"/>
              <w:rPr>
                <w:sz w:val="20"/>
                <w:szCs w:val="20"/>
                <w:color w:val="auto"/>
              </w:rPr>
            </w:pPr>
            <w:r>
              <w:rPr>
                <w:rFonts w:ascii="Arial" w:cs="Arial" w:eastAsia="Arial" w:hAnsi="Arial"/>
                <w:sz w:val="14"/>
                <w:szCs w:val="14"/>
                <w:b w:val="1"/>
                <w:bCs w:val="1"/>
                <w:color w:val="auto"/>
              </w:rPr>
              <w:t>March 31,</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jc w:val="right"/>
              <w:ind w:right="54"/>
              <w:spacing w:after="0" w:line="133"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5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Commercial</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2,067,371</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2,014,576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60" w:type="dxa"/>
            <w:vAlign w:val="bottom"/>
          </w:tcPr>
          <w:p>
            <w:pPr>
              <w:spacing w:after="0" w:line="202" w:lineRule="exact"/>
              <w:rPr>
                <w:sz w:val="20"/>
                <w:szCs w:val="20"/>
                <w:color w:val="auto"/>
              </w:rPr>
            </w:pPr>
            <w:r>
              <w:rPr>
                <w:rFonts w:ascii="Arial" w:cs="Arial" w:eastAsia="Arial" w:hAnsi="Arial"/>
                <w:sz w:val="18"/>
                <w:szCs w:val="18"/>
                <w:color w:val="auto"/>
              </w:rPr>
              <w:t>Commercial real estate</w:t>
            </w:r>
          </w:p>
        </w:tc>
        <w:tc>
          <w:tcPr>
            <w:tcW w:w="1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2,912,966</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2,892,535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Real estate construction</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422,633</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461,786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60" w:type="dxa"/>
            <w:vAlign w:val="bottom"/>
          </w:tcPr>
          <w:p>
            <w:pPr>
              <w:spacing w:after="0" w:line="202" w:lineRule="exact"/>
              <w:rPr>
                <w:sz w:val="20"/>
                <w:szCs w:val="20"/>
                <w:color w:val="auto"/>
              </w:rPr>
            </w:pPr>
            <w:r>
              <w:rPr>
                <w:rFonts w:ascii="Arial" w:cs="Arial" w:eastAsia="Arial" w:hAnsi="Arial"/>
                <w:sz w:val="18"/>
                <w:szCs w:val="18"/>
                <w:color w:val="auto"/>
              </w:rPr>
              <w:t>Retail real estate</w:t>
            </w:r>
          </w:p>
        </w:tc>
        <w:tc>
          <w:tcPr>
            <w:tcW w:w="1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1,343,299</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1,407,852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Retail other</w:t>
            </w: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33,031</w:t>
            </w:r>
          </w:p>
        </w:tc>
        <w:tc>
          <w:tcPr>
            <w:tcW w:w="40" w:type="dxa"/>
            <w:vAlign w:val="bottom"/>
            <w:tcBorders>
              <w:bottom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37,428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60" w:type="dxa"/>
            <w:vAlign w:val="bottom"/>
          </w:tcPr>
          <w:p>
            <w:pPr>
              <w:ind w:left="200"/>
              <w:spacing w:after="0" w:line="196" w:lineRule="exact"/>
              <w:rPr>
                <w:sz w:val="20"/>
                <w:szCs w:val="20"/>
                <w:color w:val="auto"/>
              </w:rPr>
            </w:pPr>
            <w:r>
              <w:rPr>
                <w:rFonts w:ascii="Arial" w:cs="Arial" w:eastAsia="Arial" w:hAnsi="Arial"/>
                <w:sz w:val="18"/>
                <w:szCs w:val="18"/>
                <w:color w:val="auto"/>
              </w:rPr>
              <w:t>Portfolio loans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6,779,300</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6,814,177</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6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56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ACL</w:t>
            </w: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(93,943)</w:t>
            </w:r>
          </w:p>
        </w:tc>
        <w:tc>
          <w:tcPr>
            <w:tcW w:w="20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(101,048)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60" w:type="dxa"/>
            <w:vAlign w:val="bottom"/>
            <w:tcBorders>
              <w:bottom w:val="single" w:sz="8" w:color="CCEEFF"/>
            </w:tcBorders>
            <w:shd w:val="clear" w:color="auto" w:fill="CCEEFF"/>
          </w:tcPr>
          <w:p>
            <w:pPr>
              <w:ind w:left="200"/>
              <w:spacing w:after="0" w:line="196" w:lineRule="exact"/>
              <w:rPr>
                <w:sz w:val="20"/>
                <w:szCs w:val="20"/>
                <w:color w:val="auto"/>
              </w:rPr>
            </w:pPr>
            <w:r>
              <w:rPr>
                <w:rFonts w:ascii="Arial" w:cs="Arial" w:eastAsia="Arial" w:hAnsi="Arial"/>
                <w:sz w:val="18"/>
                <w:szCs w:val="18"/>
                <w:color w:val="auto"/>
              </w:rPr>
              <w:t>Portfolio loans,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6,685,357</w:t>
            </w:r>
          </w:p>
        </w:tc>
        <w:tc>
          <w:tcPr>
            <w:tcW w:w="4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6,713,129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Net deferred loan origination fees included in the balances above were ($3.4) million as of March 31, 2021, compared to $2.4 million of net deferred loan origination costs as of December 31, 2020. Net accretable purchase accounting adjustments included in the balances above reduced loans by $9.0 million as of March 31, 2021, and $10.9 million as of December 31, 2020. The March 31, 2021, commercial balance includes loans originated under PPP with an amortized cost of $522.1 million, compared to $446.4 million in loans originated under PPP included in the December 31, 2020, commercial balance.</w:t>
      </w:r>
    </w:p>
    <w:p>
      <w:pPr>
        <w:spacing w:after="0" w:line="176" w:lineRule="exact"/>
        <w:rPr>
          <w:sz w:val="20"/>
          <w:szCs w:val="20"/>
          <w:color w:val="auto"/>
        </w:rPr>
      </w:pPr>
    </w:p>
    <w:p>
      <w:pPr>
        <w:ind w:left="60" w:right="939"/>
        <w:spacing w:after="0" w:line="261" w:lineRule="auto"/>
        <w:rPr>
          <w:sz w:val="20"/>
          <w:szCs w:val="20"/>
          <w:color w:val="auto"/>
        </w:rPr>
      </w:pPr>
      <w:r>
        <w:rPr>
          <w:rFonts w:ascii="Arial" w:cs="Arial" w:eastAsia="Arial" w:hAnsi="Arial"/>
          <w:sz w:val="18"/>
          <w:szCs w:val="18"/>
          <w:color w:val="auto"/>
        </w:rPr>
        <w:t>The Company utilizes a loan grading scale to assign a risk grade to all of its loans. A description of the general characteristics of each grade is as follows:</w:t>
      </w:r>
    </w:p>
    <w:p>
      <w:pPr>
        <w:spacing w:after="0" w:line="157" w:lineRule="exact"/>
        <w:rPr>
          <w:sz w:val="20"/>
          <w:szCs w:val="20"/>
          <w:color w:val="auto"/>
        </w:rPr>
      </w:pPr>
    </w:p>
    <w:p>
      <w:pPr>
        <w:ind w:left="720" w:right="339" w:hanging="319"/>
        <w:spacing w:after="0" w:line="248"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Pass </w:t>
      </w:r>
      <w:r>
        <w:rPr>
          <w:rFonts w:ascii="Arial" w:cs="Arial" w:eastAsia="Arial" w:hAnsi="Arial"/>
          <w:sz w:val="18"/>
          <w:szCs w:val="18"/>
          <w:color w:val="auto"/>
        </w:rPr>
        <w:t>– This category includes loans that are all considered acceptable credits, ranging from investment or near</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grade, to loans made to borrowers who exhibit credit fundamentals that meet or exceed industry standards.</w:t>
      </w:r>
    </w:p>
    <w:p>
      <w:pPr>
        <w:spacing w:after="0" w:line="168" w:lineRule="exact"/>
        <w:rPr>
          <w:rFonts w:ascii="Arial" w:cs="Arial" w:eastAsia="Arial" w:hAnsi="Arial"/>
          <w:sz w:val="18"/>
          <w:szCs w:val="18"/>
          <w:color w:val="auto"/>
        </w:rPr>
      </w:pPr>
    </w:p>
    <w:p>
      <w:pPr>
        <w:ind w:left="720" w:right="179" w:hanging="319"/>
        <w:spacing w:after="0" w:line="243"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Watch – </w:t>
      </w:r>
      <w:r>
        <w:rPr>
          <w:rFonts w:ascii="Arial" w:cs="Arial" w:eastAsia="Arial" w:hAnsi="Arial"/>
          <w:sz w:val="18"/>
          <w:szCs w:val="18"/>
          <w:color w:val="auto"/>
        </w:rPr>
        <w:t>This category includes loans that warrant a higher than average level of monitoring to ensure that</w:t>
      </w:r>
      <w:r>
        <w:rPr>
          <w:rFonts w:ascii="Arial" w:cs="Arial" w:eastAsia="Arial" w:hAnsi="Arial"/>
          <w:sz w:val="18"/>
          <w:szCs w:val="18"/>
          <w:i w:val="1"/>
          <w:iCs w:val="1"/>
          <w:color w:val="auto"/>
        </w:rPr>
        <w:t xml:space="preserve"> </w:t>
      </w:r>
      <w:r>
        <w:rPr>
          <w:rFonts w:ascii="Arial" w:cs="Arial" w:eastAsia="Arial" w:hAnsi="Arial"/>
          <w:sz w:val="18"/>
          <w:szCs w:val="18"/>
          <w:color w:val="auto"/>
        </w:rPr>
        <w:t>weaknesses do not cause the inability of the credit to perform as expected. These loans are not necessarily a problem due to other inherent strengths of the credit, such as guarantor strength, but have above average concern and monitoring.</w:t>
      </w:r>
    </w:p>
    <w:p>
      <w:pPr>
        <w:spacing w:after="0" w:line="174" w:lineRule="exact"/>
        <w:rPr>
          <w:rFonts w:ascii="Arial" w:cs="Arial" w:eastAsia="Arial" w:hAnsi="Arial"/>
          <w:sz w:val="18"/>
          <w:szCs w:val="18"/>
          <w:color w:val="auto"/>
        </w:rPr>
      </w:pPr>
    </w:p>
    <w:p>
      <w:pPr>
        <w:jc w:val="both"/>
        <w:ind w:left="720" w:right="99" w:hanging="319"/>
        <w:spacing w:after="0" w:line="248"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Special mention – </w:t>
      </w:r>
      <w:r>
        <w:rPr>
          <w:rFonts w:ascii="Arial" w:cs="Arial" w:eastAsia="Arial" w:hAnsi="Arial"/>
          <w:sz w:val="18"/>
          <w:szCs w:val="18"/>
          <w:color w:val="auto"/>
        </w:rPr>
        <w:t>This category is for “Other Assets Specially Mentioned” loans that have potential weaknesses,</w:t>
      </w:r>
      <w:r>
        <w:rPr>
          <w:rFonts w:ascii="Arial" w:cs="Arial" w:eastAsia="Arial" w:hAnsi="Arial"/>
          <w:sz w:val="18"/>
          <w:szCs w:val="18"/>
          <w:i w:val="1"/>
          <w:iCs w:val="1"/>
          <w:color w:val="auto"/>
        </w:rPr>
        <w:t xml:space="preserve"> </w:t>
      </w:r>
      <w:r>
        <w:rPr>
          <w:rFonts w:ascii="Arial" w:cs="Arial" w:eastAsia="Arial" w:hAnsi="Arial"/>
          <w:sz w:val="18"/>
          <w:szCs w:val="18"/>
          <w:color w:val="auto"/>
        </w:rPr>
        <w:t>which may, if not checked or corrected, weaken the asset or inadequately protect the Company’s credit position at some future date.</w:t>
      </w:r>
    </w:p>
    <w:p>
      <w:pPr>
        <w:spacing w:after="0" w:line="168" w:lineRule="exact"/>
        <w:rPr>
          <w:rFonts w:ascii="Arial" w:cs="Arial" w:eastAsia="Arial" w:hAnsi="Arial"/>
          <w:sz w:val="18"/>
          <w:szCs w:val="18"/>
          <w:color w:val="auto"/>
        </w:rPr>
      </w:pPr>
    </w:p>
    <w:p>
      <w:pPr>
        <w:ind w:left="720" w:right="139" w:hanging="319"/>
        <w:spacing w:after="0" w:line="262" w:lineRule="auto"/>
        <w:tabs>
          <w:tab w:leader="none" w:pos="72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Substandard – </w:t>
      </w:r>
      <w:r>
        <w:rPr>
          <w:rFonts w:ascii="Arial" w:cs="Arial" w:eastAsia="Arial" w:hAnsi="Arial"/>
          <w:sz w:val="17"/>
          <w:szCs w:val="17"/>
          <w:color w:val="auto"/>
        </w:rPr>
        <w:t>This category includes “Substandard” loans, determined in accordance with regulatory guidelines,</w:t>
      </w:r>
      <w:r>
        <w:rPr>
          <w:rFonts w:ascii="Arial" w:cs="Arial" w:eastAsia="Arial" w:hAnsi="Arial"/>
          <w:sz w:val="17"/>
          <w:szCs w:val="17"/>
          <w:i w:val="1"/>
          <w:iCs w:val="1"/>
          <w:color w:val="auto"/>
        </w:rPr>
        <w:t xml:space="preserve"> </w:t>
      </w:r>
      <w:r>
        <w:rPr>
          <w:rFonts w:ascii="Arial" w:cs="Arial" w:eastAsia="Arial" w:hAnsi="Arial"/>
          <w:sz w:val="17"/>
          <w:szCs w:val="17"/>
          <w:color w:val="auto"/>
        </w:rPr>
        <w:t>for which the accrual of interest has not been stopped. Assets so classified must have a well-defined weakness or weaknesses that jeopardize the liquidation of the debt. They are characterized by the distinct possibility that the Company will sustain some loss if the deficiencies are not corrected.</w:t>
      </w:r>
    </w:p>
    <w:p>
      <w:pPr>
        <w:spacing w:after="0" w:line="158" w:lineRule="exact"/>
        <w:rPr>
          <w:rFonts w:ascii="Arial" w:cs="Arial" w:eastAsia="Arial" w:hAnsi="Arial"/>
          <w:sz w:val="17"/>
          <w:szCs w:val="17"/>
          <w:color w:val="auto"/>
        </w:rPr>
      </w:pPr>
    </w:p>
    <w:p>
      <w:pPr>
        <w:ind w:left="720" w:right="139" w:hanging="319"/>
        <w:spacing w:after="0" w:line="270" w:lineRule="auto"/>
        <w:tabs>
          <w:tab w:leader="none" w:pos="72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Substandard non-accrual – </w:t>
      </w:r>
      <w:r>
        <w:rPr>
          <w:rFonts w:ascii="Arial" w:cs="Arial" w:eastAsia="Arial" w:hAnsi="Arial"/>
          <w:sz w:val="17"/>
          <w:szCs w:val="17"/>
          <w:color w:val="auto"/>
        </w:rPr>
        <w:t>This category includes loans that have all the characteristics of a “Substandard” loan</w:t>
      </w:r>
      <w:r>
        <w:rPr>
          <w:rFonts w:ascii="Arial" w:cs="Arial" w:eastAsia="Arial" w:hAnsi="Arial"/>
          <w:sz w:val="17"/>
          <w:szCs w:val="17"/>
          <w:i w:val="1"/>
          <w:iCs w:val="1"/>
          <w:color w:val="auto"/>
        </w:rPr>
        <w:t xml:space="preserve"> </w:t>
      </w:r>
      <w:r>
        <w:rPr>
          <w:rFonts w:ascii="Arial" w:cs="Arial" w:eastAsia="Arial" w:hAnsi="Arial"/>
          <w:sz w:val="17"/>
          <w:szCs w:val="17"/>
          <w:color w:val="auto"/>
        </w:rPr>
        <w:t>with additional factors that make collection in full highly questionable and improbable. Such loans are placed on non-accrual status and may be dependent on collateral with a value that is difficult to determine.</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t>FIRST BUSEY CORPORATION</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w:t>
      </w:r>
    </w:p>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5" w:lineRule="exact"/>
        <w:rPr>
          <w:sz w:val="20"/>
          <w:szCs w:val="20"/>
          <w:color w:val="auto"/>
        </w:rPr>
      </w:pPr>
    </w:p>
    <w:p>
      <w:pPr>
        <w:ind w:left="60" w:right="179"/>
        <w:spacing w:after="0" w:line="241" w:lineRule="auto"/>
        <w:rPr>
          <w:sz w:val="20"/>
          <w:szCs w:val="20"/>
          <w:color w:val="auto"/>
        </w:rPr>
      </w:pPr>
      <w:r>
        <w:rPr>
          <w:rFonts w:ascii="Arial" w:cs="Arial" w:eastAsia="Arial" w:hAnsi="Arial"/>
          <w:sz w:val="18"/>
          <w:szCs w:val="18"/>
          <w:color w:val="auto"/>
        </w:rPr>
        <w:t>All loans are graded at their inception. Most commercial lending relationships that are $1.0 million or less are processed through an expedited underwriting process. Most commercial loans greater than $1.0 million are included in a portfolio review at least annually. Commercial loans greater than $0.35 million that have a grading of special mention or worse are reviewed on a quarterly basis. Interim reviews may take place if circumstances of the borrower warrant a more frequent review.</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The following table is a summary of risk grades segregated by category of portfolio loans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6"/>
          </w:tcPr>
          <w:p>
            <w:pPr>
              <w:jc w:val="center"/>
              <w:ind w:right="80"/>
              <w:spacing w:after="0"/>
              <w:rPr>
                <w:sz w:val="20"/>
                <w:szCs w:val="20"/>
                <w:color w:val="auto"/>
              </w:rPr>
            </w:pPr>
            <w:r>
              <w:rPr>
                <w:rFonts w:ascii="Arial" w:cs="Arial" w:eastAsia="Arial" w:hAnsi="Arial"/>
                <w:sz w:val="14"/>
                <w:szCs w:val="14"/>
                <w:b w:val="1"/>
                <w:bCs w:val="1"/>
                <w:color w:val="auto"/>
                <w:w w:val="94"/>
              </w:rPr>
              <w:t>March 31, 2021</w:t>
            </w: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r>
      <w:tr>
        <w:trPr>
          <w:trHeight w:val="133"/>
        </w:trPr>
        <w:tc>
          <w:tcPr>
            <w:tcW w:w="2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3"/>
          </w:tcPr>
          <w:p>
            <w:pPr>
              <w:jc w:val="center"/>
              <w:ind w:right="220"/>
              <w:spacing w:after="0" w:line="133" w:lineRule="exact"/>
              <w:rPr>
                <w:sz w:val="20"/>
                <w:szCs w:val="20"/>
                <w:color w:val="auto"/>
              </w:rPr>
            </w:pPr>
            <w:r>
              <w:rPr>
                <w:rFonts w:ascii="Arial" w:cs="Arial" w:eastAsia="Arial" w:hAnsi="Arial"/>
                <w:sz w:val="14"/>
                <w:szCs w:val="14"/>
                <w:b w:val="1"/>
                <w:bCs w:val="1"/>
                <w:color w:val="auto"/>
                <w:w w:val="89"/>
              </w:rPr>
              <w:t>Special</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91"/>
              </w:rPr>
              <w:t>Substandard</w:t>
            </w:r>
          </w:p>
        </w:tc>
      </w:tr>
      <w:tr>
        <w:trPr>
          <w:trHeight w:val="185"/>
        </w:trPr>
        <w:tc>
          <w:tcPr>
            <w:tcW w:w="2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gridSpan w:val="2"/>
          </w:tcPr>
          <w:p>
            <w:pPr>
              <w:ind w:left="320"/>
              <w:spacing w:after="0"/>
              <w:rPr>
                <w:sz w:val="20"/>
                <w:szCs w:val="20"/>
                <w:color w:val="auto"/>
              </w:rPr>
            </w:pPr>
            <w:r>
              <w:rPr>
                <w:rFonts w:ascii="Arial" w:cs="Arial" w:eastAsia="Arial" w:hAnsi="Arial"/>
                <w:sz w:val="14"/>
                <w:szCs w:val="14"/>
                <w:b w:val="1"/>
                <w:bCs w:val="1"/>
                <w:color w:val="auto"/>
              </w:rPr>
              <w:t>Pass</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jc w:val="right"/>
              <w:ind w:right="118"/>
              <w:spacing w:after="0"/>
              <w:rPr>
                <w:sz w:val="20"/>
                <w:szCs w:val="20"/>
                <w:color w:val="auto"/>
              </w:rPr>
            </w:pPr>
            <w:r>
              <w:rPr>
                <w:rFonts w:ascii="Arial" w:cs="Arial" w:eastAsia="Arial" w:hAnsi="Arial"/>
                <w:sz w:val="14"/>
                <w:szCs w:val="14"/>
                <w:b w:val="1"/>
                <w:bCs w:val="1"/>
                <w:color w:val="auto"/>
              </w:rPr>
              <w:t>Watch</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6"/>
              </w:rPr>
              <w:t>Mention</w:t>
            </w:r>
          </w:p>
        </w:tc>
        <w:tc>
          <w:tcPr>
            <w:tcW w:w="20" w:type="dxa"/>
            <w:vAlign w:val="bottom"/>
          </w:tcPr>
          <w:p>
            <w:pPr>
              <w:spacing w:after="0"/>
              <w:rPr>
                <w:sz w:val="16"/>
                <w:szCs w:val="16"/>
                <w:color w:val="auto"/>
              </w:rPr>
            </w:pPr>
          </w:p>
        </w:tc>
        <w:tc>
          <w:tcPr>
            <w:tcW w:w="800" w:type="dxa"/>
            <w:vAlign w:val="bottom"/>
            <w:gridSpan w:val="4"/>
          </w:tcPr>
          <w:p>
            <w:pPr>
              <w:spacing w:after="0"/>
              <w:rPr>
                <w:sz w:val="20"/>
                <w:szCs w:val="20"/>
                <w:color w:val="auto"/>
              </w:rPr>
            </w:pPr>
            <w:r>
              <w:rPr>
                <w:rFonts w:ascii="Arial" w:cs="Arial" w:eastAsia="Arial" w:hAnsi="Arial"/>
                <w:sz w:val="14"/>
                <w:szCs w:val="14"/>
                <w:b w:val="1"/>
                <w:bCs w:val="1"/>
                <w:color w:val="auto"/>
                <w:w w:val="91"/>
              </w:rPr>
              <w:t>Substandard</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Non-accrual</w:t>
            </w:r>
          </w:p>
        </w:tc>
      </w:tr>
      <w:tr>
        <w:trPr>
          <w:trHeight w:val="196"/>
        </w:trPr>
        <w:tc>
          <w:tcPr>
            <w:tcW w:w="20" w:type="dxa"/>
            <w:vAlign w:val="bottom"/>
          </w:tcPr>
          <w:p>
            <w:pPr>
              <w:spacing w:after="0"/>
              <w:rPr>
                <w:sz w:val="17"/>
                <w:szCs w:val="17"/>
                <w:color w:val="auto"/>
              </w:rPr>
            </w:pPr>
          </w:p>
        </w:tc>
        <w:tc>
          <w:tcPr>
            <w:tcW w:w="29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Commercial</w:t>
            </w:r>
          </w:p>
        </w:tc>
        <w:tc>
          <w:tcPr>
            <w:tcW w:w="12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8"/>
              </w:rPr>
              <w:t>$ 1,830,063</w:t>
            </w: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$ 123,390</w:t>
            </w: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78,546</w:t>
            </w: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27,423</w:t>
            </w:r>
          </w:p>
        </w:tc>
        <w:tc>
          <w:tcPr>
            <w:tcW w:w="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7,949</w:t>
            </w:r>
          </w:p>
        </w:tc>
      </w:tr>
      <w:tr>
        <w:trPr>
          <w:trHeight w:val="203"/>
        </w:trPr>
        <w:tc>
          <w:tcPr>
            <w:tcW w:w="20" w:type="dxa"/>
            <w:vAlign w:val="bottom"/>
          </w:tcPr>
          <w:p>
            <w:pPr>
              <w:spacing w:after="0"/>
              <w:rPr>
                <w:sz w:val="17"/>
                <w:szCs w:val="17"/>
                <w:color w:val="auto"/>
              </w:rPr>
            </w:pPr>
          </w:p>
        </w:tc>
        <w:tc>
          <w:tcPr>
            <w:tcW w:w="2960" w:type="dxa"/>
            <w:vAlign w:val="bottom"/>
          </w:tcPr>
          <w:p>
            <w:pPr>
              <w:spacing w:after="0" w:line="202" w:lineRule="exact"/>
              <w:rPr>
                <w:sz w:val="20"/>
                <w:szCs w:val="20"/>
                <w:color w:val="auto"/>
              </w:rPr>
            </w:pPr>
            <w:r>
              <w:rPr>
                <w:rFonts w:ascii="Arial" w:cs="Arial" w:eastAsia="Arial" w:hAnsi="Arial"/>
                <w:sz w:val="18"/>
                <w:szCs w:val="18"/>
                <w:color w:val="auto"/>
              </w:rPr>
              <w:t>Commercial real estate</w:t>
            </w:r>
          </w:p>
        </w:tc>
        <w:tc>
          <w:tcPr>
            <w:tcW w:w="21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2,400,446</w:t>
            </w:r>
          </w:p>
        </w:tc>
        <w:tc>
          <w:tcPr>
            <w:tcW w:w="20" w:type="dxa"/>
            <w:vAlign w:val="bottom"/>
          </w:tcPr>
          <w:p>
            <w:pPr>
              <w:spacing w:after="0"/>
              <w:rPr>
                <w:sz w:val="17"/>
                <w:szCs w:val="17"/>
                <w:color w:val="auto"/>
              </w:rPr>
            </w:pPr>
          </w:p>
        </w:tc>
        <w:tc>
          <w:tcPr>
            <w:tcW w:w="9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407,244</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68,900</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31,212</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5,164</w:t>
            </w:r>
          </w:p>
        </w:tc>
      </w:tr>
      <w:tr>
        <w:trPr>
          <w:trHeight w:val="203"/>
        </w:trPr>
        <w:tc>
          <w:tcPr>
            <w:tcW w:w="20" w:type="dxa"/>
            <w:vAlign w:val="bottom"/>
          </w:tcPr>
          <w:p>
            <w:pPr>
              <w:spacing w:after="0"/>
              <w:rPr>
                <w:sz w:val="17"/>
                <w:szCs w:val="17"/>
                <w:color w:val="auto"/>
              </w:rPr>
            </w:pPr>
          </w:p>
        </w:tc>
        <w:tc>
          <w:tcPr>
            <w:tcW w:w="2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Real estate construction</w:t>
            </w:r>
          </w:p>
        </w:tc>
        <w:tc>
          <w:tcPr>
            <w:tcW w:w="216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400,306</w:t>
            </w:r>
          </w:p>
        </w:tc>
        <w:tc>
          <w:tcPr>
            <w:tcW w:w="2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19,918</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2,400</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2960" w:type="dxa"/>
            <w:vAlign w:val="bottom"/>
          </w:tcPr>
          <w:p>
            <w:pPr>
              <w:spacing w:after="0" w:line="202" w:lineRule="exact"/>
              <w:rPr>
                <w:sz w:val="20"/>
                <w:szCs w:val="20"/>
                <w:color w:val="auto"/>
              </w:rPr>
            </w:pPr>
            <w:r>
              <w:rPr>
                <w:rFonts w:ascii="Arial" w:cs="Arial" w:eastAsia="Arial" w:hAnsi="Arial"/>
                <w:sz w:val="18"/>
                <w:szCs w:val="18"/>
                <w:color w:val="auto"/>
              </w:rPr>
              <w:t>Retail real estate</w:t>
            </w:r>
          </w:p>
        </w:tc>
        <w:tc>
          <w:tcPr>
            <w:tcW w:w="21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1,318,247</w:t>
            </w:r>
          </w:p>
        </w:tc>
        <w:tc>
          <w:tcPr>
            <w:tcW w:w="20" w:type="dxa"/>
            <w:vAlign w:val="bottom"/>
          </w:tcPr>
          <w:p>
            <w:pPr>
              <w:spacing w:after="0"/>
              <w:rPr>
                <w:sz w:val="17"/>
                <w:szCs w:val="17"/>
                <w:color w:val="auto"/>
              </w:rPr>
            </w:pPr>
          </w:p>
        </w:tc>
        <w:tc>
          <w:tcPr>
            <w:tcW w:w="9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9,879</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2,376</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4,302</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8,495</w:t>
            </w:r>
          </w:p>
        </w:tc>
      </w:tr>
      <w:tr>
        <w:trPr>
          <w:trHeight w:val="203"/>
        </w:trPr>
        <w:tc>
          <w:tcPr>
            <w:tcW w:w="20" w:type="dxa"/>
            <w:vAlign w:val="bottom"/>
          </w:tcPr>
          <w:p>
            <w:pPr>
              <w:spacing w:after="0"/>
              <w:rPr>
                <w:sz w:val="17"/>
                <w:szCs w:val="17"/>
                <w:color w:val="auto"/>
              </w:rPr>
            </w:pPr>
          </w:p>
        </w:tc>
        <w:tc>
          <w:tcPr>
            <w:tcW w:w="2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Retail other</w:t>
            </w:r>
          </w:p>
        </w:tc>
        <w:tc>
          <w:tcPr>
            <w:tcW w:w="216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32,933</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98</w:t>
            </w:r>
          </w:p>
        </w:tc>
      </w:tr>
      <w:tr>
        <w:trPr>
          <w:trHeight w:val="196"/>
        </w:trPr>
        <w:tc>
          <w:tcPr>
            <w:tcW w:w="20" w:type="dxa"/>
            <w:vAlign w:val="bottom"/>
          </w:tcPr>
          <w:p>
            <w:pPr>
              <w:spacing w:after="0"/>
              <w:rPr>
                <w:sz w:val="17"/>
                <w:szCs w:val="17"/>
                <w:color w:val="auto"/>
              </w:rPr>
            </w:pPr>
          </w:p>
        </w:tc>
        <w:tc>
          <w:tcPr>
            <w:tcW w:w="2960" w:type="dxa"/>
            <w:vAlign w:val="bottom"/>
          </w:tcPr>
          <w:p>
            <w:pPr>
              <w:ind w:left="220"/>
              <w:spacing w:after="0" w:line="196" w:lineRule="exact"/>
              <w:rPr>
                <w:sz w:val="20"/>
                <w:szCs w:val="20"/>
                <w:color w:val="auto"/>
              </w:rPr>
            </w:pPr>
            <w:r>
              <w:rPr>
                <w:rFonts w:ascii="Arial" w:cs="Arial" w:eastAsia="Arial" w:hAnsi="Arial"/>
                <w:sz w:val="18"/>
                <w:szCs w:val="18"/>
                <w:color w:val="auto"/>
              </w:rPr>
              <w:t>Portfolio loans</w:t>
            </w: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88"/>
              </w:rPr>
              <w:t>$ 5,981,995</w:t>
            </w:r>
          </w:p>
        </w:tc>
        <w:tc>
          <w:tcPr>
            <w:tcW w:w="20" w:type="dxa"/>
            <w:vAlign w:val="bottom"/>
            <w:tcBorders>
              <w:top w:val="single" w:sz="8" w:color="auto"/>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87"/>
              </w:rPr>
              <w:t>$ 560,431</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5"/>
              </w:rPr>
              <w:t>149,831</w:t>
            </w:r>
          </w:p>
        </w:tc>
        <w:tc>
          <w:tcPr>
            <w:tcW w:w="20" w:type="dxa"/>
            <w:vAlign w:val="bottom"/>
            <w:tcBorders>
              <w:top w:val="single" w:sz="8" w:color="auto"/>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65,337</w:t>
            </w:r>
          </w:p>
        </w:tc>
        <w:tc>
          <w:tcPr>
            <w:tcW w:w="20" w:type="dxa"/>
            <w:vAlign w:val="bottom"/>
            <w:tcBorders>
              <w:top w:val="single" w:sz="8" w:color="auto"/>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21,706</w:t>
            </w:r>
          </w:p>
        </w:tc>
      </w:t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7"/>
          </w:tcPr>
          <w:p>
            <w:pPr>
              <w:jc w:val="center"/>
              <w:ind w:left="598"/>
              <w:spacing w:after="0"/>
              <w:rPr>
                <w:sz w:val="20"/>
                <w:szCs w:val="20"/>
                <w:color w:val="auto"/>
              </w:rPr>
            </w:pPr>
            <w:r>
              <w:rPr>
                <w:rFonts w:ascii="Arial" w:cs="Arial" w:eastAsia="Arial" w:hAnsi="Arial"/>
                <w:sz w:val="14"/>
                <w:szCs w:val="14"/>
                <w:b w:val="1"/>
                <w:bCs w:val="1"/>
                <w:color w:val="auto"/>
                <w:w w:val="91"/>
              </w:rPr>
              <w:t>December 31, 2020</w:t>
            </w: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r>
      <w:tr>
        <w:trPr>
          <w:trHeight w:val="133"/>
        </w:trPr>
        <w:tc>
          <w:tcPr>
            <w:tcW w:w="2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3"/>
          </w:tcPr>
          <w:p>
            <w:pPr>
              <w:jc w:val="center"/>
              <w:ind w:right="260"/>
              <w:spacing w:after="0" w:line="133" w:lineRule="exact"/>
              <w:rPr>
                <w:sz w:val="20"/>
                <w:szCs w:val="20"/>
                <w:color w:val="auto"/>
              </w:rPr>
            </w:pPr>
            <w:r>
              <w:rPr>
                <w:rFonts w:ascii="Arial" w:cs="Arial" w:eastAsia="Arial" w:hAnsi="Arial"/>
                <w:sz w:val="14"/>
                <w:szCs w:val="14"/>
                <w:b w:val="1"/>
                <w:bCs w:val="1"/>
                <w:color w:val="auto"/>
                <w:w w:val="89"/>
              </w:rPr>
              <w:t>Special</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3"/>
          </w:tcPr>
          <w:p>
            <w:pPr>
              <w:jc w:val="center"/>
              <w:spacing w:after="0" w:line="133" w:lineRule="exact"/>
              <w:rPr>
                <w:sz w:val="20"/>
                <w:szCs w:val="20"/>
                <w:color w:val="auto"/>
              </w:rPr>
            </w:pPr>
            <w:r>
              <w:rPr>
                <w:rFonts w:ascii="Arial" w:cs="Arial" w:eastAsia="Arial" w:hAnsi="Arial"/>
                <w:sz w:val="14"/>
                <w:szCs w:val="14"/>
                <w:b w:val="1"/>
                <w:bCs w:val="1"/>
                <w:color w:val="auto"/>
                <w:w w:val="93"/>
              </w:rPr>
              <w:t>Substandard</w:t>
            </w:r>
          </w:p>
        </w:tc>
      </w:tr>
      <w:tr>
        <w:trPr>
          <w:trHeight w:val="185"/>
        </w:trPr>
        <w:tc>
          <w:tcPr>
            <w:tcW w:w="2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gridSpan w:val="2"/>
          </w:tcPr>
          <w:p>
            <w:pPr>
              <w:ind w:left="300"/>
              <w:spacing w:after="0"/>
              <w:rPr>
                <w:sz w:val="20"/>
                <w:szCs w:val="20"/>
                <w:color w:val="auto"/>
              </w:rPr>
            </w:pPr>
            <w:r>
              <w:rPr>
                <w:rFonts w:ascii="Arial" w:cs="Arial" w:eastAsia="Arial" w:hAnsi="Arial"/>
                <w:sz w:val="14"/>
                <w:szCs w:val="14"/>
                <w:b w:val="1"/>
                <w:bCs w:val="1"/>
                <w:color w:val="auto"/>
              </w:rPr>
              <w:t>Pass</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jc w:val="right"/>
              <w:ind w:right="118"/>
              <w:spacing w:after="0"/>
              <w:rPr>
                <w:sz w:val="20"/>
                <w:szCs w:val="20"/>
                <w:color w:val="auto"/>
              </w:rPr>
            </w:pPr>
            <w:r>
              <w:rPr>
                <w:rFonts w:ascii="Arial" w:cs="Arial" w:eastAsia="Arial" w:hAnsi="Arial"/>
                <w:sz w:val="14"/>
                <w:szCs w:val="14"/>
                <w:b w:val="1"/>
                <w:bCs w:val="1"/>
                <w:color w:val="auto"/>
              </w:rPr>
              <w:t>Watch</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6"/>
              </w:rPr>
              <w:t>Mention</w:t>
            </w:r>
          </w:p>
        </w:tc>
        <w:tc>
          <w:tcPr>
            <w:tcW w:w="820" w:type="dxa"/>
            <w:vAlign w:val="bottom"/>
            <w:gridSpan w:val="5"/>
          </w:tcPr>
          <w:p>
            <w:pPr>
              <w:spacing w:after="0"/>
              <w:rPr>
                <w:sz w:val="20"/>
                <w:szCs w:val="20"/>
                <w:color w:val="auto"/>
              </w:rPr>
            </w:pPr>
            <w:r>
              <w:rPr>
                <w:rFonts w:ascii="Arial" w:cs="Arial" w:eastAsia="Arial" w:hAnsi="Arial"/>
                <w:sz w:val="14"/>
                <w:szCs w:val="14"/>
                <w:b w:val="1"/>
                <w:bCs w:val="1"/>
                <w:color w:val="auto"/>
                <w:w w:val="93"/>
              </w:rPr>
              <w:t>Substandard</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Non-accrual</w:t>
            </w:r>
          </w:p>
        </w:tc>
      </w:tr>
      <w:tr>
        <w:trPr>
          <w:trHeight w:val="196"/>
        </w:trPr>
        <w:tc>
          <w:tcPr>
            <w:tcW w:w="20" w:type="dxa"/>
            <w:vAlign w:val="bottom"/>
          </w:tcPr>
          <w:p>
            <w:pPr>
              <w:spacing w:after="0"/>
              <w:rPr>
                <w:sz w:val="17"/>
                <w:szCs w:val="17"/>
                <w:color w:val="auto"/>
              </w:rPr>
            </w:pPr>
          </w:p>
        </w:tc>
        <w:tc>
          <w:tcPr>
            <w:tcW w:w="29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Commercial</w:t>
            </w:r>
          </w:p>
        </w:tc>
        <w:tc>
          <w:tcPr>
            <w:tcW w:w="124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88"/>
              </w:rPr>
              <w:t>$ 1,768,755</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$ 136,948</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72,447</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27,903</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8,523</w:t>
            </w:r>
          </w:p>
        </w:tc>
      </w:tr>
      <w:tr>
        <w:trPr>
          <w:trHeight w:val="203"/>
        </w:trPr>
        <w:tc>
          <w:tcPr>
            <w:tcW w:w="20" w:type="dxa"/>
            <w:vAlign w:val="bottom"/>
          </w:tcPr>
          <w:p>
            <w:pPr>
              <w:spacing w:after="0"/>
              <w:rPr>
                <w:sz w:val="17"/>
                <w:szCs w:val="17"/>
                <w:color w:val="auto"/>
              </w:rPr>
            </w:pPr>
          </w:p>
        </w:tc>
        <w:tc>
          <w:tcPr>
            <w:tcW w:w="2960" w:type="dxa"/>
            <w:vAlign w:val="bottom"/>
          </w:tcPr>
          <w:p>
            <w:pPr>
              <w:spacing w:after="0" w:line="202" w:lineRule="exact"/>
              <w:rPr>
                <w:sz w:val="20"/>
                <w:szCs w:val="20"/>
                <w:color w:val="auto"/>
              </w:rPr>
            </w:pPr>
            <w:r>
              <w:rPr>
                <w:rFonts w:ascii="Arial" w:cs="Arial" w:eastAsia="Arial" w:hAnsi="Arial"/>
                <w:sz w:val="18"/>
                <w:szCs w:val="18"/>
                <w:color w:val="auto"/>
              </w:rPr>
              <w:t>Commercial real estate</w:t>
            </w:r>
          </w:p>
        </w:tc>
        <w:tc>
          <w:tcPr>
            <w:tcW w:w="21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2,393,372</w:t>
            </w:r>
          </w:p>
        </w:tc>
        <w:tc>
          <w:tcPr>
            <w:tcW w:w="20" w:type="dxa"/>
            <w:vAlign w:val="bottom"/>
          </w:tcPr>
          <w:p>
            <w:pPr>
              <w:spacing w:after="0"/>
              <w:rPr>
                <w:sz w:val="17"/>
                <w:szCs w:val="17"/>
                <w:color w:val="auto"/>
              </w:rPr>
            </w:pPr>
          </w:p>
        </w:tc>
        <w:tc>
          <w:tcPr>
            <w:tcW w:w="9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383,277</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75,486</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w w:val="98"/>
              </w:rPr>
              <w:t>34,897</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5,503</w:t>
            </w:r>
          </w:p>
        </w:tc>
      </w:tr>
      <w:tr>
        <w:trPr>
          <w:trHeight w:val="203"/>
        </w:trPr>
        <w:tc>
          <w:tcPr>
            <w:tcW w:w="20" w:type="dxa"/>
            <w:vAlign w:val="bottom"/>
          </w:tcPr>
          <w:p>
            <w:pPr>
              <w:spacing w:after="0"/>
              <w:rPr>
                <w:sz w:val="17"/>
                <w:szCs w:val="17"/>
                <w:color w:val="auto"/>
              </w:rPr>
            </w:pPr>
          </w:p>
        </w:tc>
        <w:tc>
          <w:tcPr>
            <w:tcW w:w="2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Real estate construction</w:t>
            </w:r>
          </w:p>
        </w:tc>
        <w:tc>
          <w:tcPr>
            <w:tcW w:w="216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434,681</w:t>
            </w:r>
          </w:p>
        </w:tc>
        <w:tc>
          <w:tcPr>
            <w:tcW w:w="2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24,481</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77</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2,546</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w:t>
            </w:r>
          </w:p>
        </w:tc>
      </w:tr>
      <w:tr>
        <w:trPr>
          <w:trHeight w:val="203"/>
        </w:trPr>
        <w:tc>
          <w:tcPr>
            <w:tcW w:w="20" w:type="dxa"/>
            <w:vAlign w:val="bottom"/>
          </w:tcPr>
          <w:p>
            <w:pPr>
              <w:spacing w:after="0"/>
              <w:rPr>
                <w:sz w:val="17"/>
                <w:szCs w:val="17"/>
                <w:color w:val="auto"/>
              </w:rPr>
            </w:pPr>
          </w:p>
        </w:tc>
        <w:tc>
          <w:tcPr>
            <w:tcW w:w="2960" w:type="dxa"/>
            <w:vAlign w:val="bottom"/>
          </w:tcPr>
          <w:p>
            <w:pPr>
              <w:spacing w:after="0" w:line="202" w:lineRule="exact"/>
              <w:rPr>
                <w:sz w:val="20"/>
                <w:szCs w:val="20"/>
                <w:color w:val="auto"/>
              </w:rPr>
            </w:pPr>
            <w:r>
              <w:rPr>
                <w:rFonts w:ascii="Arial" w:cs="Arial" w:eastAsia="Arial" w:hAnsi="Arial"/>
                <w:sz w:val="18"/>
                <w:szCs w:val="18"/>
                <w:color w:val="auto"/>
              </w:rPr>
              <w:t>Retail real estate</w:t>
            </w:r>
          </w:p>
        </w:tc>
        <w:tc>
          <w:tcPr>
            <w:tcW w:w="21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1,382,616</w:t>
            </w:r>
          </w:p>
        </w:tc>
        <w:tc>
          <w:tcPr>
            <w:tcW w:w="20" w:type="dxa"/>
            <w:vAlign w:val="bottom"/>
          </w:tcPr>
          <w:p>
            <w:pPr>
              <w:spacing w:after="0"/>
              <w:rPr>
                <w:sz w:val="17"/>
                <w:szCs w:val="17"/>
                <w:color w:val="auto"/>
              </w:rPr>
            </w:pPr>
          </w:p>
        </w:tc>
        <w:tc>
          <w:tcPr>
            <w:tcW w:w="9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10,264</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2,471</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3,702</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8,799</w:t>
            </w:r>
          </w:p>
        </w:tc>
      </w:tr>
      <w:tr>
        <w:trPr>
          <w:trHeight w:val="203"/>
        </w:trPr>
        <w:tc>
          <w:tcPr>
            <w:tcW w:w="20" w:type="dxa"/>
            <w:vAlign w:val="bottom"/>
          </w:tcPr>
          <w:p>
            <w:pPr>
              <w:spacing w:after="0"/>
              <w:rPr>
                <w:sz w:val="17"/>
                <w:szCs w:val="17"/>
                <w:color w:val="auto"/>
              </w:rPr>
            </w:pPr>
          </w:p>
        </w:tc>
        <w:tc>
          <w:tcPr>
            <w:tcW w:w="2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Retail other</w:t>
            </w:r>
          </w:p>
        </w:tc>
        <w:tc>
          <w:tcPr>
            <w:tcW w:w="216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37,324</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104</w:t>
            </w:r>
          </w:p>
        </w:tc>
      </w:tr>
      <w:tr>
        <w:trPr>
          <w:trHeight w:val="196"/>
        </w:trPr>
        <w:tc>
          <w:tcPr>
            <w:tcW w:w="20" w:type="dxa"/>
            <w:vAlign w:val="bottom"/>
          </w:tcPr>
          <w:p>
            <w:pPr>
              <w:spacing w:after="0"/>
              <w:rPr>
                <w:sz w:val="17"/>
                <w:szCs w:val="17"/>
                <w:color w:val="auto"/>
              </w:rPr>
            </w:pPr>
          </w:p>
        </w:tc>
        <w:tc>
          <w:tcPr>
            <w:tcW w:w="2960" w:type="dxa"/>
            <w:vAlign w:val="bottom"/>
          </w:tcPr>
          <w:p>
            <w:pPr>
              <w:ind w:left="220"/>
              <w:spacing w:after="0" w:line="196" w:lineRule="exact"/>
              <w:rPr>
                <w:sz w:val="20"/>
                <w:szCs w:val="20"/>
                <w:color w:val="auto"/>
              </w:rPr>
            </w:pPr>
            <w:r>
              <w:rPr>
                <w:rFonts w:ascii="Arial" w:cs="Arial" w:eastAsia="Arial" w:hAnsi="Arial"/>
                <w:sz w:val="18"/>
                <w:szCs w:val="18"/>
                <w:color w:val="auto"/>
              </w:rPr>
              <w:t>Portfolio loans</w:t>
            </w:r>
          </w:p>
        </w:tc>
        <w:tc>
          <w:tcPr>
            <w:tcW w:w="1240" w:type="dxa"/>
            <w:vAlign w:val="bottom"/>
          </w:tcPr>
          <w:p>
            <w:pPr>
              <w:spacing w:after="0"/>
              <w:rPr>
                <w:sz w:val="17"/>
                <w:szCs w:val="17"/>
                <w:color w:val="auto"/>
              </w:rPr>
            </w:pPr>
          </w:p>
        </w:tc>
        <w:tc>
          <w:tcPr>
            <w:tcW w:w="92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w w:val="88"/>
              </w:rPr>
              <w:t>$ 6,016,748</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w w:val="87"/>
              </w:rPr>
              <w:t>$ 554,970</w:t>
            </w:r>
          </w:p>
        </w:tc>
        <w:tc>
          <w:tcPr>
            <w:tcW w:w="140" w:type="dxa"/>
            <w:vAlign w:val="bottom"/>
          </w:tcPr>
          <w:p>
            <w:pPr>
              <w:spacing w:after="0"/>
              <w:rPr>
                <w:sz w:val="17"/>
                <w:szCs w:val="17"/>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2"/>
              </w:rPr>
              <w:t>150,481</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top w:val="single" w:sz="8" w:color="auto"/>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69,048</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Borders>
              <w:top w:val="single" w:sz="8" w:color="auto"/>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22,930</w:t>
            </w:r>
          </w:p>
        </w:tc>
      </w:t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831"/>
        </w:trPr>
        <w:tc>
          <w:tcPr>
            <w:tcW w:w="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160" w:type="dxa"/>
            <w:vAlign w:val="bottom"/>
            <w:gridSpan w:val="3"/>
          </w:tcPr>
          <w:p>
            <w:pPr>
              <w:jc w:val="right"/>
              <w:ind w:right="499"/>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8"/>
          <w:szCs w:val="18"/>
          <w:b w:val="1"/>
          <w:bCs w:val="1"/>
          <w:color w:val="auto"/>
        </w:rPr>
        <w:t>FIRST BUSEY CORPORATION</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w:t>
      </w:r>
    </w:p>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5"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Risk grades of portfolio loans, further sorted by origination year, are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08" w:lineRule="exact"/>
        <w:rPr>
          <w:sz w:val="20"/>
          <w:szCs w:val="20"/>
          <w:color w:val="auto"/>
        </w:rPr>
      </w:pPr>
    </w:p>
    <w:tbl>
      <w:tblPr>
        <w:tblLayout w:type="fixed"/>
        <w:tblInd w:w="40" w:type="dxa"/>
        <w:tblCellMar>
          <w:top w:w="0" w:type="dxa"/>
          <w:left w:w="0" w:type="dxa"/>
          <w:bottom w:w="0" w:type="dxa"/>
          <w:right w:w="0" w:type="dxa"/>
        </w:tblCellMar>
      </w:tblPr>
      <w:tr>
        <w:trPr>
          <w:trHeight w:val="164"/>
        </w:trPr>
        <w:tc>
          <w:tcPr>
            <w:tcW w:w="1800" w:type="dxa"/>
            <w:vAlign w:val="bottom"/>
            <w:gridSpan w:val="2"/>
          </w:tcPr>
          <w:p>
            <w:pPr>
              <w:ind w:left="20"/>
              <w:spacing w:after="0"/>
              <w:rPr>
                <w:sz w:val="20"/>
                <w:szCs w:val="20"/>
                <w:color w:val="auto"/>
              </w:rPr>
            </w:pPr>
            <w:r>
              <w:rPr>
                <w:rFonts w:ascii="Arial" w:cs="Arial" w:eastAsia="Arial" w:hAnsi="Arial"/>
                <w:sz w:val="13"/>
                <w:szCs w:val="13"/>
                <w:b w:val="1"/>
                <w:bCs w:val="1"/>
                <w:color w:val="auto"/>
              </w:rPr>
              <w:t>Risk Grade Ratings</w:t>
            </w: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420" w:type="dxa"/>
            <w:vAlign w:val="bottom"/>
            <w:tcBorders>
              <w:bottom w:val="single" w:sz="8" w:color="auto"/>
            </w:tcBorders>
            <w:gridSpan w:val="11"/>
          </w:tcPr>
          <w:p>
            <w:pPr>
              <w:ind w:left="100"/>
              <w:spacing w:after="0"/>
              <w:rPr>
                <w:sz w:val="20"/>
                <w:szCs w:val="20"/>
                <w:color w:val="auto"/>
              </w:rPr>
            </w:pPr>
            <w:r>
              <w:rPr>
                <w:rFonts w:ascii="Arial" w:cs="Arial" w:eastAsia="Arial" w:hAnsi="Arial"/>
                <w:sz w:val="13"/>
                <w:szCs w:val="13"/>
                <w:b w:val="1"/>
                <w:bCs w:val="1"/>
                <w:color w:val="auto"/>
                <w:w w:val="98"/>
              </w:rPr>
              <w:t>Term Loans Amortized Cost Basis by Origination Year</w:t>
            </w: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6"/>
              </w:rPr>
              <w:t>Revolving</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44"/>
        </w:trPr>
        <w:tc>
          <w:tcPr>
            <w:tcW w:w="1800" w:type="dxa"/>
            <w:vAlign w:val="bottom"/>
            <w:gridSpan w:val="2"/>
          </w:tcPr>
          <w:p>
            <w:pPr>
              <w:ind w:left="20"/>
              <w:spacing w:after="0" w:line="144" w:lineRule="exact"/>
              <w:rPr>
                <w:sz w:val="20"/>
                <w:szCs w:val="20"/>
                <w:color w:val="auto"/>
              </w:rPr>
            </w:pPr>
            <w:r>
              <w:rPr>
                <w:rFonts w:ascii="Arial" w:cs="Arial" w:eastAsia="Arial" w:hAnsi="Arial"/>
                <w:sz w:val="13"/>
                <w:szCs w:val="13"/>
                <w:b w:val="1"/>
                <w:bCs w:val="1"/>
                <w:color w:val="auto"/>
              </w:rPr>
              <w:t>As of March 31, 2021</w:t>
            </w:r>
          </w:p>
        </w:tc>
        <w:tc>
          <w:tcPr>
            <w:tcW w:w="160" w:type="dxa"/>
            <w:vAlign w:val="bottom"/>
          </w:tcPr>
          <w:p>
            <w:pPr>
              <w:spacing w:after="0"/>
              <w:rPr>
                <w:sz w:val="12"/>
                <w:szCs w:val="12"/>
                <w:color w:val="auto"/>
              </w:rPr>
            </w:pPr>
          </w:p>
        </w:tc>
        <w:tc>
          <w:tcPr>
            <w:tcW w:w="600" w:type="dxa"/>
            <w:vAlign w:val="bottom"/>
          </w:tcPr>
          <w:p>
            <w:pPr>
              <w:jc w:val="right"/>
              <w:ind w:right="197"/>
              <w:spacing w:after="0" w:line="144" w:lineRule="exact"/>
              <w:rPr>
                <w:sz w:val="20"/>
                <w:szCs w:val="20"/>
                <w:color w:val="auto"/>
              </w:rPr>
            </w:pPr>
            <w:r>
              <w:rPr>
                <w:rFonts w:ascii="Arial" w:cs="Arial" w:eastAsia="Arial" w:hAnsi="Arial"/>
                <w:sz w:val="13"/>
                <w:szCs w:val="13"/>
                <w:b w:val="1"/>
                <w:bCs w:val="1"/>
                <w:color w:val="auto"/>
              </w:rPr>
              <w:t>2021</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ind w:left="100"/>
              <w:spacing w:after="0" w:line="144" w:lineRule="exact"/>
              <w:rPr>
                <w:sz w:val="20"/>
                <w:szCs w:val="20"/>
                <w:color w:val="auto"/>
              </w:rPr>
            </w:pPr>
            <w:r>
              <w:rPr>
                <w:rFonts w:ascii="Arial" w:cs="Arial" w:eastAsia="Arial" w:hAnsi="Arial"/>
                <w:sz w:val="13"/>
                <w:szCs w:val="13"/>
                <w:b w:val="1"/>
                <w:bCs w:val="1"/>
                <w:color w:val="auto"/>
              </w:rPr>
              <w:t>2020</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ind w:right="177"/>
              <w:spacing w:after="0" w:line="144" w:lineRule="exact"/>
              <w:rPr>
                <w:sz w:val="20"/>
                <w:szCs w:val="20"/>
                <w:color w:val="auto"/>
              </w:rPr>
            </w:pPr>
            <w:r>
              <w:rPr>
                <w:rFonts w:ascii="Arial" w:cs="Arial" w:eastAsia="Arial" w:hAnsi="Arial"/>
                <w:sz w:val="13"/>
                <w:szCs w:val="13"/>
                <w:b w:val="1"/>
                <w:bCs w:val="1"/>
                <w:color w:val="auto"/>
              </w:rPr>
              <w:t>2019</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ind w:right="197"/>
              <w:spacing w:after="0" w:line="144" w:lineRule="exact"/>
              <w:rPr>
                <w:sz w:val="20"/>
                <w:szCs w:val="20"/>
                <w:color w:val="auto"/>
              </w:rPr>
            </w:pPr>
            <w:r>
              <w:rPr>
                <w:rFonts w:ascii="Arial" w:cs="Arial" w:eastAsia="Arial" w:hAnsi="Arial"/>
                <w:sz w:val="13"/>
                <w:szCs w:val="13"/>
                <w:b w:val="1"/>
                <w:bCs w:val="1"/>
                <w:color w:val="auto"/>
              </w:rPr>
              <w:t>2018</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ind w:right="197"/>
              <w:spacing w:after="0" w:line="144" w:lineRule="exact"/>
              <w:rPr>
                <w:sz w:val="20"/>
                <w:szCs w:val="20"/>
                <w:color w:val="auto"/>
              </w:rPr>
            </w:pPr>
            <w:r>
              <w:rPr>
                <w:rFonts w:ascii="Arial" w:cs="Arial" w:eastAsia="Arial" w:hAnsi="Arial"/>
                <w:sz w:val="13"/>
                <w:szCs w:val="13"/>
                <w:b w:val="1"/>
                <w:bCs w:val="1"/>
                <w:color w:val="auto"/>
              </w:rPr>
              <w:t>2017</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ind w:right="117"/>
              <w:spacing w:after="0" w:line="144" w:lineRule="exact"/>
              <w:rPr>
                <w:sz w:val="20"/>
                <w:szCs w:val="20"/>
                <w:color w:val="auto"/>
              </w:rPr>
            </w:pPr>
            <w:r>
              <w:rPr>
                <w:rFonts w:ascii="Arial" w:cs="Arial" w:eastAsia="Arial" w:hAnsi="Arial"/>
                <w:sz w:val="13"/>
                <w:szCs w:val="13"/>
                <w:b w:val="1"/>
                <w:bCs w:val="1"/>
                <w:color w:val="auto"/>
              </w:rPr>
              <w:t>Prior</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100"/>
              <w:spacing w:after="0" w:line="144" w:lineRule="exact"/>
              <w:rPr>
                <w:sz w:val="20"/>
                <w:szCs w:val="20"/>
                <w:color w:val="auto"/>
              </w:rPr>
            </w:pPr>
            <w:r>
              <w:rPr>
                <w:rFonts w:ascii="Arial" w:cs="Arial" w:eastAsia="Arial" w:hAnsi="Arial"/>
                <w:sz w:val="13"/>
                <w:szCs w:val="13"/>
                <w:b w:val="1"/>
                <w:bCs w:val="1"/>
                <w:color w:val="auto"/>
                <w:w w:val="82"/>
              </w:rPr>
              <w:t>loans</w:t>
            </w:r>
          </w:p>
        </w:tc>
        <w:tc>
          <w:tcPr>
            <w:tcW w:w="180" w:type="dxa"/>
            <w:vAlign w:val="bottom"/>
          </w:tcPr>
          <w:p>
            <w:pPr>
              <w:spacing w:after="0"/>
              <w:rPr>
                <w:sz w:val="12"/>
                <w:szCs w:val="12"/>
                <w:color w:val="auto"/>
              </w:rPr>
            </w:pPr>
          </w:p>
        </w:tc>
        <w:tc>
          <w:tcPr>
            <w:tcW w:w="660" w:type="dxa"/>
            <w:vAlign w:val="bottom"/>
          </w:tcPr>
          <w:p>
            <w:pPr>
              <w:jc w:val="right"/>
              <w:ind w:right="157"/>
              <w:spacing w:after="0" w:line="144" w:lineRule="exact"/>
              <w:rPr>
                <w:sz w:val="20"/>
                <w:szCs w:val="20"/>
                <w:color w:val="auto"/>
              </w:rPr>
            </w:pPr>
            <w:r>
              <w:rPr>
                <w:rFonts w:ascii="Arial" w:cs="Arial" w:eastAsia="Arial" w:hAnsi="Arial"/>
                <w:sz w:val="13"/>
                <w:szCs w:val="13"/>
                <w:b w:val="1"/>
                <w:bCs w:val="1"/>
                <w:color w:val="auto"/>
              </w:rPr>
              <w:t>Total</w:t>
            </w:r>
          </w:p>
        </w:tc>
      </w:tr>
      <w:tr>
        <w:trPr>
          <w:trHeight w:val="142"/>
        </w:trPr>
        <w:tc>
          <w:tcPr>
            <w:tcW w:w="1660" w:type="dxa"/>
            <w:vAlign w:val="bottom"/>
            <w:tcBorders>
              <w:top w:val="single" w:sz="8" w:color="auto"/>
            </w:tcBorders>
            <w:shd w:val="clear" w:color="auto" w:fill="CCEEFF"/>
          </w:tcPr>
          <w:p>
            <w:pPr>
              <w:ind w:left="20"/>
              <w:spacing w:after="0" w:line="142" w:lineRule="exact"/>
              <w:rPr>
                <w:sz w:val="20"/>
                <w:szCs w:val="20"/>
                <w:color w:val="auto"/>
              </w:rPr>
            </w:pPr>
            <w:r>
              <w:rPr>
                <w:rFonts w:ascii="Arial" w:cs="Arial" w:eastAsia="Arial" w:hAnsi="Arial"/>
                <w:sz w:val="13"/>
                <w:szCs w:val="13"/>
                <w:b w:val="1"/>
                <w:bCs w:val="1"/>
                <w:color w:val="auto"/>
              </w:rPr>
              <w:t>Commercial:</w:t>
            </w: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r>
      <w:tr>
        <w:trPr>
          <w:trHeight w:val="149"/>
        </w:trPr>
        <w:tc>
          <w:tcPr>
            <w:tcW w:w="1800" w:type="dxa"/>
            <w:vAlign w:val="bottom"/>
            <w:gridSpan w:val="2"/>
          </w:tcPr>
          <w:p>
            <w:pPr>
              <w:ind w:left="220"/>
              <w:spacing w:after="0"/>
              <w:rPr>
                <w:sz w:val="20"/>
                <w:szCs w:val="20"/>
                <w:color w:val="auto"/>
              </w:rPr>
            </w:pPr>
            <w:r>
              <w:rPr>
                <w:rFonts w:ascii="Arial" w:cs="Arial" w:eastAsia="Arial" w:hAnsi="Arial"/>
                <w:sz w:val="13"/>
                <w:szCs w:val="13"/>
                <w:color w:val="auto"/>
              </w:rPr>
              <w:t>Pass</w:t>
            </w:r>
          </w:p>
        </w:tc>
        <w:tc>
          <w:tcPr>
            <w:tcW w:w="160" w:type="dxa"/>
            <w:vAlign w:val="bottom"/>
          </w:tcPr>
          <w:p>
            <w:pPr>
              <w:jc w:val="right"/>
              <w:ind w:right="48"/>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388,147</w:t>
            </w:r>
          </w:p>
        </w:tc>
        <w:tc>
          <w:tcPr>
            <w:tcW w:w="140" w:type="dxa"/>
            <w:vAlign w:val="bottom"/>
          </w:tcPr>
          <w:p>
            <w:pPr>
              <w:spacing w:after="0"/>
              <w:rPr>
                <w:sz w:val="12"/>
                <w:szCs w:val="12"/>
                <w:color w:val="auto"/>
              </w:rPr>
            </w:pPr>
          </w:p>
        </w:tc>
        <w:tc>
          <w:tcPr>
            <w:tcW w:w="140" w:type="dxa"/>
            <w:vAlign w:val="bottom"/>
          </w:tcPr>
          <w:p>
            <w:pPr>
              <w:jc w:val="right"/>
              <w:ind w:right="28"/>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536,074</w:t>
            </w:r>
          </w:p>
        </w:tc>
        <w:tc>
          <w:tcPr>
            <w:tcW w:w="12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131,127</w:t>
            </w:r>
          </w:p>
        </w:tc>
        <w:tc>
          <w:tcPr>
            <w:tcW w:w="140" w:type="dxa"/>
            <w:vAlign w:val="bottom"/>
          </w:tcPr>
          <w:p>
            <w:pPr>
              <w:spacing w:after="0"/>
              <w:rPr>
                <w:sz w:val="12"/>
                <w:szCs w:val="12"/>
                <w:color w:val="auto"/>
              </w:rPr>
            </w:pPr>
          </w:p>
        </w:tc>
        <w:tc>
          <w:tcPr>
            <w:tcW w:w="160" w:type="dxa"/>
            <w:vAlign w:val="bottom"/>
          </w:tcPr>
          <w:p>
            <w:pPr>
              <w:jc w:val="right"/>
              <w:ind w:right="48"/>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97,322</w:t>
            </w:r>
          </w:p>
        </w:tc>
        <w:tc>
          <w:tcPr>
            <w:tcW w:w="120" w:type="dxa"/>
            <w:vAlign w:val="bottom"/>
          </w:tcPr>
          <w:p>
            <w:pPr>
              <w:spacing w:after="0"/>
              <w:rPr>
                <w:sz w:val="12"/>
                <w:szCs w:val="12"/>
                <w:color w:val="auto"/>
              </w:rPr>
            </w:pP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88,238</w:t>
            </w:r>
          </w:p>
        </w:tc>
        <w:tc>
          <w:tcPr>
            <w:tcW w:w="120" w:type="dxa"/>
            <w:vAlign w:val="bottom"/>
          </w:tcPr>
          <w:p>
            <w:pPr>
              <w:spacing w:after="0"/>
              <w:rPr>
                <w:sz w:val="12"/>
                <w:szCs w:val="12"/>
                <w:color w:val="auto"/>
              </w:rPr>
            </w:pPr>
          </w:p>
        </w:tc>
        <w:tc>
          <w:tcPr>
            <w:tcW w:w="180" w:type="dxa"/>
            <w:vAlign w:val="bottom"/>
          </w:tcPr>
          <w:p>
            <w:pPr>
              <w:jc w:val="right"/>
              <w:ind w:right="68"/>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126,916</w:t>
            </w:r>
          </w:p>
        </w:tc>
        <w:tc>
          <w:tcPr>
            <w:tcW w:w="120" w:type="dxa"/>
            <w:vAlign w:val="bottom"/>
          </w:tcPr>
          <w:p>
            <w:pPr>
              <w:spacing w:after="0"/>
              <w:rPr>
                <w:sz w:val="12"/>
                <w:szCs w:val="12"/>
                <w:color w:val="auto"/>
              </w:rPr>
            </w:pPr>
          </w:p>
        </w:tc>
        <w:tc>
          <w:tcPr>
            <w:tcW w:w="120" w:type="dxa"/>
            <w:vAlign w:val="bottom"/>
          </w:tcPr>
          <w:p>
            <w:pPr>
              <w:jc w:val="right"/>
              <w:ind w:right="8"/>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462,239</w:t>
            </w:r>
          </w:p>
        </w:tc>
        <w:tc>
          <w:tcPr>
            <w:tcW w:w="120" w:type="dxa"/>
            <w:vAlign w:val="bottom"/>
          </w:tcPr>
          <w:p>
            <w:pPr>
              <w:spacing w:after="0"/>
              <w:rPr>
                <w:sz w:val="12"/>
                <w:szCs w:val="12"/>
                <w:color w:val="auto"/>
              </w:rPr>
            </w:pP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1,830,063</w:t>
            </w:r>
          </w:p>
        </w:tc>
      </w:tr>
      <w:tr>
        <w:trPr>
          <w:trHeight w:val="148"/>
        </w:trPr>
        <w:tc>
          <w:tcPr>
            <w:tcW w:w="180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Watch</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4,830</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14,828</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18,085</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6,890</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9,185</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12,947</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56,625</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123,390</w:t>
            </w:r>
          </w:p>
        </w:tc>
      </w:tr>
      <w:tr>
        <w:trPr>
          <w:trHeight w:val="148"/>
        </w:trPr>
        <w:tc>
          <w:tcPr>
            <w:tcW w:w="1800" w:type="dxa"/>
            <w:vAlign w:val="bottom"/>
            <w:gridSpan w:val="2"/>
          </w:tcPr>
          <w:p>
            <w:pPr>
              <w:ind w:left="220"/>
              <w:spacing w:after="0"/>
              <w:rPr>
                <w:sz w:val="20"/>
                <w:szCs w:val="20"/>
                <w:color w:val="auto"/>
              </w:rPr>
            </w:pPr>
            <w:r>
              <w:rPr>
                <w:rFonts w:ascii="Arial" w:cs="Arial" w:eastAsia="Arial" w:hAnsi="Arial"/>
                <w:sz w:val="13"/>
                <w:szCs w:val="13"/>
                <w:color w:val="auto"/>
              </w:rPr>
              <w:t>Special Mention</w:t>
            </w: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2,061</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4,241</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5,590</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8,369</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6,680</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18,831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32,774</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78,546</w:t>
            </w:r>
          </w:p>
        </w:tc>
      </w:tr>
      <w:tr>
        <w:trPr>
          <w:trHeight w:val="148"/>
        </w:trPr>
        <w:tc>
          <w:tcPr>
            <w:tcW w:w="180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Substandard</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587</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8,912</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3,569</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2,993</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1,815</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9,422</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27,423</w:t>
            </w:r>
          </w:p>
        </w:tc>
      </w:tr>
      <w:tr>
        <w:trPr>
          <w:trHeight w:val="148"/>
        </w:trPr>
        <w:tc>
          <w:tcPr>
            <w:tcW w:w="1800" w:type="dxa"/>
            <w:vAlign w:val="bottom"/>
            <w:gridSpan w:val="2"/>
          </w:tcPr>
          <w:p>
            <w:pPr>
              <w:ind w:left="220"/>
              <w:spacing w:after="0"/>
              <w:rPr>
                <w:sz w:val="20"/>
                <w:szCs w:val="20"/>
                <w:color w:val="auto"/>
              </w:rPr>
            </w:pPr>
            <w:r>
              <w:rPr>
                <w:rFonts w:ascii="Arial" w:cs="Arial" w:eastAsia="Arial" w:hAnsi="Arial"/>
                <w:sz w:val="13"/>
                <w:szCs w:val="13"/>
                <w:color w:val="auto"/>
              </w:rPr>
              <w:t>Substandard non-accrual</w:t>
            </w:r>
          </w:p>
        </w:tc>
        <w:tc>
          <w:tcPr>
            <w:tcW w:w="160" w:type="dxa"/>
            <w:vAlign w:val="bottom"/>
          </w:tcPr>
          <w:p>
            <w:pPr>
              <w:spacing w:after="0"/>
              <w:rPr>
                <w:sz w:val="12"/>
                <w:szCs w:val="12"/>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501</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2,392</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336</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2,168</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552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2,000</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7,949</w:t>
            </w:r>
          </w:p>
        </w:tc>
      </w:tr>
      <w:tr>
        <w:trPr>
          <w:trHeight w:val="142"/>
        </w:trPr>
        <w:tc>
          <w:tcPr>
            <w:tcW w:w="1800" w:type="dxa"/>
            <w:vAlign w:val="bottom"/>
            <w:tcBorders>
              <w:top w:val="single" w:sz="8" w:color="CCEEFF"/>
            </w:tcBorders>
            <w:gridSpan w:val="2"/>
            <w:shd w:val="clear" w:color="auto" w:fill="CCEEFF"/>
          </w:tcPr>
          <w:p>
            <w:pPr>
              <w:ind w:left="20"/>
              <w:spacing w:after="0" w:line="141" w:lineRule="exact"/>
              <w:rPr>
                <w:sz w:val="20"/>
                <w:szCs w:val="20"/>
                <w:color w:val="auto"/>
              </w:rPr>
            </w:pPr>
            <w:r>
              <w:rPr>
                <w:rFonts w:ascii="Arial" w:cs="Arial" w:eastAsia="Arial" w:hAnsi="Arial"/>
                <w:sz w:val="13"/>
                <w:szCs w:val="13"/>
                <w:color w:val="auto"/>
              </w:rPr>
              <w:t>Total commercial</w:t>
            </w: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395,625</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564,556</w:t>
            </w: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160,763</w:t>
            </w: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115,910</w:t>
            </w: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108,086</w:t>
            </w: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159,371</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563,060</w:t>
            </w: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2,067,371</w:t>
            </w:r>
          </w:p>
        </w:tc>
      </w:tr>
      <w:tr>
        <w:trPr>
          <w:trHeight w:val="142"/>
        </w:trPr>
        <w:tc>
          <w:tcPr>
            <w:tcW w:w="1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48"/>
        </w:trPr>
        <w:tc>
          <w:tcPr>
            <w:tcW w:w="180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Commercial real estate:</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r>
      <w:tr>
        <w:trPr>
          <w:trHeight w:val="148"/>
        </w:trPr>
        <w:tc>
          <w:tcPr>
            <w:tcW w:w="1800" w:type="dxa"/>
            <w:vAlign w:val="bottom"/>
            <w:gridSpan w:val="2"/>
          </w:tcPr>
          <w:p>
            <w:pPr>
              <w:ind w:left="220"/>
              <w:spacing w:after="0"/>
              <w:rPr>
                <w:sz w:val="20"/>
                <w:szCs w:val="20"/>
                <w:color w:val="auto"/>
              </w:rPr>
            </w:pPr>
            <w:r>
              <w:rPr>
                <w:rFonts w:ascii="Arial" w:cs="Arial" w:eastAsia="Arial" w:hAnsi="Arial"/>
                <w:sz w:val="13"/>
                <w:szCs w:val="13"/>
                <w:color w:val="auto"/>
              </w:rPr>
              <w:t>Pass</w:t>
            </w: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195,095</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732,186</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462,732</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342,786</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315,383</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334,934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17,330</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2,400,446</w:t>
            </w:r>
          </w:p>
        </w:tc>
      </w:tr>
      <w:tr>
        <w:trPr>
          <w:trHeight w:val="149"/>
        </w:trPr>
        <w:tc>
          <w:tcPr>
            <w:tcW w:w="180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Watch</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13,209</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91,440</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133,721</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89,517</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29,142</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48,557</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1,658</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407,244</w:t>
            </w:r>
          </w:p>
        </w:tc>
      </w:tr>
      <w:tr>
        <w:trPr>
          <w:trHeight w:val="148"/>
        </w:trPr>
        <w:tc>
          <w:tcPr>
            <w:tcW w:w="1800" w:type="dxa"/>
            <w:vAlign w:val="bottom"/>
            <w:gridSpan w:val="2"/>
          </w:tcPr>
          <w:p>
            <w:pPr>
              <w:ind w:left="220"/>
              <w:spacing w:after="0"/>
              <w:rPr>
                <w:sz w:val="20"/>
                <w:szCs w:val="20"/>
                <w:color w:val="auto"/>
              </w:rPr>
            </w:pPr>
            <w:r>
              <w:rPr>
                <w:rFonts w:ascii="Arial" w:cs="Arial" w:eastAsia="Arial" w:hAnsi="Arial"/>
                <w:sz w:val="13"/>
                <w:szCs w:val="13"/>
                <w:color w:val="auto"/>
              </w:rPr>
              <w:t>Special Mention</w:t>
            </w: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19,920</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9,818</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7,902</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9,949</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7,172</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13,716</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423</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68,900</w:t>
            </w:r>
          </w:p>
        </w:tc>
      </w:tr>
      <w:tr>
        <w:trPr>
          <w:trHeight w:val="148"/>
        </w:trPr>
        <w:tc>
          <w:tcPr>
            <w:tcW w:w="180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Substandard</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2,500</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15,325</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3,557</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2,425</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4,400</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3,005</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31,212</w:t>
            </w:r>
          </w:p>
        </w:tc>
      </w:tr>
      <w:tr>
        <w:trPr>
          <w:trHeight w:val="148"/>
        </w:trPr>
        <w:tc>
          <w:tcPr>
            <w:tcW w:w="1800" w:type="dxa"/>
            <w:vAlign w:val="bottom"/>
            <w:gridSpan w:val="2"/>
          </w:tcPr>
          <w:p>
            <w:pPr>
              <w:ind w:left="220"/>
              <w:spacing w:after="0"/>
              <w:rPr>
                <w:sz w:val="20"/>
                <w:szCs w:val="20"/>
                <w:color w:val="auto"/>
              </w:rPr>
            </w:pPr>
            <w:r>
              <w:rPr>
                <w:rFonts w:ascii="Arial" w:cs="Arial" w:eastAsia="Arial" w:hAnsi="Arial"/>
                <w:sz w:val="13"/>
                <w:szCs w:val="13"/>
                <w:color w:val="auto"/>
              </w:rPr>
              <w:t>Substandard non-accrual</w:t>
            </w:r>
          </w:p>
        </w:tc>
        <w:tc>
          <w:tcPr>
            <w:tcW w:w="160" w:type="dxa"/>
            <w:vAlign w:val="bottom"/>
          </w:tcPr>
          <w:p>
            <w:pPr>
              <w:spacing w:after="0"/>
              <w:rPr>
                <w:sz w:val="12"/>
                <w:szCs w:val="12"/>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784</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739</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821</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882</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1,938</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5,164</w:t>
            </w:r>
          </w:p>
        </w:tc>
      </w:tr>
      <w:tr>
        <w:trPr>
          <w:trHeight w:val="142"/>
        </w:trPr>
        <w:tc>
          <w:tcPr>
            <w:tcW w:w="1800" w:type="dxa"/>
            <w:vAlign w:val="bottom"/>
            <w:tcBorders>
              <w:top w:val="single" w:sz="8" w:color="CCEEFF"/>
            </w:tcBorders>
            <w:gridSpan w:val="2"/>
            <w:shd w:val="clear" w:color="auto" w:fill="CCEEFF"/>
          </w:tcPr>
          <w:p>
            <w:pPr>
              <w:ind w:left="20"/>
              <w:spacing w:after="0" w:line="141" w:lineRule="exact"/>
              <w:rPr>
                <w:sz w:val="20"/>
                <w:szCs w:val="20"/>
                <w:color w:val="auto"/>
              </w:rPr>
            </w:pPr>
            <w:r>
              <w:rPr>
                <w:rFonts w:ascii="Arial" w:cs="Arial" w:eastAsia="Arial" w:hAnsi="Arial"/>
                <w:sz w:val="13"/>
                <w:szCs w:val="13"/>
                <w:color w:val="auto"/>
              </w:rPr>
              <w:t>Total commercial real estate</w:t>
            </w: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230,724</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849,553</w:t>
            </w: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608,651</w:t>
            </w: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445,498</w:t>
            </w: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356,979</w:t>
            </w: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402,150</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19,411</w:t>
            </w: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2,912,966</w:t>
            </w:r>
          </w:p>
        </w:tc>
      </w:tr>
      <w:tr>
        <w:trPr>
          <w:trHeight w:val="142"/>
        </w:trPr>
        <w:tc>
          <w:tcPr>
            <w:tcW w:w="1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48"/>
        </w:trPr>
        <w:tc>
          <w:tcPr>
            <w:tcW w:w="180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Real estate construction:</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r>
      <w:tr>
        <w:trPr>
          <w:trHeight w:val="148"/>
        </w:trPr>
        <w:tc>
          <w:tcPr>
            <w:tcW w:w="1800" w:type="dxa"/>
            <w:vAlign w:val="bottom"/>
            <w:gridSpan w:val="2"/>
          </w:tcPr>
          <w:p>
            <w:pPr>
              <w:ind w:left="220"/>
              <w:spacing w:after="0"/>
              <w:rPr>
                <w:sz w:val="20"/>
                <w:szCs w:val="20"/>
                <w:color w:val="auto"/>
              </w:rPr>
            </w:pPr>
            <w:r>
              <w:rPr>
                <w:rFonts w:ascii="Arial" w:cs="Arial" w:eastAsia="Arial" w:hAnsi="Arial"/>
                <w:sz w:val="13"/>
                <w:szCs w:val="13"/>
                <w:color w:val="auto"/>
              </w:rPr>
              <w:t>Pass</w:t>
            </w: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40,766</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167,230</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143,555</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39,297</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1,164</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1,680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6,614</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400,306</w:t>
            </w:r>
          </w:p>
        </w:tc>
      </w:tr>
      <w:tr>
        <w:trPr>
          <w:trHeight w:val="149"/>
        </w:trPr>
        <w:tc>
          <w:tcPr>
            <w:tcW w:w="180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Watch</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2,079</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11,915</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3,653</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330</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1,785</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156</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19,918</w:t>
            </w:r>
          </w:p>
        </w:tc>
      </w:tr>
      <w:tr>
        <w:trPr>
          <w:trHeight w:val="148"/>
        </w:trPr>
        <w:tc>
          <w:tcPr>
            <w:tcW w:w="1800" w:type="dxa"/>
            <w:vAlign w:val="bottom"/>
            <w:gridSpan w:val="2"/>
          </w:tcPr>
          <w:p>
            <w:pPr>
              <w:ind w:left="220"/>
              <w:spacing w:after="0"/>
              <w:rPr>
                <w:sz w:val="20"/>
                <w:szCs w:val="20"/>
                <w:color w:val="auto"/>
              </w:rPr>
            </w:pPr>
            <w:r>
              <w:rPr>
                <w:rFonts w:ascii="Arial" w:cs="Arial" w:eastAsia="Arial" w:hAnsi="Arial"/>
                <w:sz w:val="13"/>
                <w:szCs w:val="13"/>
                <w:color w:val="auto"/>
              </w:rPr>
              <w:t>Special Mention</w:t>
            </w:r>
          </w:p>
        </w:tc>
        <w:tc>
          <w:tcPr>
            <w:tcW w:w="160" w:type="dxa"/>
            <w:vAlign w:val="bottom"/>
          </w:tcPr>
          <w:p>
            <w:pPr>
              <w:spacing w:after="0"/>
              <w:rPr>
                <w:sz w:val="12"/>
                <w:szCs w:val="12"/>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9</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9</w:t>
            </w:r>
          </w:p>
        </w:tc>
      </w:tr>
      <w:tr>
        <w:trPr>
          <w:trHeight w:val="148"/>
        </w:trPr>
        <w:tc>
          <w:tcPr>
            <w:tcW w:w="180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Substandard</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2,400</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2,400</w:t>
            </w:r>
          </w:p>
        </w:tc>
      </w:tr>
      <w:tr>
        <w:trPr>
          <w:trHeight w:val="148"/>
        </w:trPr>
        <w:tc>
          <w:tcPr>
            <w:tcW w:w="1800" w:type="dxa"/>
            <w:vAlign w:val="bottom"/>
            <w:gridSpan w:val="2"/>
          </w:tcPr>
          <w:p>
            <w:pPr>
              <w:ind w:left="220"/>
              <w:spacing w:after="0"/>
              <w:rPr>
                <w:sz w:val="20"/>
                <w:szCs w:val="20"/>
                <w:color w:val="auto"/>
              </w:rPr>
            </w:pPr>
            <w:r>
              <w:rPr>
                <w:rFonts w:ascii="Arial" w:cs="Arial" w:eastAsia="Arial" w:hAnsi="Arial"/>
                <w:sz w:val="13"/>
                <w:szCs w:val="13"/>
                <w:color w:val="auto"/>
              </w:rPr>
              <w:t>Substandard non-accrual</w:t>
            </w:r>
          </w:p>
        </w:tc>
        <w:tc>
          <w:tcPr>
            <w:tcW w:w="160" w:type="dxa"/>
            <w:vAlign w:val="bottom"/>
          </w:tcPr>
          <w:p>
            <w:pPr>
              <w:spacing w:after="0"/>
              <w:rPr>
                <w:sz w:val="12"/>
                <w:szCs w:val="12"/>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42"/>
        </w:trPr>
        <w:tc>
          <w:tcPr>
            <w:tcW w:w="1800" w:type="dxa"/>
            <w:vAlign w:val="bottom"/>
            <w:tcBorders>
              <w:top w:val="single" w:sz="8" w:color="CCEEFF"/>
            </w:tcBorders>
            <w:gridSpan w:val="2"/>
            <w:shd w:val="clear" w:color="auto" w:fill="CCEEFF"/>
          </w:tcPr>
          <w:p>
            <w:pPr>
              <w:ind w:left="20"/>
              <w:spacing w:after="0" w:line="141" w:lineRule="exact"/>
              <w:rPr>
                <w:sz w:val="20"/>
                <w:szCs w:val="20"/>
                <w:color w:val="auto"/>
              </w:rPr>
            </w:pPr>
            <w:r>
              <w:rPr>
                <w:rFonts w:ascii="Arial" w:cs="Arial" w:eastAsia="Arial" w:hAnsi="Arial"/>
                <w:sz w:val="13"/>
                <w:szCs w:val="13"/>
                <w:color w:val="auto"/>
              </w:rPr>
              <w:t>Total real estate construction</w:t>
            </w: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42,845</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181,545</w:t>
            </w: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147,217</w:t>
            </w: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39,627</w:t>
            </w: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2,949</w:t>
            </w: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1,836</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6,614</w:t>
            </w: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422,633</w:t>
            </w:r>
          </w:p>
        </w:tc>
      </w:tr>
      <w:tr>
        <w:trPr>
          <w:trHeight w:val="142"/>
        </w:trPr>
        <w:tc>
          <w:tcPr>
            <w:tcW w:w="1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48"/>
        </w:trPr>
        <w:tc>
          <w:tcPr>
            <w:tcW w:w="180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Retail real estate:</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r>
      <w:tr>
        <w:trPr>
          <w:trHeight w:val="148"/>
        </w:trPr>
        <w:tc>
          <w:tcPr>
            <w:tcW w:w="1800" w:type="dxa"/>
            <w:vAlign w:val="bottom"/>
            <w:gridSpan w:val="2"/>
          </w:tcPr>
          <w:p>
            <w:pPr>
              <w:ind w:left="220"/>
              <w:spacing w:after="0"/>
              <w:rPr>
                <w:sz w:val="20"/>
                <w:szCs w:val="20"/>
                <w:color w:val="auto"/>
              </w:rPr>
            </w:pPr>
            <w:r>
              <w:rPr>
                <w:rFonts w:ascii="Arial" w:cs="Arial" w:eastAsia="Arial" w:hAnsi="Arial"/>
                <w:sz w:val="13"/>
                <w:szCs w:val="13"/>
                <w:color w:val="auto"/>
              </w:rPr>
              <w:t>Pass</w:t>
            </w: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161,016</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207,536</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144,201</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118,052</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117,359</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351,700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218,383</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1,318,247</w:t>
            </w:r>
          </w:p>
        </w:tc>
      </w:tr>
      <w:tr>
        <w:trPr>
          <w:trHeight w:val="148"/>
        </w:trPr>
        <w:tc>
          <w:tcPr>
            <w:tcW w:w="180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Watch</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189</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2,557</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2,040</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1,407</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291</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846</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2,549</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9,879</w:t>
            </w:r>
          </w:p>
        </w:tc>
      </w:tr>
      <w:tr>
        <w:trPr>
          <w:trHeight w:val="149"/>
        </w:trPr>
        <w:tc>
          <w:tcPr>
            <w:tcW w:w="1800" w:type="dxa"/>
            <w:vAlign w:val="bottom"/>
            <w:gridSpan w:val="2"/>
          </w:tcPr>
          <w:p>
            <w:pPr>
              <w:ind w:left="220"/>
              <w:spacing w:after="0"/>
              <w:rPr>
                <w:sz w:val="20"/>
                <w:szCs w:val="20"/>
                <w:color w:val="auto"/>
              </w:rPr>
            </w:pPr>
            <w:r>
              <w:rPr>
                <w:rFonts w:ascii="Arial" w:cs="Arial" w:eastAsia="Arial" w:hAnsi="Arial"/>
                <w:sz w:val="13"/>
                <w:szCs w:val="13"/>
                <w:color w:val="auto"/>
              </w:rPr>
              <w:t>Special Mention</w:t>
            </w: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377</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33</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18</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1,948</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2,376</w:t>
            </w:r>
          </w:p>
        </w:tc>
      </w:tr>
      <w:tr>
        <w:trPr>
          <w:trHeight w:val="148"/>
        </w:trPr>
        <w:tc>
          <w:tcPr>
            <w:tcW w:w="180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Substandard</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323</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882</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168</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2,497</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285</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4,302</w:t>
            </w:r>
          </w:p>
        </w:tc>
      </w:tr>
      <w:tr>
        <w:trPr>
          <w:trHeight w:val="148"/>
        </w:trPr>
        <w:tc>
          <w:tcPr>
            <w:tcW w:w="1800" w:type="dxa"/>
            <w:vAlign w:val="bottom"/>
            <w:tcBorders>
              <w:bottom w:val="single" w:sz="8" w:color="CCEEFF"/>
            </w:tcBorders>
            <w:gridSpan w:val="2"/>
          </w:tcPr>
          <w:p>
            <w:pPr>
              <w:ind w:left="220"/>
              <w:spacing w:after="0"/>
              <w:rPr>
                <w:sz w:val="20"/>
                <w:szCs w:val="20"/>
                <w:color w:val="auto"/>
              </w:rPr>
            </w:pPr>
            <w:r>
              <w:rPr>
                <w:rFonts w:ascii="Arial" w:cs="Arial" w:eastAsia="Arial" w:hAnsi="Arial"/>
                <w:sz w:val="13"/>
                <w:szCs w:val="13"/>
                <w:color w:val="auto"/>
              </w:rPr>
              <w:t>Substandard non-accrual</w:t>
            </w: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483</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137</w:t>
            </w:r>
          </w:p>
        </w:tc>
        <w:tc>
          <w:tcPr>
            <w:tcW w:w="1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76</w:t>
            </w: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650</w:t>
            </w:r>
          </w:p>
        </w:tc>
        <w:tc>
          <w:tcPr>
            <w:tcW w:w="1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1,128</w:t>
            </w:r>
          </w:p>
        </w:tc>
        <w:tc>
          <w:tcPr>
            <w:tcW w:w="1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4,818</w:t>
            </w: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1,203</w:t>
            </w:r>
          </w:p>
        </w:tc>
        <w:tc>
          <w:tcPr>
            <w:tcW w:w="1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8,495</w:t>
            </w:r>
          </w:p>
        </w:tc>
      </w:tr>
      <w:tr>
        <w:trPr>
          <w:trHeight w:val="142"/>
        </w:trPr>
        <w:tc>
          <w:tcPr>
            <w:tcW w:w="1800" w:type="dxa"/>
            <w:vAlign w:val="bottom"/>
            <w:gridSpan w:val="2"/>
            <w:shd w:val="clear" w:color="auto" w:fill="CCEEFF"/>
          </w:tcPr>
          <w:p>
            <w:pPr>
              <w:ind w:left="20"/>
              <w:spacing w:after="0" w:line="141" w:lineRule="exact"/>
              <w:rPr>
                <w:sz w:val="20"/>
                <w:szCs w:val="20"/>
                <w:color w:val="auto"/>
              </w:rPr>
            </w:pPr>
            <w:r>
              <w:rPr>
                <w:rFonts w:ascii="Arial" w:cs="Arial" w:eastAsia="Arial" w:hAnsi="Arial"/>
                <w:sz w:val="13"/>
                <w:szCs w:val="13"/>
                <w:color w:val="auto"/>
              </w:rPr>
              <w:t>Total retail real estate</w:t>
            </w:r>
          </w:p>
        </w:tc>
        <w:tc>
          <w:tcPr>
            <w:tcW w:w="16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162,388</w:t>
            </w:r>
          </w:p>
        </w:tc>
        <w:tc>
          <w:tcPr>
            <w:tcW w:w="1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211,145</w:t>
            </w:r>
          </w:p>
        </w:tc>
        <w:tc>
          <w:tcPr>
            <w:tcW w:w="1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146,408</w:t>
            </w:r>
          </w:p>
        </w:tc>
        <w:tc>
          <w:tcPr>
            <w:tcW w:w="14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120,183</w:t>
            </w:r>
          </w:p>
        </w:tc>
        <w:tc>
          <w:tcPr>
            <w:tcW w:w="12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118,946</w:t>
            </w:r>
          </w:p>
        </w:tc>
        <w:tc>
          <w:tcPr>
            <w:tcW w:w="12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361,809</w:t>
            </w:r>
          </w:p>
        </w:tc>
        <w:tc>
          <w:tcPr>
            <w:tcW w:w="1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222,420</w:t>
            </w:r>
          </w:p>
        </w:tc>
        <w:tc>
          <w:tcPr>
            <w:tcW w:w="12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1,343,299</w:t>
            </w:r>
          </w:p>
        </w:tc>
      </w:tr>
      <w:tr>
        <w:trPr>
          <w:trHeight w:val="142"/>
        </w:trPr>
        <w:tc>
          <w:tcPr>
            <w:tcW w:w="1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48"/>
        </w:trPr>
        <w:tc>
          <w:tcPr>
            <w:tcW w:w="180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Retail other:</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r>
      <w:tr>
        <w:trPr>
          <w:trHeight w:val="148"/>
        </w:trPr>
        <w:tc>
          <w:tcPr>
            <w:tcW w:w="1800" w:type="dxa"/>
            <w:vAlign w:val="bottom"/>
            <w:gridSpan w:val="2"/>
          </w:tcPr>
          <w:p>
            <w:pPr>
              <w:ind w:left="220"/>
              <w:spacing w:after="0"/>
              <w:rPr>
                <w:sz w:val="20"/>
                <w:szCs w:val="20"/>
                <w:color w:val="auto"/>
              </w:rPr>
            </w:pPr>
            <w:r>
              <w:rPr>
                <w:rFonts w:ascii="Arial" w:cs="Arial" w:eastAsia="Arial" w:hAnsi="Arial"/>
                <w:sz w:val="13"/>
                <w:szCs w:val="13"/>
                <w:color w:val="auto"/>
              </w:rPr>
              <w:t>Pass</w:t>
            </w: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2,014</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6,835</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8,062</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4,652</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1,949</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800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8,621</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32,933</w:t>
            </w:r>
          </w:p>
        </w:tc>
      </w:tr>
      <w:tr>
        <w:trPr>
          <w:trHeight w:val="149"/>
        </w:trPr>
        <w:tc>
          <w:tcPr>
            <w:tcW w:w="180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Watch</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48"/>
        </w:trPr>
        <w:tc>
          <w:tcPr>
            <w:tcW w:w="1800" w:type="dxa"/>
            <w:vAlign w:val="bottom"/>
            <w:gridSpan w:val="2"/>
          </w:tcPr>
          <w:p>
            <w:pPr>
              <w:ind w:left="220"/>
              <w:spacing w:after="0"/>
              <w:rPr>
                <w:sz w:val="20"/>
                <w:szCs w:val="20"/>
                <w:color w:val="auto"/>
              </w:rPr>
            </w:pPr>
            <w:r>
              <w:rPr>
                <w:rFonts w:ascii="Arial" w:cs="Arial" w:eastAsia="Arial" w:hAnsi="Arial"/>
                <w:sz w:val="13"/>
                <w:szCs w:val="13"/>
                <w:color w:val="auto"/>
              </w:rPr>
              <w:t>Special Mention</w:t>
            </w:r>
          </w:p>
        </w:tc>
        <w:tc>
          <w:tcPr>
            <w:tcW w:w="160" w:type="dxa"/>
            <w:vAlign w:val="bottom"/>
          </w:tcPr>
          <w:p>
            <w:pPr>
              <w:spacing w:after="0"/>
              <w:rPr>
                <w:sz w:val="12"/>
                <w:szCs w:val="12"/>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48"/>
        </w:trPr>
        <w:tc>
          <w:tcPr>
            <w:tcW w:w="180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Substandard</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49"/>
        </w:trPr>
        <w:tc>
          <w:tcPr>
            <w:tcW w:w="1800" w:type="dxa"/>
            <w:vAlign w:val="bottom"/>
            <w:gridSpan w:val="2"/>
          </w:tcPr>
          <w:p>
            <w:pPr>
              <w:ind w:left="220"/>
              <w:spacing w:after="0"/>
              <w:rPr>
                <w:sz w:val="20"/>
                <w:szCs w:val="20"/>
                <w:color w:val="auto"/>
              </w:rPr>
            </w:pPr>
            <w:r>
              <w:rPr>
                <w:rFonts w:ascii="Arial" w:cs="Arial" w:eastAsia="Arial" w:hAnsi="Arial"/>
                <w:sz w:val="13"/>
                <w:szCs w:val="13"/>
                <w:color w:val="auto"/>
              </w:rPr>
              <w:t>Substandard non-accrual</w:t>
            </w:r>
          </w:p>
        </w:tc>
        <w:tc>
          <w:tcPr>
            <w:tcW w:w="160" w:type="dxa"/>
            <w:vAlign w:val="bottom"/>
          </w:tcPr>
          <w:p>
            <w:pPr>
              <w:spacing w:after="0"/>
              <w:rPr>
                <w:sz w:val="12"/>
                <w:szCs w:val="12"/>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14</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7</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14</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58</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98</w:t>
            </w:r>
          </w:p>
        </w:tc>
      </w:tr>
      <w:tr>
        <w:trPr>
          <w:trHeight w:val="142"/>
        </w:trPr>
        <w:tc>
          <w:tcPr>
            <w:tcW w:w="1800" w:type="dxa"/>
            <w:vAlign w:val="bottom"/>
            <w:tcBorders>
              <w:top w:val="single" w:sz="8" w:color="CCEEFF"/>
            </w:tcBorders>
            <w:gridSpan w:val="2"/>
            <w:shd w:val="clear" w:color="auto" w:fill="CCEEFF"/>
          </w:tcPr>
          <w:p>
            <w:pPr>
              <w:ind w:left="20"/>
              <w:spacing w:after="0" w:line="141" w:lineRule="exact"/>
              <w:rPr>
                <w:sz w:val="20"/>
                <w:szCs w:val="20"/>
                <w:color w:val="auto"/>
              </w:rPr>
            </w:pPr>
            <w:r>
              <w:rPr>
                <w:rFonts w:ascii="Arial" w:cs="Arial" w:eastAsia="Arial" w:hAnsi="Arial"/>
                <w:sz w:val="13"/>
                <w:szCs w:val="13"/>
                <w:color w:val="auto"/>
              </w:rPr>
              <w:t>Total retail other</w:t>
            </w: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2,014</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6,849</w:t>
            </w: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8,069</w:t>
            </w: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4,657</w:t>
            </w: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1,963</w:t>
            </w: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858</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8,621</w:t>
            </w: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33,031</w:t>
            </w:r>
          </w:p>
        </w:tc>
      </w:tr>
      <w:tr>
        <w:trPr>
          <w:trHeight w:val="142"/>
        </w:trPr>
        <w:tc>
          <w:tcPr>
            <w:tcW w:w="1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49"/>
        </w:trPr>
        <w:tc>
          <w:tcPr>
            <w:tcW w:w="1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Total portfolio loans</w:t>
            </w:r>
          </w:p>
        </w:tc>
        <w:tc>
          <w:tcPr>
            <w:tcW w:w="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833,596</w:t>
            </w:r>
          </w:p>
        </w:tc>
        <w:tc>
          <w:tcPr>
            <w:tcW w:w="1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6"/>
              </w:rPr>
              <w:t>1,813,648</w:t>
            </w:r>
          </w:p>
        </w:tc>
        <w:tc>
          <w:tcPr>
            <w:tcW w:w="1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6"/>
              </w:rPr>
              <w:t>1,071,108</w:t>
            </w:r>
          </w:p>
        </w:tc>
        <w:tc>
          <w:tcPr>
            <w:tcW w:w="14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725,875</w:t>
            </w:r>
          </w:p>
        </w:tc>
        <w:tc>
          <w:tcPr>
            <w:tcW w:w="1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588,923</w:t>
            </w:r>
          </w:p>
        </w:tc>
        <w:tc>
          <w:tcPr>
            <w:tcW w:w="1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926,024</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820,126</w:t>
            </w:r>
          </w:p>
        </w:tc>
        <w:tc>
          <w:tcPr>
            <w:tcW w:w="1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6,779,300</w:t>
            </w:r>
          </w:p>
        </w:tc>
      </w:tr>
      <w:tr>
        <w:trPr>
          <w:trHeight w:val="20"/>
        </w:trPr>
        <w:tc>
          <w:tcPr>
            <w:tcW w:w="1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8"/>
          <w:szCs w:val="18"/>
          <w:b w:val="1"/>
          <w:bCs w:val="1"/>
          <w:color w:val="auto"/>
        </w:rPr>
        <w:t>FIRST BUSEY CORPORATION</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w:t>
      </w:r>
    </w:p>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24" w:lineRule="exact"/>
        <w:rPr>
          <w:sz w:val="20"/>
          <w:szCs w:val="20"/>
          <w:color w:val="auto"/>
        </w:rPr>
      </w:pPr>
    </w:p>
    <w:tbl>
      <w:tblPr>
        <w:tblLayout w:type="fixed"/>
        <w:tblInd w:w="40" w:type="dxa"/>
        <w:tblCellMar>
          <w:top w:w="0" w:type="dxa"/>
          <w:left w:w="0" w:type="dxa"/>
          <w:bottom w:w="0" w:type="dxa"/>
          <w:right w:w="0" w:type="dxa"/>
        </w:tblCellMar>
      </w:tblPr>
      <w:tr>
        <w:trPr>
          <w:trHeight w:val="164"/>
        </w:trPr>
        <w:tc>
          <w:tcPr>
            <w:tcW w:w="1800" w:type="dxa"/>
            <w:vAlign w:val="bottom"/>
            <w:gridSpan w:val="2"/>
          </w:tcPr>
          <w:p>
            <w:pPr>
              <w:ind w:left="20"/>
              <w:spacing w:after="0"/>
              <w:rPr>
                <w:sz w:val="20"/>
                <w:szCs w:val="20"/>
                <w:color w:val="auto"/>
              </w:rPr>
            </w:pPr>
            <w:r>
              <w:rPr>
                <w:rFonts w:ascii="Arial" w:cs="Arial" w:eastAsia="Arial" w:hAnsi="Arial"/>
                <w:sz w:val="13"/>
                <w:szCs w:val="13"/>
                <w:b w:val="1"/>
                <w:bCs w:val="1"/>
                <w:color w:val="auto"/>
              </w:rPr>
              <w:t>Risk Grade Ratings</w:t>
            </w: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420" w:type="dxa"/>
            <w:vAlign w:val="bottom"/>
            <w:tcBorders>
              <w:bottom w:val="single" w:sz="8" w:color="auto"/>
            </w:tcBorders>
            <w:gridSpan w:val="11"/>
          </w:tcPr>
          <w:p>
            <w:pPr>
              <w:ind w:left="100"/>
              <w:spacing w:after="0"/>
              <w:rPr>
                <w:sz w:val="20"/>
                <w:szCs w:val="20"/>
                <w:color w:val="auto"/>
              </w:rPr>
            </w:pPr>
            <w:r>
              <w:rPr>
                <w:rFonts w:ascii="Arial" w:cs="Arial" w:eastAsia="Arial" w:hAnsi="Arial"/>
                <w:sz w:val="13"/>
                <w:szCs w:val="13"/>
                <w:b w:val="1"/>
                <w:bCs w:val="1"/>
                <w:color w:val="auto"/>
                <w:w w:val="98"/>
              </w:rPr>
              <w:t>Term Loans Amortized Cost Basis by Origination Year</w:t>
            </w: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6"/>
              </w:rPr>
              <w:t>Revolving</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44"/>
        </w:trPr>
        <w:tc>
          <w:tcPr>
            <w:tcW w:w="1800" w:type="dxa"/>
            <w:vAlign w:val="bottom"/>
            <w:gridSpan w:val="2"/>
          </w:tcPr>
          <w:p>
            <w:pPr>
              <w:ind w:left="20"/>
              <w:spacing w:after="0" w:line="144" w:lineRule="exact"/>
              <w:rPr>
                <w:sz w:val="20"/>
                <w:szCs w:val="20"/>
                <w:color w:val="auto"/>
              </w:rPr>
            </w:pPr>
            <w:r>
              <w:rPr>
                <w:rFonts w:ascii="Arial" w:cs="Arial" w:eastAsia="Arial" w:hAnsi="Arial"/>
                <w:sz w:val="13"/>
                <w:szCs w:val="13"/>
                <w:b w:val="1"/>
                <w:bCs w:val="1"/>
                <w:color w:val="auto"/>
              </w:rPr>
              <w:t>As of December 31, 2020</w:t>
            </w:r>
          </w:p>
        </w:tc>
        <w:tc>
          <w:tcPr>
            <w:tcW w:w="140" w:type="dxa"/>
            <w:vAlign w:val="bottom"/>
          </w:tcPr>
          <w:p>
            <w:pPr>
              <w:spacing w:after="0"/>
              <w:rPr>
                <w:sz w:val="12"/>
                <w:szCs w:val="12"/>
                <w:color w:val="auto"/>
              </w:rPr>
            </w:pPr>
          </w:p>
        </w:tc>
        <w:tc>
          <w:tcPr>
            <w:tcW w:w="620" w:type="dxa"/>
            <w:vAlign w:val="bottom"/>
          </w:tcPr>
          <w:p>
            <w:pPr>
              <w:jc w:val="right"/>
              <w:ind w:right="197"/>
              <w:spacing w:after="0" w:line="144" w:lineRule="exact"/>
              <w:rPr>
                <w:sz w:val="20"/>
                <w:szCs w:val="20"/>
                <w:color w:val="auto"/>
              </w:rPr>
            </w:pPr>
            <w:r>
              <w:rPr>
                <w:rFonts w:ascii="Arial" w:cs="Arial" w:eastAsia="Arial" w:hAnsi="Arial"/>
                <w:sz w:val="13"/>
                <w:szCs w:val="13"/>
                <w:b w:val="1"/>
                <w:bCs w:val="1"/>
                <w:color w:val="auto"/>
              </w:rPr>
              <w:t>2020</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ind w:left="100"/>
              <w:spacing w:after="0" w:line="144" w:lineRule="exact"/>
              <w:rPr>
                <w:sz w:val="20"/>
                <w:szCs w:val="20"/>
                <w:color w:val="auto"/>
              </w:rPr>
            </w:pPr>
            <w:r>
              <w:rPr>
                <w:rFonts w:ascii="Arial" w:cs="Arial" w:eastAsia="Arial" w:hAnsi="Arial"/>
                <w:sz w:val="13"/>
                <w:szCs w:val="13"/>
                <w:b w:val="1"/>
                <w:bCs w:val="1"/>
                <w:color w:val="auto"/>
              </w:rPr>
              <w:t>2019</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ind w:right="177"/>
              <w:spacing w:after="0" w:line="144" w:lineRule="exact"/>
              <w:rPr>
                <w:sz w:val="20"/>
                <w:szCs w:val="20"/>
                <w:color w:val="auto"/>
              </w:rPr>
            </w:pPr>
            <w:r>
              <w:rPr>
                <w:rFonts w:ascii="Arial" w:cs="Arial" w:eastAsia="Arial" w:hAnsi="Arial"/>
                <w:sz w:val="13"/>
                <w:szCs w:val="13"/>
                <w:b w:val="1"/>
                <w:bCs w:val="1"/>
                <w:color w:val="auto"/>
              </w:rPr>
              <w:t>2018</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ind w:right="197"/>
              <w:spacing w:after="0" w:line="144" w:lineRule="exact"/>
              <w:rPr>
                <w:sz w:val="20"/>
                <w:szCs w:val="20"/>
                <w:color w:val="auto"/>
              </w:rPr>
            </w:pPr>
            <w:r>
              <w:rPr>
                <w:rFonts w:ascii="Arial" w:cs="Arial" w:eastAsia="Arial" w:hAnsi="Arial"/>
                <w:sz w:val="13"/>
                <w:szCs w:val="13"/>
                <w:b w:val="1"/>
                <w:bCs w:val="1"/>
                <w:color w:val="auto"/>
              </w:rPr>
              <w:t>2017</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ind w:right="197"/>
              <w:spacing w:after="0" w:line="144" w:lineRule="exact"/>
              <w:rPr>
                <w:sz w:val="20"/>
                <w:szCs w:val="20"/>
                <w:color w:val="auto"/>
              </w:rPr>
            </w:pPr>
            <w:r>
              <w:rPr>
                <w:rFonts w:ascii="Arial" w:cs="Arial" w:eastAsia="Arial" w:hAnsi="Arial"/>
                <w:sz w:val="13"/>
                <w:szCs w:val="13"/>
                <w:b w:val="1"/>
                <w:bCs w:val="1"/>
                <w:color w:val="auto"/>
              </w:rPr>
              <w:t>2016</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ind w:right="117"/>
              <w:spacing w:after="0" w:line="144" w:lineRule="exact"/>
              <w:rPr>
                <w:sz w:val="20"/>
                <w:szCs w:val="20"/>
                <w:color w:val="auto"/>
              </w:rPr>
            </w:pPr>
            <w:r>
              <w:rPr>
                <w:rFonts w:ascii="Arial" w:cs="Arial" w:eastAsia="Arial" w:hAnsi="Arial"/>
                <w:sz w:val="13"/>
                <w:szCs w:val="13"/>
                <w:b w:val="1"/>
                <w:bCs w:val="1"/>
                <w:color w:val="auto"/>
              </w:rPr>
              <w:t>Prior</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100"/>
              <w:spacing w:after="0" w:line="144" w:lineRule="exact"/>
              <w:rPr>
                <w:sz w:val="20"/>
                <w:szCs w:val="20"/>
                <w:color w:val="auto"/>
              </w:rPr>
            </w:pPr>
            <w:r>
              <w:rPr>
                <w:rFonts w:ascii="Arial" w:cs="Arial" w:eastAsia="Arial" w:hAnsi="Arial"/>
                <w:sz w:val="13"/>
                <w:szCs w:val="13"/>
                <w:b w:val="1"/>
                <w:bCs w:val="1"/>
                <w:color w:val="auto"/>
                <w:w w:val="82"/>
              </w:rPr>
              <w:t>loans</w:t>
            </w:r>
          </w:p>
        </w:tc>
        <w:tc>
          <w:tcPr>
            <w:tcW w:w="180" w:type="dxa"/>
            <w:vAlign w:val="bottom"/>
          </w:tcPr>
          <w:p>
            <w:pPr>
              <w:spacing w:after="0"/>
              <w:rPr>
                <w:sz w:val="12"/>
                <w:szCs w:val="12"/>
                <w:color w:val="auto"/>
              </w:rPr>
            </w:pPr>
          </w:p>
        </w:tc>
        <w:tc>
          <w:tcPr>
            <w:tcW w:w="660" w:type="dxa"/>
            <w:vAlign w:val="bottom"/>
          </w:tcPr>
          <w:p>
            <w:pPr>
              <w:jc w:val="right"/>
              <w:ind w:right="157"/>
              <w:spacing w:after="0" w:line="144" w:lineRule="exact"/>
              <w:rPr>
                <w:sz w:val="20"/>
                <w:szCs w:val="20"/>
                <w:color w:val="auto"/>
              </w:rPr>
            </w:pPr>
            <w:r>
              <w:rPr>
                <w:rFonts w:ascii="Arial" w:cs="Arial" w:eastAsia="Arial" w:hAnsi="Arial"/>
                <w:sz w:val="13"/>
                <w:szCs w:val="13"/>
                <w:b w:val="1"/>
                <w:bCs w:val="1"/>
                <w:color w:val="auto"/>
              </w:rPr>
              <w:t>Total</w:t>
            </w:r>
          </w:p>
        </w:tc>
      </w:tr>
      <w:tr>
        <w:trPr>
          <w:trHeight w:val="142"/>
        </w:trPr>
        <w:tc>
          <w:tcPr>
            <w:tcW w:w="1660" w:type="dxa"/>
            <w:vAlign w:val="bottom"/>
            <w:tcBorders>
              <w:top w:val="single" w:sz="8" w:color="auto"/>
            </w:tcBorders>
            <w:shd w:val="clear" w:color="auto" w:fill="CCEEFF"/>
          </w:tcPr>
          <w:p>
            <w:pPr>
              <w:ind w:left="20"/>
              <w:spacing w:after="0" w:line="142" w:lineRule="exact"/>
              <w:rPr>
                <w:sz w:val="20"/>
                <w:szCs w:val="20"/>
                <w:color w:val="auto"/>
              </w:rPr>
            </w:pPr>
            <w:r>
              <w:rPr>
                <w:rFonts w:ascii="Arial" w:cs="Arial" w:eastAsia="Arial" w:hAnsi="Arial"/>
                <w:sz w:val="13"/>
                <w:szCs w:val="13"/>
                <w:b w:val="1"/>
                <w:bCs w:val="1"/>
                <w:color w:val="auto"/>
              </w:rPr>
              <w:t>Commercial:</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r>
      <w:tr>
        <w:trPr>
          <w:trHeight w:val="149"/>
        </w:trPr>
        <w:tc>
          <w:tcPr>
            <w:tcW w:w="1800" w:type="dxa"/>
            <w:vAlign w:val="bottom"/>
            <w:gridSpan w:val="2"/>
          </w:tcPr>
          <w:p>
            <w:pPr>
              <w:ind w:left="220"/>
              <w:spacing w:after="0"/>
              <w:rPr>
                <w:sz w:val="20"/>
                <w:szCs w:val="20"/>
                <w:color w:val="auto"/>
              </w:rPr>
            </w:pPr>
            <w:r>
              <w:rPr>
                <w:rFonts w:ascii="Arial" w:cs="Arial" w:eastAsia="Arial" w:hAnsi="Arial"/>
                <w:sz w:val="13"/>
                <w:szCs w:val="13"/>
                <w:color w:val="auto"/>
              </w:rPr>
              <w:t>Pass</w:t>
            </w:r>
          </w:p>
        </w:tc>
        <w:tc>
          <w:tcPr>
            <w:tcW w:w="140" w:type="dxa"/>
            <w:vAlign w:val="bottom"/>
          </w:tcPr>
          <w:p>
            <w:pPr>
              <w:jc w:val="right"/>
              <w:ind w:right="28"/>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812,536</w:t>
            </w:r>
          </w:p>
        </w:tc>
        <w:tc>
          <w:tcPr>
            <w:tcW w:w="140" w:type="dxa"/>
            <w:vAlign w:val="bottom"/>
          </w:tcPr>
          <w:p>
            <w:pPr>
              <w:spacing w:after="0"/>
              <w:rPr>
                <w:sz w:val="12"/>
                <w:szCs w:val="12"/>
                <w:color w:val="auto"/>
              </w:rPr>
            </w:pPr>
          </w:p>
        </w:tc>
        <w:tc>
          <w:tcPr>
            <w:tcW w:w="140" w:type="dxa"/>
            <w:vAlign w:val="bottom"/>
          </w:tcPr>
          <w:p>
            <w:pPr>
              <w:jc w:val="right"/>
              <w:ind w:right="28"/>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158,307</w:t>
            </w:r>
          </w:p>
        </w:tc>
        <w:tc>
          <w:tcPr>
            <w:tcW w:w="120" w:type="dxa"/>
            <w:vAlign w:val="bottom"/>
          </w:tcPr>
          <w:p>
            <w:pPr>
              <w:spacing w:after="0"/>
              <w:rPr>
                <w:sz w:val="12"/>
                <w:szCs w:val="12"/>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107,565</w:t>
            </w:r>
          </w:p>
        </w:tc>
        <w:tc>
          <w:tcPr>
            <w:tcW w:w="140" w:type="dxa"/>
            <w:vAlign w:val="bottom"/>
          </w:tcPr>
          <w:p>
            <w:pPr>
              <w:spacing w:after="0"/>
              <w:rPr>
                <w:sz w:val="12"/>
                <w:szCs w:val="12"/>
                <w:color w:val="auto"/>
              </w:rPr>
            </w:pPr>
          </w:p>
        </w:tc>
        <w:tc>
          <w:tcPr>
            <w:tcW w:w="160" w:type="dxa"/>
            <w:vAlign w:val="bottom"/>
          </w:tcPr>
          <w:p>
            <w:pPr>
              <w:jc w:val="right"/>
              <w:ind w:right="48"/>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93,190</w:t>
            </w:r>
          </w:p>
        </w:tc>
        <w:tc>
          <w:tcPr>
            <w:tcW w:w="120" w:type="dxa"/>
            <w:vAlign w:val="bottom"/>
          </w:tcPr>
          <w:p>
            <w:pPr>
              <w:spacing w:after="0"/>
              <w:rPr>
                <w:sz w:val="12"/>
                <w:szCs w:val="12"/>
                <w:color w:val="auto"/>
              </w:rPr>
            </w:pP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61,847</w:t>
            </w:r>
          </w:p>
        </w:tc>
        <w:tc>
          <w:tcPr>
            <w:tcW w:w="120" w:type="dxa"/>
            <w:vAlign w:val="bottom"/>
          </w:tcPr>
          <w:p>
            <w:pPr>
              <w:spacing w:after="0"/>
              <w:rPr>
                <w:sz w:val="12"/>
                <w:szCs w:val="12"/>
                <w:color w:val="auto"/>
              </w:rPr>
            </w:pPr>
          </w:p>
        </w:tc>
        <w:tc>
          <w:tcPr>
            <w:tcW w:w="180" w:type="dxa"/>
            <w:vAlign w:val="bottom"/>
          </w:tcPr>
          <w:p>
            <w:pPr>
              <w:jc w:val="right"/>
              <w:ind w:right="68"/>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79,970</w:t>
            </w:r>
          </w:p>
        </w:tc>
        <w:tc>
          <w:tcPr>
            <w:tcW w:w="120" w:type="dxa"/>
            <w:vAlign w:val="bottom"/>
          </w:tcPr>
          <w:p>
            <w:pPr>
              <w:spacing w:after="0"/>
              <w:rPr>
                <w:sz w:val="12"/>
                <w:szCs w:val="12"/>
                <w:color w:val="auto"/>
              </w:rPr>
            </w:pPr>
          </w:p>
        </w:tc>
        <w:tc>
          <w:tcPr>
            <w:tcW w:w="120" w:type="dxa"/>
            <w:vAlign w:val="bottom"/>
          </w:tcPr>
          <w:p>
            <w:pPr>
              <w:jc w:val="right"/>
              <w:ind w:right="8"/>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455,340</w:t>
            </w:r>
          </w:p>
        </w:tc>
        <w:tc>
          <w:tcPr>
            <w:tcW w:w="120" w:type="dxa"/>
            <w:vAlign w:val="bottom"/>
          </w:tcPr>
          <w:p>
            <w:pPr>
              <w:spacing w:after="0"/>
              <w:rPr>
                <w:sz w:val="12"/>
                <w:szCs w:val="12"/>
                <w:color w:val="auto"/>
              </w:rPr>
            </w:pP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1,768,755</w:t>
            </w:r>
          </w:p>
        </w:tc>
      </w:tr>
      <w:tr>
        <w:trPr>
          <w:trHeight w:val="148"/>
        </w:trPr>
        <w:tc>
          <w:tcPr>
            <w:tcW w:w="180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Watch</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16,544</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22,247</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14,954</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13,724</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2,577</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10,943</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55,959</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136,948</w:t>
            </w:r>
          </w:p>
        </w:tc>
      </w:tr>
      <w:tr>
        <w:trPr>
          <w:trHeight w:val="148"/>
        </w:trPr>
        <w:tc>
          <w:tcPr>
            <w:tcW w:w="1800" w:type="dxa"/>
            <w:vAlign w:val="bottom"/>
            <w:gridSpan w:val="2"/>
          </w:tcPr>
          <w:p>
            <w:pPr>
              <w:ind w:left="220"/>
              <w:spacing w:after="0"/>
              <w:rPr>
                <w:sz w:val="20"/>
                <w:szCs w:val="20"/>
                <w:color w:val="auto"/>
              </w:rPr>
            </w:pPr>
            <w:r>
              <w:rPr>
                <w:rFonts w:ascii="Arial" w:cs="Arial" w:eastAsia="Arial" w:hAnsi="Arial"/>
                <w:sz w:val="13"/>
                <w:szCs w:val="13"/>
                <w:color w:val="auto"/>
              </w:rPr>
              <w:t>Special Mention</w:t>
            </w: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6,402</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2,671</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2,069</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7,164</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6,763</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13,733</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33,645</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72,447</w:t>
            </w:r>
          </w:p>
        </w:tc>
      </w:tr>
      <w:tr>
        <w:trPr>
          <w:trHeight w:val="148"/>
        </w:trPr>
        <w:tc>
          <w:tcPr>
            <w:tcW w:w="180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Substandard</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7,772</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3,791</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2,371</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1,939</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819</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1,233</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9,978</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27,903</w:t>
            </w:r>
          </w:p>
        </w:tc>
      </w:tr>
      <w:tr>
        <w:trPr>
          <w:trHeight w:val="148"/>
        </w:trPr>
        <w:tc>
          <w:tcPr>
            <w:tcW w:w="1800" w:type="dxa"/>
            <w:vAlign w:val="bottom"/>
            <w:tcBorders>
              <w:bottom w:val="single" w:sz="8" w:color="CCEEFF"/>
            </w:tcBorders>
            <w:gridSpan w:val="2"/>
          </w:tcPr>
          <w:p>
            <w:pPr>
              <w:ind w:left="220"/>
              <w:spacing w:after="0"/>
              <w:rPr>
                <w:sz w:val="20"/>
                <w:szCs w:val="20"/>
                <w:color w:val="auto"/>
              </w:rPr>
            </w:pPr>
            <w:r>
              <w:rPr>
                <w:rFonts w:ascii="Arial" w:cs="Arial" w:eastAsia="Arial" w:hAnsi="Arial"/>
                <w:sz w:val="13"/>
                <w:szCs w:val="13"/>
                <w:color w:val="auto"/>
              </w:rPr>
              <w:t>Substandard non-accrual</w:t>
            </w: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150</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3,045</w:t>
            </w:r>
          </w:p>
        </w:tc>
        <w:tc>
          <w:tcPr>
            <w:tcW w:w="1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451</w:t>
            </w: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2,168</w:t>
            </w:r>
          </w:p>
        </w:tc>
        <w:tc>
          <w:tcPr>
            <w:tcW w:w="1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641</w:t>
            </w:r>
          </w:p>
        </w:tc>
        <w:tc>
          <w:tcPr>
            <w:tcW w:w="1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68</w:t>
            </w: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2,000</w:t>
            </w:r>
          </w:p>
        </w:tc>
        <w:tc>
          <w:tcPr>
            <w:tcW w:w="1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8,523</w:t>
            </w:r>
          </w:p>
        </w:tc>
      </w:tr>
      <w:tr>
        <w:trPr>
          <w:trHeight w:val="142"/>
        </w:trPr>
        <w:tc>
          <w:tcPr>
            <w:tcW w:w="1800" w:type="dxa"/>
            <w:vAlign w:val="bottom"/>
            <w:gridSpan w:val="2"/>
            <w:shd w:val="clear" w:color="auto" w:fill="CCEEFF"/>
          </w:tcPr>
          <w:p>
            <w:pPr>
              <w:ind w:left="20"/>
              <w:spacing w:after="0" w:line="141" w:lineRule="exact"/>
              <w:rPr>
                <w:sz w:val="20"/>
                <w:szCs w:val="20"/>
                <w:color w:val="auto"/>
              </w:rPr>
            </w:pPr>
            <w:r>
              <w:rPr>
                <w:rFonts w:ascii="Arial" w:cs="Arial" w:eastAsia="Arial" w:hAnsi="Arial"/>
                <w:sz w:val="13"/>
                <w:szCs w:val="13"/>
                <w:color w:val="auto"/>
              </w:rPr>
              <w:t>Total commercial</w:t>
            </w:r>
          </w:p>
        </w:tc>
        <w:tc>
          <w:tcPr>
            <w:tcW w:w="14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843,404</w:t>
            </w:r>
          </w:p>
        </w:tc>
        <w:tc>
          <w:tcPr>
            <w:tcW w:w="1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190,061</w:t>
            </w:r>
          </w:p>
        </w:tc>
        <w:tc>
          <w:tcPr>
            <w:tcW w:w="1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127,410</w:t>
            </w:r>
          </w:p>
        </w:tc>
        <w:tc>
          <w:tcPr>
            <w:tcW w:w="14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118,185</w:t>
            </w:r>
          </w:p>
        </w:tc>
        <w:tc>
          <w:tcPr>
            <w:tcW w:w="12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72,647</w:t>
            </w:r>
          </w:p>
        </w:tc>
        <w:tc>
          <w:tcPr>
            <w:tcW w:w="12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105,947</w:t>
            </w:r>
          </w:p>
        </w:tc>
        <w:tc>
          <w:tcPr>
            <w:tcW w:w="1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556,922</w:t>
            </w:r>
          </w:p>
        </w:tc>
        <w:tc>
          <w:tcPr>
            <w:tcW w:w="12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2,014,576</w:t>
            </w:r>
          </w:p>
        </w:tc>
      </w:tr>
      <w:tr>
        <w:trPr>
          <w:trHeight w:val="142"/>
        </w:trPr>
        <w:tc>
          <w:tcPr>
            <w:tcW w:w="1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48"/>
        </w:trPr>
        <w:tc>
          <w:tcPr>
            <w:tcW w:w="180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Commercial real estate:</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r>
      <w:tr>
        <w:trPr>
          <w:trHeight w:val="149"/>
        </w:trPr>
        <w:tc>
          <w:tcPr>
            <w:tcW w:w="1800" w:type="dxa"/>
            <w:vAlign w:val="bottom"/>
            <w:gridSpan w:val="2"/>
          </w:tcPr>
          <w:p>
            <w:pPr>
              <w:ind w:left="220"/>
              <w:spacing w:after="0"/>
              <w:rPr>
                <w:sz w:val="20"/>
                <w:szCs w:val="20"/>
                <w:color w:val="auto"/>
              </w:rPr>
            </w:pPr>
            <w:r>
              <w:rPr>
                <w:rFonts w:ascii="Arial" w:cs="Arial" w:eastAsia="Arial" w:hAnsi="Arial"/>
                <w:sz w:val="13"/>
                <w:szCs w:val="13"/>
                <w:color w:val="auto"/>
              </w:rPr>
              <w:t>Pass</w:t>
            </w: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717,559</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503,977</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360,573</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384,843</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180,555</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227,068</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18,797</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2,393,372</w:t>
            </w:r>
          </w:p>
        </w:tc>
      </w:tr>
      <w:tr>
        <w:trPr>
          <w:trHeight w:val="148"/>
        </w:trPr>
        <w:tc>
          <w:tcPr>
            <w:tcW w:w="180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Watch</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88,297</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110,526</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90,412</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33,734</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32,887</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27,023</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398</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383,277</w:t>
            </w:r>
          </w:p>
        </w:tc>
      </w:tr>
      <w:tr>
        <w:trPr>
          <w:trHeight w:val="148"/>
        </w:trPr>
        <w:tc>
          <w:tcPr>
            <w:tcW w:w="1800" w:type="dxa"/>
            <w:vAlign w:val="bottom"/>
            <w:gridSpan w:val="2"/>
          </w:tcPr>
          <w:p>
            <w:pPr>
              <w:ind w:left="220"/>
              <w:spacing w:after="0"/>
              <w:rPr>
                <w:sz w:val="20"/>
                <w:szCs w:val="20"/>
                <w:color w:val="auto"/>
              </w:rPr>
            </w:pPr>
            <w:r>
              <w:rPr>
                <w:rFonts w:ascii="Arial" w:cs="Arial" w:eastAsia="Arial" w:hAnsi="Arial"/>
                <w:sz w:val="13"/>
                <w:szCs w:val="13"/>
                <w:color w:val="auto"/>
              </w:rPr>
              <w:t>Special Mention</w:t>
            </w: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16,490</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8,858</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10,490</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10,505</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7,102</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21,808</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233</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75,486</w:t>
            </w:r>
          </w:p>
        </w:tc>
      </w:tr>
      <w:tr>
        <w:trPr>
          <w:trHeight w:val="148"/>
        </w:trPr>
        <w:tc>
          <w:tcPr>
            <w:tcW w:w="180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Substandard</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17,445</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4,166</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1,491</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7,812</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2,111</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1,377</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495</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34,897</w:t>
            </w:r>
          </w:p>
        </w:tc>
      </w:tr>
      <w:tr>
        <w:trPr>
          <w:trHeight w:val="148"/>
        </w:trPr>
        <w:tc>
          <w:tcPr>
            <w:tcW w:w="1800" w:type="dxa"/>
            <w:vAlign w:val="bottom"/>
            <w:gridSpan w:val="2"/>
          </w:tcPr>
          <w:p>
            <w:pPr>
              <w:ind w:left="220"/>
              <w:spacing w:after="0"/>
              <w:rPr>
                <w:sz w:val="20"/>
                <w:szCs w:val="20"/>
                <w:color w:val="auto"/>
              </w:rPr>
            </w:pPr>
            <w:r>
              <w:rPr>
                <w:rFonts w:ascii="Arial" w:cs="Arial" w:eastAsia="Arial" w:hAnsi="Arial"/>
                <w:sz w:val="13"/>
                <w:szCs w:val="13"/>
                <w:color w:val="auto"/>
              </w:rPr>
              <w:t>Substandard non-accrual</w:t>
            </w: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1,091</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776</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821</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882</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286</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1,647</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5,503</w:t>
            </w:r>
          </w:p>
        </w:tc>
      </w:tr>
      <w:tr>
        <w:trPr>
          <w:trHeight w:val="142"/>
        </w:trPr>
        <w:tc>
          <w:tcPr>
            <w:tcW w:w="1800" w:type="dxa"/>
            <w:vAlign w:val="bottom"/>
            <w:tcBorders>
              <w:top w:val="single" w:sz="8" w:color="CCEEFF"/>
            </w:tcBorders>
            <w:gridSpan w:val="2"/>
            <w:shd w:val="clear" w:color="auto" w:fill="CCEEFF"/>
          </w:tcPr>
          <w:p>
            <w:pPr>
              <w:ind w:left="20"/>
              <w:spacing w:after="0" w:line="141" w:lineRule="exact"/>
              <w:rPr>
                <w:sz w:val="20"/>
                <w:szCs w:val="20"/>
                <w:color w:val="auto"/>
              </w:rPr>
            </w:pPr>
            <w:r>
              <w:rPr>
                <w:rFonts w:ascii="Arial" w:cs="Arial" w:eastAsia="Arial" w:hAnsi="Arial"/>
                <w:sz w:val="13"/>
                <w:szCs w:val="13"/>
                <w:color w:val="auto"/>
              </w:rPr>
              <w:t>Total commercial real estate</w:t>
            </w: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840,882</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628,303</w:t>
            </w: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463,787</w:t>
            </w: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437,776</w:t>
            </w: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222,941</w:t>
            </w: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278,923</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19,923</w:t>
            </w: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2,892,535</w:t>
            </w:r>
          </w:p>
        </w:tc>
      </w:tr>
      <w:tr>
        <w:trPr>
          <w:trHeight w:val="142"/>
        </w:trPr>
        <w:tc>
          <w:tcPr>
            <w:tcW w:w="1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48"/>
        </w:trPr>
        <w:tc>
          <w:tcPr>
            <w:tcW w:w="180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Real estate construction:</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r>
      <w:tr>
        <w:trPr>
          <w:trHeight w:val="148"/>
        </w:trPr>
        <w:tc>
          <w:tcPr>
            <w:tcW w:w="1800" w:type="dxa"/>
            <w:vAlign w:val="bottom"/>
            <w:gridSpan w:val="2"/>
          </w:tcPr>
          <w:p>
            <w:pPr>
              <w:ind w:left="220"/>
              <w:spacing w:after="0"/>
              <w:rPr>
                <w:sz w:val="20"/>
                <w:szCs w:val="20"/>
                <w:color w:val="auto"/>
              </w:rPr>
            </w:pPr>
            <w:r>
              <w:rPr>
                <w:rFonts w:ascii="Arial" w:cs="Arial" w:eastAsia="Arial" w:hAnsi="Arial"/>
                <w:sz w:val="13"/>
                <w:szCs w:val="13"/>
                <w:color w:val="auto"/>
              </w:rPr>
              <w:t>Pass</w:t>
            </w: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179,232</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171,663</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64,025</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1,468</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761</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1,444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16,088</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434,681</w:t>
            </w:r>
          </w:p>
        </w:tc>
      </w:tr>
      <w:tr>
        <w:trPr>
          <w:trHeight w:val="149"/>
        </w:trPr>
        <w:tc>
          <w:tcPr>
            <w:tcW w:w="180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Watch</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18,485</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3,657</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337</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1,838</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164</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24,481</w:t>
            </w:r>
          </w:p>
        </w:tc>
      </w:tr>
      <w:tr>
        <w:trPr>
          <w:trHeight w:val="148"/>
        </w:trPr>
        <w:tc>
          <w:tcPr>
            <w:tcW w:w="1800" w:type="dxa"/>
            <w:vAlign w:val="bottom"/>
            <w:gridSpan w:val="2"/>
          </w:tcPr>
          <w:p>
            <w:pPr>
              <w:ind w:left="220"/>
              <w:spacing w:after="0"/>
              <w:rPr>
                <w:sz w:val="20"/>
                <w:szCs w:val="20"/>
                <w:color w:val="auto"/>
              </w:rPr>
            </w:pPr>
            <w:r>
              <w:rPr>
                <w:rFonts w:ascii="Arial" w:cs="Arial" w:eastAsia="Arial" w:hAnsi="Arial"/>
                <w:sz w:val="13"/>
                <w:szCs w:val="13"/>
                <w:color w:val="auto"/>
              </w:rPr>
              <w:t>Special Mention</w:t>
            </w: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67</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10</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77</w:t>
            </w:r>
          </w:p>
        </w:tc>
      </w:tr>
      <w:tr>
        <w:trPr>
          <w:trHeight w:val="148"/>
        </w:trPr>
        <w:tc>
          <w:tcPr>
            <w:tcW w:w="180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Substandard</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2,400</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2,546</w:t>
            </w:r>
          </w:p>
        </w:tc>
      </w:tr>
      <w:tr>
        <w:trPr>
          <w:trHeight w:val="148"/>
        </w:trPr>
        <w:tc>
          <w:tcPr>
            <w:tcW w:w="1800" w:type="dxa"/>
            <w:vAlign w:val="bottom"/>
            <w:gridSpan w:val="2"/>
          </w:tcPr>
          <w:p>
            <w:pPr>
              <w:ind w:left="220"/>
              <w:spacing w:after="0"/>
              <w:rPr>
                <w:sz w:val="20"/>
                <w:szCs w:val="20"/>
                <w:color w:val="auto"/>
              </w:rPr>
            </w:pPr>
            <w:r>
              <w:rPr>
                <w:rFonts w:ascii="Arial" w:cs="Arial" w:eastAsia="Arial" w:hAnsi="Arial"/>
                <w:sz w:val="13"/>
                <w:szCs w:val="13"/>
                <w:color w:val="auto"/>
              </w:rPr>
              <w:t>Substandard non-accrual</w:t>
            </w:r>
          </w:p>
        </w:tc>
        <w:tc>
          <w:tcPr>
            <w:tcW w:w="140" w:type="dxa"/>
            <w:vAlign w:val="bottom"/>
          </w:tcPr>
          <w:p>
            <w:pPr>
              <w:spacing w:after="0"/>
              <w:rPr>
                <w:sz w:val="12"/>
                <w:szCs w:val="12"/>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w:t>
            </w:r>
          </w:p>
        </w:tc>
      </w:tr>
      <w:tr>
        <w:trPr>
          <w:trHeight w:val="142"/>
        </w:trPr>
        <w:tc>
          <w:tcPr>
            <w:tcW w:w="1800" w:type="dxa"/>
            <w:vAlign w:val="bottom"/>
            <w:tcBorders>
              <w:top w:val="single" w:sz="8" w:color="CCEEFF"/>
            </w:tcBorders>
            <w:gridSpan w:val="2"/>
            <w:shd w:val="clear" w:color="auto" w:fill="CCEEFF"/>
          </w:tcPr>
          <w:p>
            <w:pPr>
              <w:ind w:left="20"/>
              <w:spacing w:after="0" w:line="141" w:lineRule="exact"/>
              <w:rPr>
                <w:sz w:val="20"/>
                <w:szCs w:val="20"/>
                <w:color w:val="auto"/>
              </w:rPr>
            </w:pPr>
            <w:r>
              <w:rPr>
                <w:rFonts w:ascii="Arial" w:cs="Arial" w:eastAsia="Arial" w:hAnsi="Arial"/>
                <w:sz w:val="13"/>
                <w:szCs w:val="13"/>
                <w:color w:val="auto"/>
              </w:rPr>
              <w:t>Total real estate construction</w:t>
            </w: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200,184</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175,330</w:t>
            </w: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64,362</w:t>
            </w: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3,306</w:t>
            </w: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1,071</w:t>
            </w: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1,445</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16,088</w:t>
            </w: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461,786</w:t>
            </w:r>
          </w:p>
        </w:tc>
      </w:tr>
      <w:tr>
        <w:trPr>
          <w:trHeight w:val="142"/>
        </w:trPr>
        <w:tc>
          <w:tcPr>
            <w:tcW w:w="1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48"/>
        </w:trPr>
        <w:tc>
          <w:tcPr>
            <w:tcW w:w="180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Retail real estate:</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r>
      <w:tr>
        <w:trPr>
          <w:trHeight w:val="148"/>
        </w:trPr>
        <w:tc>
          <w:tcPr>
            <w:tcW w:w="1800" w:type="dxa"/>
            <w:vAlign w:val="bottom"/>
            <w:gridSpan w:val="2"/>
          </w:tcPr>
          <w:p>
            <w:pPr>
              <w:ind w:left="220"/>
              <w:spacing w:after="0"/>
              <w:rPr>
                <w:sz w:val="20"/>
                <w:szCs w:val="20"/>
                <w:color w:val="auto"/>
              </w:rPr>
            </w:pPr>
            <w:r>
              <w:rPr>
                <w:rFonts w:ascii="Arial" w:cs="Arial" w:eastAsia="Arial" w:hAnsi="Arial"/>
                <w:sz w:val="13"/>
                <w:szCs w:val="13"/>
                <w:color w:val="auto"/>
              </w:rPr>
              <w:t>Pass</w:t>
            </w: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319,302</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162,711</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135,065</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136,427</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140,600</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257,147</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231,364</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1,382,616</w:t>
            </w:r>
          </w:p>
        </w:tc>
      </w:tr>
      <w:tr>
        <w:trPr>
          <w:trHeight w:val="149"/>
        </w:trPr>
        <w:tc>
          <w:tcPr>
            <w:tcW w:w="180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Watch</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2,715</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2,053</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1,396</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349</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579</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233</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2,939</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10,264</w:t>
            </w:r>
          </w:p>
        </w:tc>
      </w:tr>
      <w:tr>
        <w:trPr>
          <w:trHeight w:val="148"/>
        </w:trPr>
        <w:tc>
          <w:tcPr>
            <w:tcW w:w="1800" w:type="dxa"/>
            <w:vAlign w:val="bottom"/>
            <w:gridSpan w:val="2"/>
          </w:tcPr>
          <w:p>
            <w:pPr>
              <w:ind w:left="220"/>
              <w:spacing w:after="0"/>
              <w:rPr>
                <w:sz w:val="20"/>
                <w:szCs w:val="20"/>
                <w:color w:val="auto"/>
              </w:rPr>
            </w:pPr>
            <w:r>
              <w:rPr>
                <w:rFonts w:ascii="Arial" w:cs="Arial" w:eastAsia="Arial" w:hAnsi="Arial"/>
                <w:sz w:val="13"/>
                <w:szCs w:val="13"/>
                <w:color w:val="auto"/>
              </w:rPr>
              <w:t>Special Mention</w:t>
            </w: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509</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1,962</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2,471</w:t>
            </w:r>
          </w:p>
        </w:tc>
      </w:tr>
      <w:tr>
        <w:trPr>
          <w:trHeight w:val="148"/>
        </w:trPr>
        <w:tc>
          <w:tcPr>
            <w:tcW w:w="180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Substandard</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899</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727</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1,631</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267</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3,702</w:t>
            </w:r>
          </w:p>
        </w:tc>
      </w:tr>
      <w:tr>
        <w:trPr>
          <w:trHeight w:val="148"/>
        </w:trPr>
        <w:tc>
          <w:tcPr>
            <w:tcW w:w="1800" w:type="dxa"/>
            <w:vAlign w:val="bottom"/>
            <w:tcBorders>
              <w:bottom w:val="single" w:sz="8" w:color="CCEEFF"/>
            </w:tcBorders>
            <w:gridSpan w:val="2"/>
          </w:tcPr>
          <w:p>
            <w:pPr>
              <w:ind w:left="220"/>
              <w:spacing w:after="0"/>
              <w:rPr>
                <w:sz w:val="20"/>
                <w:szCs w:val="20"/>
                <w:color w:val="auto"/>
              </w:rPr>
            </w:pPr>
            <w:r>
              <w:rPr>
                <w:rFonts w:ascii="Arial" w:cs="Arial" w:eastAsia="Arial" w:hAnsi="Arial"/>
                <w:sz w:val="13"/>
                <w:szCs w:val="13"/>
                <w:color w:val="auto"/>
              </w:rPr>
              <w:t>Substandard non-accrual</w:t>
            </w: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687</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78</w:t>
            </w:r>
          </w:p>
        </w:tc>
        <w:tc>
          <w:tcPr>
            <w:tcW w:w="1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646</w:t>
            </w: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1,147</w:t>
            </w:r>
          </w:p>
        </w:tc>
        <w:tc>
          <w:tcPr>
            <w:tcW w:w="1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233</w:t>
            </w:r>
          </w:p>
        </w:tc>
        <w:tc>
          <w:tcPr>
            <w:tcW w:w="1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4,815</w:t>
            </w: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1,193</w:t>
            </w:r>
          </w:p>
        </w:tc>
        <w:tc>
          <w:tcPr>
            <w:tcW w:w="1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8,799</w:t>
            </w:r>
          </w:p>
        </w:tc>
      </w:tr>
      <w:tr>
        <w:trPr>
          <w:trHeight w:val="142"/>
        </w:trPr>
        <w:tc>
          <w:tcPr>
            <w:tcW w:w="1800" w:type="dxa"/>
            <w:vAlign w:val="bottom"/>
            <w:gridSpan w:val="2"/>
            <w:shd w:val="clear" w:color="auto" w:fill="CCEEFF"/>
          </w:tcPr>
          <w:p>
            <w:pPr>
              <w:ind w:left="20"/>
              <w:spacing w:after="0" w:line="141" w:lineRule="exact"/>
              <w:rPr>
                <w:sz w:val="20"/>
                <w:szCs w:val="20"/>
                <w:color w:val="auto"/>
              </w:rPr>
            </w:pPr>
            <w:r>
              <w:rPr>
                <w:rFonts w:ascii="Arial" w:cs="Arial" w:eastAsia="Arial" w:hAnsi="Arial"/>
                <w:sz w:val="13"/>
                <w:szCs w:val="13"/>
                <w:color w:val="auto"/>
              </w:rPr>
              <w:t>Total retail real estate</w:t>
            </w:r>
          </w:p>
        </w:tc>
        <w:tc>
          <w:tcPr>
            <w:tcW w:w="14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324,112</w:t>
            </w:r>
          </w:p>
        </w:tc>
        <w:tc>
          <w:tcPr>
            <w:tcW w:w="1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164,938</w:t>
            </w:r>
          </w:p>
        </w:tc>
        <w:tc>
          <w:tcPr>
            <w:tcW w:w="1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137,163</w:t>
            </w:r>
          </w:p>
        </w:tc>
        <w:tc>
          <w:tcPr>
            <w:tcW w:w="14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137,949</w:t>
            </w:r>
          </w:p>
        </w:tc>
        <w:tc>
          <w:tcPr>
            <w:tcW w:w="12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144,101</w:t>
            </w:r>
          </w:p>
        </w:tc>
        <w:tc>
          <w:tcPr>
            <w:tcW w:w="12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263,826</w:t>
            </w:r>
          </w:p>
        </w:tc>
        <w:tc>
          <w:tcPr>
            <w:tcW w:w="1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235,763</w:t>
            </w:r>
          </w:p>
        </w:tc>
        <w:tc>
          <w:tcPr>
            <w:tcW w:w="12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1,407,852</w:t>
            </w:r>
          </w:p>
        </w:tc>
      </w:tr>
      <w:tr>
        <w:trPr>
          <w:trHeight w:val="142"/>
        </w:trPr>
        <w:tc>
          <w:tcPr>
            <w:tcW w:w="1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48"/>
        </w:trPr>
        <w:tc>
          <w:tcPr>
            <w:tcW w:w="180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Retail other:</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r>
      <w:tr>
        <w:trPr>
          <w:trHeight w:val="148"/>
        </w:trPr>
        <w:tc>
          <w:tcPr>
            <w:tcW w:w="1800" w:type="dxa"/>
            <w:vAlign w:val="bottom"/>
            <w:gridSpan w:val="2"/>
          </w:tcPr>
          <w:p>
            <w:pPr>
              <w:ind w:left="220"/>
              <w:spacing w:after="0"/>
              <w:rPr>
                <w:sz w:val="20"/>
                <w:szCs w:val="20"/>
                <w:color w:val="auto"/>
              </w:rPr>
            </w:pPr>
            <w:r>
              <w:rPr>
                <w:rFonts w:ascii="Arial" w:cs="Arial" w:eastAsia="Arial" w:hAnsi="Arial"/>
                <w:sz w:val="13"/>
                <w:szCs w:val="13"/>
                <w:color w:val="auto"/>
              </w:rPr>
              <w:t>Pass</w:t>
            </w: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8,357</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9,430</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5,600</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2,516</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691</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440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10,290</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37,324</w:t>
            </w:r>
          </w:p>
        </w:tc>
      </w:tr>
      <w:tr>
        <w:trPr>
          <w:trHeight w:val="149"/>
        </w:trPr>
        <w:tc>
          <w:tcPr>
            <w:tcW w:w="180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Watch</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48"/>
        </w:trPr>
        <w:tc>
          <w:tcPr>
            <w:tcW w:w="1800" w:type="dxa"/>
            <w:vAlign w:val="bottom"/>
            <w:gridSpan w:val="2"/>
          </w:tcPr>
          <w:p>
            <w:pPr>
              <w:ind w:left="220"/>
              <w:spacing w:after="0"/>
              <w:rPr>
                <w:sz w:val="20"/>
                <w:szCs w:val="20"/>
                <w:color w:val="auto"/>
              </w:rPr>
            </w:pPr>
            <w:r>
              <w:rPr>
                <w:rFonts w:ascii="Arial" w:cs="Arial" w:eastAsia="Arial" w:hAnsi="Arial"/>
                <w:sz w:val="13"/>
                <w:szCs w:val="13"/>
                <w:color w:val="auto"/>
              </w:rPr>
              <w:t>Special Mention</w:t>
            </w:r>
          </w:p>
        </w:tc>
        <w:tc>
          <w:tcPr>
            <w:tcW w:w="140" w:type="dxa"/>
            <w:vAlign w:val="bottom"/>
          </w:tcPr>
          <w:p>
            <w:pPr>
              <w:spacing w:after="0"/>
              <w:rPr>
                <w:sz w:val="12"/>
                <w:szCs w:val="12"/>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49"/>
        </w:trPr>
        <w:tc>
          <w:tcPr>
            <w:tcW w:w="180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Substandard</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48"/>
        </w:trPr>
        <w:tc>
          <w:tcPr>
            <w:tcW w:w="1800" w:type="dxa"/>
            <w:vAlign w:val="bottom"/>
            <w:tcBorders>
              <w:bottom w:val="single" w:sz="8" w:color="CCEEFF"/>
            </w:tcBorders>
            <w:gridSpan w:val="2"/>
          </w:tcPr>
          <w:p>
            <w:pPr>
              <w:ind w:left="220"/>
              <w:spacing w:after="0"/>
              <w:rPr>
                <w:sz w:val="20"/>
                <w:szCs w:val="20"/>
                <w:color w:val="auto"/>
              </w:rPr>
            </w:pPr>
            <w:r>
              <w:rPr>
                <w:rFonts w:ascii="Arial" w:cs="Arial" w:eastAsia="Arial" w:hAnsi="Arial"/>
                <w:sz w:val="13"/>
                <w:szCs w:val="13"/>
                <w:color w:val="auto"/>
              </w:rPr>
              <w:t>Substandard non-accrual</w:t>
            </w: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w:t>
            </w:r>
          </w:p>
        </w:tc>
        <w:tc>
          <w:tcPr>
            <w:tcW w:w="1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w:t>
            </w: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w:t>
            </w:r>
          </w:p>
        </w:tc>
        <w:tc>
          <w:tcPr>
            <w:tcW w:w="1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w:t>
            </w:r>
          </w:p>
        </w:tc>
        <w:tc>
          <w:tcPr>
            <w:tcW w:w="1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57</w:t>
            </w: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1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104</w:t>
            </w:r>
          </w:p>
        </w:tc>
      </w:tr>
      <w:tr>
        <w:trPr>
          <w:trHeight w:val="142"/>
        </w:trPr>
        <w:tc>
          <w:tcPr>
            <w:tcW w:w="1800" w:type="dxa"/>
            <w:vAlign w:val="bottom"/>
            <w:gridSpan w:val="2"/>
            <w:shd w:val="clear" w:color="auto" w:fill="CCEEFF"/>
          </w:tcPr>
          <w:p>
            <w:pPr>
              <w:ind w:left="20"/>
              <w:spacing w:after="0" w:line="141" w:lineRule="exact"/>
              <w:rPr>
                <w:sz w:val="20"/>
                <w:szCs w:val="20"/>
                <w:color w:val="auto"/>
              </w:rPr>
            </w:pPr>
            <w:r>
              <w:rPr>
                <w:rFonts w:ascii="Arial" w:cs="Arial" w:eastAsia="Arial" w:hAnsi="Arial"/>
                <w:sz w:val="13"/>
                <w:szCs w:val="13"/>
                <w:color w:val="auto"/>
              </w:rPr>
              <w:t>Total retail other</w:t>
            </w:r>
          </w:p>
        </w:tc>
        <w:tc>
          <w:tcPr>
            <w:tcW w:w="14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8,371</w:t>
            </w:r>
          </w:p>
        </w:tc>
        <w:tc>
          <w:tcPr>
            <w:tcW w:w="1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9,437</w:t>
            </w:r>
          </w:p>
        </w:tc>
        <w:tc>
          <w:tcPr>
            <w:tcW w:w="1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5,605</w:t>
            </w:r>
          </w:p>
        </w:tc>
        <w:tc>
          <w:tcPr>
            <w:tcW w:w="14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2,531</w:t>
            </w:r>
          </w:p>
        </w:tc>
        <w:tc>
          <w:tcPr>
            <w:tcW w:w="12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696</w:t>
            </w:r>
          </w:p>
        </w:tc>
        <w:tc>
          <w:tcPr>
            <w:tcW w:w="12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497</w:t>
            </w:r>
          </w:p>
        </w:tc>
        <w:tc>
          <w:tcPr>
            <w:tcW w:w="1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10,291</w:t>
            </w:r>
          </w:p>
        </w:tc>
        <w:tc>
          <w:tcPr>
            <w:tcW w:w="12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37,428</w:t>
            </w:r>
          </w:p>
        </w:tc>
      </w:tr>
      <w:tr>
        <w:trPr>
          <w:trHeight w:val="142"/>
        </w:trPr>
        <w:tc>
          <w:tcPr>
            <w:tcW w:w="1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49"/>
        </w:trPr>
        <w:tc>
          <w:tcPr>
            <w:tcW w:w="1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Total portfolio loans</w:t>
            </w:r>
          </w:p>
        </w:tc>
        <w:tc>
          <w:tcPr>
            <w:tcW w:w="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6"/>
              </w:rPr>
              <w:t>2,216,953</w:t>
            </w:r>
          </w:p>
        </w:tc>
        <w:tc>
          <w:tcPr>
            <w:tcW w:w="1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6"/>
              </w:rPr>
              <w:t>1,168,069</w:t>
            </w: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798,327</w:t>
            </w:r>
          </w:p>
        </w:tc>
        <w:tc>
          <w:tcPr>
            <w:tcW w:w="14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699,747</w:t>
            </w:r>
          </w:p>
        </w:tc>
        <w:tc>
          <w:tcPr>
            <w:tcW w:w="1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441,456</w:t>
            </w:r>
          </w:p>
        </w:tc>
        <w:tc>
          <w:tcPr>
            <w:tcW w:w="1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650,638</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838,987</w:t>
            </w:r>
          </w:p>
        </w:tc>
        <w:tc>
          <w:tcPr>
            <w:tcW w:w="1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6,814,177</w:t>
            </w:r>
          </w:p>
        </w:tc>
      </w:tr>
      <w:tr>
        <w:trPr>
          <w:trHeight w:val="20"/>
        </w:trPr>
        <w:tc>
          <w:tcPr>
            <w:tcW w:w="1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60" w:right="219"/>
        <w:spacing w:after="0" w:line="261" w:lineRule="auto"/>
        <w:rPr>
          <w:sz w:val="20"/>
          <w:szCs w:val="20"/>
          <w:color w:val="auto"/>
        </w:rPr>
      </w:pPr>
      <w:r>
        <w:rPr>
          <w:rFonts w:ascii="Arial" w:cs="Arial" w:eastAsia="Arial" w:hAnsi="Arial"/>
          <w:sz w:val="18"/>
          <w:szCs w:val="18"/>
          <w:color w:val="auto"/>
        </w:rPr>
        <w:t xml:space="preserve">An analysis of the amortized cost basis of portfolio loans that are past due and still accruing, or on a non-accrual status, is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34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4"/>
                <w:szCs w:val="14"/>
                <w:b w:val="1"/>
                <w:bCs w:val="1"/>
                <w:color w:val="auto"/>
                <w:w w:val="96"/>
              </w:rPr>
              <w:t>March 31, 2021</w:t>
            </w: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34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700" w:type="dxa"/>
            <w:vAlign w:val="bottom"/>
            <w:gridSpan w:val="8"/>
          </w:tcPr>
          <w:p>
            <w:pPr>
              <w:jc w:val="center"/>
              <w:ind w:right="360"/>
              <w:spacing w:after="0" w:line="155" w:lineRule="exact"/>
              <w:rPr>
                <w:sz w:val="20"/>
                <w:szCs w:val="20"/>
                <w:color w:val="auto"/>
              </w:rPr>
            </w:pPr>
            <w:r>
              <w:rPr>
                <w:rFonts w:ascii="Arial" w:cs="Arial" w:eastAsia="Arial" w:hAnsi="Arial"/>
                <w:sz w:val="14"/>
                <w:szCs w:val="14"/>
                <w:b w:val="1"/>
                <w:bCs w:val="1"/>
                <w:color w:val="auto"/>
                <w:w w:val="90"/>
              </w:rPr>
              <w:t>Loans past due, still accruing</w:t>
            </w:r>
          </w:p>
        </w:tc>
        <w:tc>
          <w:tcPr>
            <w:tcW w:w="840" w:type="dxa"/>
            <w:vAlign w:val="bottom"/>
            <w:gridSpan w:val="2"/>
          </w:tcPr>
          <w:p>
            <w:pPr>
              <w:jc w:val="center"/>
              <w:spacing w:after="0" w:line="155" w:lineRule="exact"/>
              <w:rPr>
                <w:sz w:val="20"/>
                <w:szCs w:val="20"/>
                <w:color w:val="auto"/>
              </w:rPr>
            </w:pPr>
            <w:r>
              <w:rPr>
                <w:rFonts w:ascii="Arial" w:cs="Arial" w:eastAsia="Arial" w:hAnsi="Arial"/>
                <w:sz w:val="14"/>
                <w:szCs w:val="14"/>
                <w:b w:val="1"/>
                <w:bCs w:val="1"/>
                <w:color w:val="auto"/>
                <w:w w:val="93"/>
              </w:rPr>
              <w:t>Non-accrual</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4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980" w:type="dxa"/>
            <w:vAlign w:val="bottom"/>
            <w:tcBorders>
              <w:top w:val="single" w:sz="8" w:color="auto"/>
            </w:tcBorders>
            <w:gridSpan w:val="3"/>
          </w:tcPr>
          <w:p>
            <w:pPr>
              <w:ind w:left="80"/>
              <w:spacing w:after="0" w:line="155" w:lineRule="exact"/>
              <w:rPr>
                <w:sz w:val="20"/>
                <w:szCs w:val="20"/>
                <w:color w:val="auto"/>
              </w:rPr>
            </w:pPr>
            <w:r>
              <w:rPr>
                <w:rFonts w:ascii="Arial" w:cs="Arial" w:eastAsia="Arial" w:hAnsi="Arial"/>
                <w:sz w:val="14"/>
                <w:szCs w:val="14"/>
                <w:b w:val="1"/>
                <w:bCs w:val="1"/>
                <w:color w:val="auto"/>
              </w:rPr>
              <w:t>30-59 Days</w:t>
            </w:r>
          </w:p>
        </w:tc>
        <w:tc>
          <w:tcPr>
            <w:tcW w:w="960" w:type="dxa"/>
            <w:vAlign w:val="bottom"/>
            <w:tcBorders>
              <w:top w:val="single" w:sz="8" w:color="auto"/>
            </w:tcBorders>
            <w:gridSpan w:val="3"/>
          </w:tcPr>
          <w:p>
            <w:pPr>
              <w:jc w:val="center"/>
              <w:ind w:right="160"/>
              <w:spacing w:after="0" w:line="155" w:lineRule="exact"/>
              <w:rPr>
                <w:sz w:val="20"/>
                <w:szCs w:val="20"/>
                <w:color w:val="auto"/>
              </w:rPr>
            </w:pPr>
            <w:r>
              <w:rPr>
                <w:rFonts w:ascii="Arial" w:cs="Arial" w:eastAsia="Arial" w:hAnsi="Arial"/>
                <w:sz w:val="14"/>
                <w:szCs w:val="14"/>
                <w:b w:val="1"/>
                <w:bCs w:val="1"/>
                <w:color w:val="auto"/>
                <w:w w:val="92"/>
              </w:rPr>
              <w:t>60-89 Days</w:t>
            </w:r>
          </w:p>
        </w:tc>
        <w:tc>
          <w:tcPr>
            <w:tcW w:w="1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ind w:right="73"/>
              <w:spacing w:after="0" w:line="155" w:lineRule="exact"/>
              <w:rPr>
                <w:sz w:val="20"/>
                <w:szCs w:val="20"/>
                <w:color w:val="auto"/>
              </w:rPr>
            </w:pPr>
            <w:r>
              <w:rPr>
                <w:rFonts w:ascii="Arial" w:cs="Arial" w:eastAsia="Arial" w:hAnsi="Arial"/>
                <w:sz w:val="14"/>
                <w:szCs w:val="14"/>
                <w:b w:val="1"/>
                <w:bCs w:val="1"/>
                <w:color w:val="auto"/>
                <w:w w:val="94"/>
              </w:rPr>
              <w:t>90+Days</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gridSpan w:val="2"/>
          </w:tcPr>
          <w:p>
            <w:pPr>
              <w:jc w:val="center"/>
              <w:ind w:right="140"/>
              <w:spacing w:after="0" w:line="155" w:lineRule="exact"/>
              <w:rPr>
                <w:sz w:val="20"/>
                <w:szCs w:val="20"/>
                <w:color w:val="auto"/>
              </w:rPr>
            </w:pPr>
            <w:r>
              <w:rPr>
                <w:rFonts w:ascii="Arial" w:cs="Arial" w:eastAsia="Arial" w:hAnsi="Arial"/>
                <w:sz w:val="14"/>
                <w:szCs w:val="14"/>
                <w:b w:val="1"/>
                <w:bCs w:val="1"/>
                <w:color w:val="auto"/>
                <w:w w:val="92"/>
              </w:rPr>
              <w:t>Loans</w:t>
            </w:r>
          </w:p>
        </w:tc>
        <w:tc>
          <w:tcPr>
            <w:tcW w:w="0" w:type="dxa"/>
            <w:vAlign w:val="bottom"/>
          </w:tcPr>
          <w:p>
            <w:pPr>
              <w:spacing w:after="0"/>
              <w:rPr>
                <w:sz w:val="1"/>
                <w:szCs w:val="1"/>
                <w:color w:val="auto"/>
              </w:rPr>
            </w:pPr>
          </w:p>
        </w:tc>
      </w:tr>
      <w:tr>
        <w:trPr>
          <w:trHeight w:val="196"/>
        </w:trPr>
        <w:tc>
          <w:tcPr>
            <w:tcW w:w="342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Commercial</w:t>
            </w:r>
          </w:p>
        </w:tc>
        <w:tc>
          <w:tcPr>
            <w:tcW w:w="17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36"/>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52</w:t>
            </w: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2,614</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7,949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20" w:type="dxa"/>
            <w:vAlign w:val="bottom"/>
          </w:tcPr>
          <w:p>
            <w:pPr>
              <w:ind w:left="20"/>
              <w:spacing w:after="0" w:line="202" w:lineRule="exact"/>
              <w:rPr>
                <w:sz w:val="20"/>
                <w:szCs w:val="20"/>
                <w:color w:val="auto"/>
              </w:rPr>
            </w:pPr>
            <w:r>
              <w:rPr>
                <w:rFonts w:ascii="Arial" w:cs="Arial" w:eastAsia="Arial" w:hAnsi="Arial"/>
                <w:sz w:val="18"/>
                <w:szCs w:val="18"/>
                <w:color w:val="auto"/>
              </w:rPr>
              <w:t>Commercial real estate</w:t>
            </w:r>
          </w:p>
        </w:tc>
        <w:tc>
          <w:tcPr>
            <w:tcW w:w="1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4,377</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8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5,164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Real estate construction</w:t>
            </w:r>
          </w:p>
        </w:tc>
        <w:tc>
          <w:tcPr>
            <w:tcW w:w="1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20" w:type="dxa"/>
            <w:vAlign w:val="bottom"/>
          </w:tcPr>
          <w:p>
            <w:pPr>
              <w:ind w:left="20"/>
              <w:spacing w:after="0" w:line="202" w:lineRule="exact"/>
              <w:rPr>
                <w:sz w:val="20"/>
                <w:szCs w:val="20"/>
                <w:color w:val="auto"/>
              </w:rPr>
            </w:pPr>
            <w:r>
              <w:rPr>
                <w:rFonts w:ascii="Arial" w:cs="Arial" w:eastAsia="Arial" w:hAnsi="Arial"/>
                <w:sz w:val="18"/>
                <w:szCs w:val="18"/>
                <w:color w:val="auto"/>
              </w:rPr>
              <w:t>Retail real estate</w:t>
            </w:r>
          </w:p>
        </w:tc>
        <w:tc>
          <w:tcPr>
            <w:tcW w:w="1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2,248</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621</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1,149</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8,495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Retail other</w:t>
            </w:r>
          </w:p>
        </w:tc>
        <w:tc>
          <w:tcPr>
            <w:tcW w:w="1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20" w:type="dxa"/>
            <w:vAlign w:val="bottom"/>
          </w:tcPr>
          <w:p>
            <w:pPr>
              <w:ind w:left="220"/>
              <w:spacing w:after="0" w:line="196" w:lineRule="exact"/>
              <w:rPr>
                <w:sz w:val="20"/>
                <w:szCs w:val="20"/>
                <w:color w:val="auto"/>
              </w:rPr>
            </w:pPr>
            <w:r>
              <w:rPr>
                <w:rFonts w:ascii="Arial" w:cs="Arial" w:eastAsia="Arial" w:hAnsi="Arial"/>
                <w:sz w:val="18"/>
                <w:szCs w:val="18"/>
                <w:color w:val="auto"/>
              </w:rPr>
              <w:t>Past due and non-accrual loans</w:t>
            </w:r>
          </w:p>
        </w:tc>
        <w:tc>
          <w:tcPr>
            <w:tcW w:w="172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6"/>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6,685</w:t>
            </w:r>
          </w:p>
        </w:tc>
        <w:tc>
          <w:tcPr>
            <w:tcW w:w="16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3,244</w:t>
            </w:r>
          </w:p>
        </w:tc>
        <w:tc>
          <w:tcPr>
            <w:tcW w:w="14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1,149</w:t>
            </w:r>
          </w:p>
        </w:tc>
        <w:tc>
          <w:tcPr>
            <w:tcW w:w="14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21,706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4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4"/>
                <w:szCs w:val="14"/>
                <w:b w:val="1"/>
                <w:bCs w:val="1"/>
                <w:color w:val="auto"/>
                <w:w w:val="91"/>
              </w:rPr>
              <w:t>December 31, 2020</w:t>
            </w: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34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700" w:type="dxa"/>
            <w:vAlign w:val="bottom"/>
            <w:gridSpan w:val="8"/>
          </w:tcPr>
          <w:p>
            <w:pPr>
              <w:jc w:val="center"/>
              <w:ind w:right="360"/>
              <w:spacing w:after="0" w:line="155" w:lineRule="exact"/>
              <w:rPr>
                <w:sz w:val="20"/>
                <w:szCs w:val="20"/>
                <w:color w:val="auto"/>
              </w:rPr>
            </w:pPr>
            <w:r>
              <w:rPr>
                <w:rFonts w:ascii="Arial" w:cs="Arial" w:eastAsia="Arial" w:hAnsi="Arial"/>
                <w:sz w:val="14"/>
                <w:szCs w:val="14"/>
                <w:b w:val="1"/>
                <w:bCs w:val="1"/>
                <w:color w:val="auto"/>
                <w:w w:val="90"/>
              </w:rPr>
              <w:t>Loans past due, still accruing</w:t>
            </w:r>
          </w:p>
        </w:tc>
        <w:tc>
          <w:tcPr>
            <w:tcW w:w="840" w:type="dxa"/>
            <w:vAlign w:val="bottom"/>
            <w:gridSpan w:val="2"/>
          </w:tcPr>
          <w:p>
            <w:pPr>
              <w:jc w:val="center"/>
              <w:spacing w:after="0" w:line="155" w:lineRule="exact"/>
              <w:rPr>
                <w:sz w:val="20"/>
                <w:szCs w:val="20"/>
                <w:color w:val="auto"/>
              </w:rPr>
            </w:pPr>
            <w:r>
              <w:rPr>
                <w:rFonts w:ascii="Arial" w:cs="Arial" w:eastAsia="Arial" w:hAnsi="Arial"/>
                <w:sz w:val="14"/>
                <w:szCs w:val="14"/>
                <w:b w:val="1"/>
                <w:bCs w:val="1"/>
                <w:color w:val="auto"/>
                <w:w w:val="93"/>
              </w:rPr>
              <w:t>Non-accrual</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4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980" w:type="dxa"/>
            <w:vAlign w:val="bottom"/>
            <w:tcBorders>
              <w:top w:val="single" w:sz="8" w:color="auto"/>
            </w:tcBorders>
            <w:gridSpan w:val="3"/>
          </w:tcPr>
          <w:p>
            <w:pPr>
              <w:ind w:left="80"/>
              <w:spacing w:after="0" w:line="155" w:lineRule="exact"/>
              <w:rPr>
                <w:sz w:val="20"/>
                <w:szCs w:val="20"/>
                <w:color w:val="auto"/>
              </w:rPr>
            </w:pPr>
            <w:r>
              <w:rPr>
                <w:rFonts w:ascii="Arial" w:cs="Arial" w:eastAsia="Arial" w:hAnsi="Arial"/>
                <w:sz w:val="14"/>
                <w:szCs w:val="14"/>
                <w:b w:val="1"/>
                <w:bCs w:val="1"/>
                <w:color w:val="auto"/>
              </w:rPr>
              <w:t>30-59 Days</w:t>
            </w:r>
          </w:p>
        </w:tc>
        <w:tc>
          <w:tcPr>
            <w:tcW w:w="960" w:type="dxa"/>
            <w:vAlign w:val="bottom"/>
            <w:tcBorders>
              <w:top w:val="single" w:sz="8" w:color="auto"/>
            </w:tcBorders>
            <w:gridSpan w:val="3"/>
          </w:tcPr>
          <w:p>
            <w:pPr>
              <w:jc w:val="center"/>
              <w:ind w:right="160"/>
              <w:spacing w:after="0" w:line="155" w:lineRule="exact"/>
              <w:rPr>
                <w:sz w:val="20"/>
                <w:szCs w:val="20"/>
                <w:color w:val="auto"/>
              </w:rPr>
            </w:pPr>
            <w:r>
              <w:rPr>
                <w:rFonts w:ascii="Arial" w:cs="Arial" w:eastAsia="Arial" w:hAnsi="Arial"/>
                <w:sz w:val="14"/>
                <w:szCs w:val="14"/>
                <w:b w:val="1"/>
                <w:bCs w:val="1"/>
                <w:color w:val="auto"/>
                <w:w w:val="92"/>
              </w:rPr>
              <w:t>60-89 Days</w:t>
            </w:r>
          </w:p>
        </w:tc>
        <w:tc>
          <w:tcPr>
            <w:tcW w:w="1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ind w:right="73"/>
              <w:spacing w:after="0" w:line="155" w:lineRule="exact"/>
              <w:rPr>
                <w:sz w:val="20"/>
                <w:szCs w:val="20"/>
                <w:color w:val="auto"/>
              </w:rPr>
            </w:pPr>
            <w:r>
              <w:rPr>
                <w:rFonts w:ascii="Arial" w:cs="Arial" w:eastAsia="Arial" w:hAnsi="Arial"/>
                <w:sz w:val="14"/>
                <w:szCs w:val="14"/>
                <w:b w:val="1"/>
                <w:bCs w:val="1"/>
                <w:color w:val="auto"/>
                <w:w w:val="94"/>
              </w:rPr>
              <w:t>90+Days</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gridSpan w:val="2"/>
          </w:tcPr>
          <w:p>
            <w:pPr>
              <w:jc w:val="center"/>
              <w:ind w:right="140"/>
              <w:spacing w:after="0" w:line="155" w:lineRule="exact"/>
              <w:rPr>
                <w:sz w:val="20"/>
                <w:szCs w:val="20"/>
                <w:color w:val="auto"/>
              </w:rPr>
            </w:pPr>
            <w:r>
              <w:rPr>
                <w:rFonts w:ascii="Arial" w:cs="Arial" w:eastAsia="Arial" w:hAnsi="Arial"/>
                <w:sz w:val="14"/>
                <w:szCs w:val="14"/>
                <w:b w:val="1"/>
                <w:bCs w:val="1"/>
                <w:color w:val="auto"/>
                <w:w w:val="92"/>
              </w:rPr>
              <w:t>Loans</w:t>
            </w:r>
          </w:p>
        </w:tc>
        <w:tc>
          <w:tcPr>
            <w:tcW w:w="0" w:type="dxa"/>
            <w:vAlign w:val="bottom"/>
          </w:tcPr>
          <w:p>
            <w:pPr>
              <w:spacing w:after="0"/>
              <w:rPr>
                <w:sz w:val="1"/>
                <w:szCs w:val="1"/>
                <w:color w:val="auto"/>
              </w:rPr>
            </w:pPr>
          </w:p>
        </w:tc>
      </w:tr>
      <w:tr>
        <w:trPr>
          <w:trHeight w:val="196"/>
        </w:trPr>
        <w:tc>
          <w:tcPr>
            <w:tcW w:w="342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Commercial</w:t>
            </w:r>
          </w:p>
        </w:tc>
        <w:tc>
          <w:tcPr>
            <w:tcW w:w="17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36"/>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243</w:t>
            </w: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8,523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20" w:type="dxa"/>
            <w:vAlign w:val="bottom"/>
          </w:tcPr>
          <w:p>
            <w:pPr>
              <w:ind w:left="20"/>
              <w:spacing w:after="0" w:line="202" w:lineRule="exact"/>
              <w:rPr>
                <w:sz w:val="20"/>
                <w:szCs w:val="20"/>
                <w:color w:val="auto"/>
              </w:rPr>
            </w:pPr>
            <w:r>
              <w:rPr>
                <w:rFonts w:ascii="Arial" w:cs="Arial" w:eastAsia="Arial" w:hAnsi="Arial"/>
                <w:sz w:val="18"/>
                <w:szCs w:val="18"/>
                <w:color w:val="auto"/>
              </w:rPr>
              <w:t>Commercial real estate</w:t>
            </w:r>
          </w:p>
        </w:tc>
        <w:tc>
          <w:tcPr>
            <w:tcW w:w="1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8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5,503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Real estate construction</w:t>
            </w:r>
          </w:p>
        </w:tc>
        <w:tc>
          <w:tcPr>
            <w:tcW w:w="1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237</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235</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20" w:type="dxa"/>
            <w:vAlign w:val="bottom"/>
          </w:tcPr>
          <w:p>
            <w:pPr>
              <w:ind w:left="20"/>
              <w:spacing w:after="0" w:line="202" w:lineRule="exact"/>
              <w:rPr>
                <w:sz w:val="20"/>
                <w:szCs w:val="20"/>
                <w:color w:val="auto"/>
              </w:rPr>
            </w:pPr>
            <w:r>
              <w:rPr>
                <w:rFonts w:ascii="Arial" w:cs="Arial" w:eastAsia="Arial" w:hAnsi="Arial"/>
                <w:sz w:val="18"/>
                <w:szCs w:val="18"/>
                <w:color w:val="auto"/>
              </w:rPr>
              <w:t>Retail real estate</w:t>
            </w:r>
          </w:p>
        </w:tc>
        <w:tc>
          <w:tcPr>
            <w:tcW w:w="1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6,248</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400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1,305</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8,799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Retail other</w:t>
            </w:r>
          </w:p>
        </w:tc>
        <w:tc>
          <w:tcPr>
            <w:tcW w:w="17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66</w:t>
            </w:r>
          </w:p>
        </w:tc>
        <w:tc>
          <w:tcPr>
            <w:tcW w:w="1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149</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66</w:t>
            </w:r>
          </w:p>
        </w:tc>
        <w:tc>
          <w:tcPr>
            <w:tcW w:w="1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20" w:type="dxa"/>
            <w:vAlign w:val="bottom"/>
          </w:tcPr>
          <w:p>
            <w:pPr>
              <w:ind w:left="220"/>
              <w:spacing w:after="0" w:line="196" w:lineRule="exact"/>
              <w:rPr>
                <w:sz w:val="20"/>
                <w:szCs w:val="20"/>
                <w:color w:val="auto"/>
              </w:rPr>
            </w:pPr>
            <w:r>
              <w:rPr>
                <w:rFonts w:ascii="Arial" w:cs="Arial" w:eastAsia="Arial" w:hAnsi="Arial"/>
                <w:sz w:val="18"/>
                <w:szCs w:val="18"/>
                <w:color w:val="auto"/>
              </w:rPr>
              <w:t>Past due and non-accrual loans</w:t>
            </w:r>
          </w:p>
        </w:tc>
        <w:tc>
          <w:tcPr>
            <w:tcW w:w="1720" w:type="dxa"/>
            <w:vAlign w:val="bottom"/>
          </w:tcPr>
          <w:p>
            <w:pPr>
              <w:spacing w:after="0"/>
              <w:rPr>
                <w:sz w:val="17"/>
                <w:szCs w:val="17"/>
                <w:color w:val="auto"/>
              </w:rPr>
            </w:pPr>
          </w:p>
        </w:tc>
        <w:tc>
          <w:tcPr>
            <w:tcW w:w="220" w:type="dxa"/>
            <w:vAlign w:val="bottom"/>
            <w:tcBorders>
              <w:bottom w:val="single" w:sz="8" w:color="auto"/>
            </w:tcBorders>
          </w:tcPr>
          <w:p>
            <w:pPr>
              <w:jc w:val="right"/>
              <w:ind w:right="36"/>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6,794</w:t>
            </w:r>
          </w:p>
        </w:tc>
        <w:tc>
          <w:tcPr>
            <w:tcW w:w="160" w:type="dxa"/>
            <w:vAlign w:val="bottom"/>
          </w:tcPr>
          <w:p>
            <w:pPr>
              <w:spacing w:after="0"/>
              <w:rPr>
                <w:sz w:val="17"/>
                <w:szCs w:val="17"/>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784</w:t>
            </w:r>
          </w:p>
        </w:tc>
        <w:tc>
          <w:tcPr>
            <w:tcW w:w="14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1,371</w:t>
            </w:r>
          </w:p>
        </w:tc>
        <w:tc>
          <w:tcPr>
            <w:tcW w:w="140" w:type="dxa"/>
            <w:vAlign w:val="bottom"/>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22,930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720" w:type="dxa"/>
            <w:vAlign w:val="bottom"/>
            <w:vMerge w:val="restart"/>
          </w:tcPr>
          <w:p>
            <w:pPr>
              <w:jc w:val="right"/>
              <w:ind w:right="490"/>
              <w:spacing w:after="0"/>
              <w:rPr>
                <w:sz w:val="20"/>
                <w:szCs w:val="20"/>
                <w:color w:val="auto"/>
              </w:rPr>
            </w:pPr>
            <w:r>
              <w:rPr>
                <w:rFonts w:ascii="Arial" w:cs="Arial" w:eastAsia="Arial" w:hAnsi="Arial"/>
                <w:sz w:val="18"/>
                <w:szCs w:val="18"/>
                <w:color w:val="auto"/>
              </w:rPr>
              <w:t>19</w:t>
            </w: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3420" w:type="dxa"/>
            <w:vAlign w:val="bottom"/>
          </w:tcPr>
          <w:p>
            <w:pPr>
              <w:spacing w:after="0"/>
              <w:rPr>
                <w:sz w:val="24"/>
                <w:szCs w:val="24"/>
                <w:color w:val="auto"/>
              </w:rPr>
            </w:pPr>
          </w:p>
        </w:tc>
        <w:tc>
          <w:tcPr>
            <w:tcW w:w="17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34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color w:val="auto"/>
        </w:rPr>
        <w:t>FIRST BUSEY CORPORATION</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w:t>
      </w:r>
    </w:p>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5" w:lineRule="exact"/>
        <w:rPr>
          <w:sz w:val="20"/>
          <w:szCs w:val="20"/>
          <w:color w:val="auto"/>
        </w:rPr>
      </w:pPr>
    </w:p>
    <w:p>
      <w:pPr>
        <w:ind w:left="60" w:right="199"/>
        <w:spacing w:after="0" w:line="262" w:lineRule="auto"/>
        <w:rPr>
          <w:sz w:val="20"/>
          <w:szCs w:val="20"/>
          <w:color w:val="auto"/>
        </w:rPr>
      </w:pPr>
      <w:r>
        <w:rPr>
          <w:rFonts w:ascii="Arial" w:cs="Arial" w:eastAsia="Arial" w:hAnsi="Arial"/>
          <w:sz w:val="17"/>
          <w:szCs w:val="17"/>
          <w:color w:val="auto"/>
        </w:rPr>
        <w:t>Gross interest income recorded on 90+ day past due loans and that would have been recorded on non-accrual loans if they had been accruing interest in accordance with their original terms was $0.5 million for the three months ended March 31, 2021 and 2020. The amount of interest collected on those loans and recognized on a cash basis that was included in interest income was insignificant for the three months ended March 31, 2021 and 2020.</w:t>
      </w:r>
    </w:p>
    <w:p>
      <w:pPr>
        <w:spacing w:after="0" w:line="159"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A summary of TDR loans is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65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5"/>
              </w:rPr>
              <w:t>As of</w:t>
            </w:r>
          </w:p>
        </w:tc>
        <w:tc>
          <w:tcPr>
            <w:tcW w:w="980" w:type="dxa"/>
            <w:vAlign w:val="bottom"/>
            <w:tcBorders>
              <w:bottom w:val="single" w:sz="8" w:color="auto"/>
            </w:tcBorders>
          </w:tcPr>
          <w:p>
            <w:pPr>
              <w:spacing w:after="0"/>
              <w:rPr>
                <w:sz w:val="16"/>
                <w:szCs w:val="16"/>
                <w:color w:val="auto"/>
              </w:rPr>
            </w:pPr>
          </w:p>
        </w:tc>
      </w:tr>
      <w:tr>
        <w:trPr>
          <w:trHeight w:val="133"/>
        </w:trPr>
        <w:tc>
          <w:tcPr>
            <w:tcW w:w="6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right"/>
              <w:ind w:right="96"/>
              <w:spacing w:after="0" w:line="133" w:lineRule="exact"/>
              <w:rPr>
                <w:sz w:val="20"/>
                <w:szCs w:val="20"/>
                <w:color w:val="auto"/>
              </w:rPr>
            </w:pPr>
            <w:r>
              <w:rPr>
                <w:rFonts w:ascii="Arial" w:cs="Arial" w:eastAsia="Arial" w:hAnsi="Arial"/>
                <w:sz w:val="14"/>
                <w:szCs w:val="14"/>
                <w:b w:val="1"/>
                <w:bCs w:val="1"/>
                <w:color w:val="auto"/>
              </w:rPr>
              <w:t>March 31,</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right"/>
              <w:ind w:right="56"/>
              <w:spacing w:after="0" w:line="133" w:lineRule="exact"/>
              <w:rPr>
                <w:sz w:val="20"/>
                <w:szCs w:val="20"/>
                <w:color w:val="auto"/>
              </w:rPr>
            </w:pPr>
            <w:r>
              <w:rPr>
                <w:rFonts w:ascii="Arial" w:cs="Arial" w:eastAsia="Arial" w:hAnsi="Arial"/>
                <w:sz w:val="14"/>
                <w:szCs w:val="14"/>
                <w:b w:val="1"/>
                <w:bCs w:val="1"/>
                <w:color w:val="auto"/>
                <w:w w:val="90"/>
              </w:rPr>
              <w:t>December 31,</w:t>
            </w:r>
          </w:p>
        </w:tc>
      </w:tr>
      <w:tr>
        <w:trPr>
          <w:trHeight w:val="185"/>
        </w:trPr>
        <w:tc>
          <w:tcPr>
            <w:tcW w:w="65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auto"/>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2020</w:t>
            </w:r>
          </w:p>
        </w:tc>
      </w:tr>
      <w:tr>
        <w:trPr>
          <w:trHeight w:val="196"/>
        </w:trPr>
        <w:tc>
          <w:tcPr>
            <w:tcW w:w="65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In compliance with modified terms</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3,135</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3,814</w:t>
            </w:r>
          </w:p>
        </w:tc>
      </w:tr>
      <w:tr>
        <w:trPr>
          <w:trHeight w:val="203"/>
        </w:trPr>
        <w:tc>
          <w:tcPr>
            <w:tcW w:w="6580" w:type="dxa"/>
            <w:vAlign w:val="bottom"/>
          </w:tcPr>
          <w:p>
            <w:pPr>
              <w:ind w:left="20"/>
              <w:spacing w:after="0" w:line="202" w:lineRule="exact"/>
              <w:rPr>
                <w:sz w:val="20"/>
                <w:szCs w:val="20"/>
                <w:color w:val="auto"/>
              </w:rPr>
            </w:pPr>
            <w:r>
              <w:rPr>
                <w:rFonts w:ascii="Arial" w:cs="Arial" w:eastAsia="Arial" w:hAnsi="Arial"/>
                <w:sz w:val="18"/>
                <w:szCs w:val="18"/>
                <w:color w:val="auto"/>
              </w:rPr>
              <w:t>30 – 89 days past due</w:t>
            </w:r>
          </w:p>
        </w:tc>
        <w:tc>
          <w:tcPr>
            <w:tcW w:w="1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164</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15</w:t>
            </w:r>
          </w:p>
        </w:tc>
      </w:tr>
      <w:tr>
        <w:trPr>
          <w:trHeight w:val="203"/>
        </w:trPr>
        <w:tc>
          <w:tcPr>
            <w:tcW w:w="65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Included in non-performing loans</w:t>
            </w:r>
          </w:p>
        </w:tc>
        <w:tc>
          <w:tcPr>
            <w:tcW w:w="120" w:type="dxa"/>
            <w:vAlign w:val="bottom"/>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1,338</w:t>
            </w:r>
          </w:p>
        </w:tc>
        <w:tc>
          <w:tcPr>
            <w:tcW w:w="60" w:type="dxa"/>
            <w:vAlign w:val="bottom"/>
            <w:tcBorders>
              <w:bottom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1,249</w:t>
            </w:r>
          </w:p>
        </w:tc>
      </w:tr>
      <w:tr>
        <w:trPr>
          <w:trHeight w:val="196"/>
        </w:trPr>
        <w:tc>
          <w:tcPr>
            <w:tcW w:w="6580" w:type="dxa"/>
            <w:vAlign w:val="bottom"/>
          </w:tcPr>
          <w:p>
            <w:pPr>
              <w:ind w:left="220"/>
              <w:spacing w:after="0" w:line="196" w:lineRule="exact"/>
              <w:rPr>
                <w:sz w:val="20"/>
                <w:szCs w:val="20"/>
                <w:color w:val="auto"/>
              </w:rPr>
            </w:pPr>
            <w:r>
              <w:rPr>
                <w:rFonts w:ascii="Arial" w:cs="Arial" w:eastAsia="Arial" w:hAnsi="Arial"/>
                <w:sz w:val="18"/>
                <w:szCs w:val="18"/>
                <w:color w:val="auto"/>
              </w:rPr>
              <w:t>TDR loans</w:t>
            </w: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4,637</w:t>
            </w:r>
          </w:p>
        </w:tc>
        <w:tc>
          <w:tcPr>
            <w:tcW w:w="6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5,078</w:t>
            </w:r>
          </w:p>
        </w:tc>
      </w:tr>
      <w:tr>
        <w:trPr>
          <w:trHeight w:val="20"/>
        </w:trPr>
        <w:tc>
          <w:tcPr>
            <w:tcW w:w="6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60" w:right="99"/>
        <w:spacing w:after="0" w:line="255" w:lineRule="auto"/>
        <w:rPr>
          <w:sz w:val="20"/>
          <w:szCs w:val="20"/>
          <w:color w:val="auto"/>
        </w:rPr>
      </w:pPr>
      <w:r>
        <w:rPr>
          <w:rFonts w:ascii="Arial" w:cs="Arial" w:eastAsia="Arial" w:hAnsi="Arial"/>
          <w:sz w:val="17"/>
          <w:szCs w:val="17"/>
          <w:color w:val="auto"/>
        </w:rPr>
        <w:t>We did not newly classify any loans as TDRs during the three months ended March 31, 2021, that were in compliance with their modified terms or 30 – 89 days past due. During the three months ended March 31, 2021, one commercial loan for $0.5 million was newly classified as a non-performing TDR. This loan had been non-accrual since the second quarter of 2020. Also, during the three months ended March 31, 2021, one retail real estate loan for $0.1 million that had been a performing TDR for longer than 12 months became non-performing. During the three months ended March 31, 2020, three commercial loans for $0.5 million and one commercial real estate loan for $0.7 million were newly classified as non-performing TDRs. These loans had been non-accrual since 2019.</w:t>
      </w:r>
    </w:p>
    <w:p>
      <w:pPr>
        <w:spacing w:after="0" w:line="166" w:lineRule="exact"/>
        <w:rPr>
          <w:sz w:val="20"/>
          <w:szCs w:val="20"/>
          <w:color w:val="auto"/>
        </w:rPr>
      </w:pPr>
    </w:p>
    <w:p>
      <w:pPr>
        <w:ind w:left="60" w:right="179"/>
        <w:spacing w:after="0" w:line="248" w:lineRule="auto"/>
        <w:rPr>
          <w:sz w:val="20"/>
          <w:szCs w:val="20"/>
          <w:color w:val="auto"/>
        </w:rPr>
      </w:pPr>
      <w:r>
        <w:rPr>
          <w:rFonts w:ascii="Arial" w:cs="Arial" w:eastAsia="Arial" w:hAnsi="Arial"/>
          <w:sz w:val="18"/>
          <w:szCs w:val="18"/>
          <w:color w:val="auto"/>
        </w:rPr>
        <w:t>There were no TDRs that were entered into during the last 12 months that were subsequently classified as non-performing and had payment defaults (a default occurs when a loan is 90 days or more past due or transferred to non-accrual) during the three months ended March 31, 2021 or 2020.</w:t>
      </w:r>
    </w:p>
    <w:p>
      <w:pPr>
        <w:spacing w:after="0" w:line="168" w:lineRule="exact"/>
        <w:rPr>
          <w:sz w:val="20"/>
          <w:szCs w:val="20"/>
          <w:color w:val="auto"/>
        </w:rPr>
      </w:pPr>
    </w:p>
    <w:p>
      <w:pPr>
        <w:ind w:left="60" w:right="359"/>
        <w:spacing w:after="0" w:line="291" w:lineRule="auto"/>
        <w:rPr>
          <w:sz w:val="20"/>
          <w:szCs w:val="20"/>
          <w:color w:val="auto"/>
        </w:rPr>
      </w:pPr>
      <w:r>
        <w:rPr>
          <w:rFonts w:ascii="Arial" w:cs="Arial" w:eastAsia="Arial" w:hAnsi="Arial"/>
          <w:sz w:val="17"/>
          <w:szCs w:val="17"/>
          <w:color w:val="auto"/>
        </w:rPr>
        <w:t>Gross interest income that would have been recorded in the three months ended March 31, 2021 and 2020, if TDRs had performed in accordance with their original terms compared with their modified terms, was insignificant.</w:t>
      </w:r>
    </w:p>
    <w:p>
      <w:pPr>
        <w:spacing w:after="0" w:line="133" w:lineRule="exact"/>
        <w:rPr>
          <w:sz w:val="20"/>
          <w:szCs w:val="20"/>
          <w:color w:val="auto"/>
        </w:rPr>
      </w:pPr>
    </w:p>
    <w:p>
      <w:pPr>
        <w:ind w:left="60" w:right="399"/>
        <w:spacing w:after="0" w:line="291" w:lineRule="auto"/>
        <w:rPr>
          <w:sz w:val="20"/>
          <w:szCs w:val="20"/>
          <w:color w:val="auto"/>
        </w:rPr>
      </w:pPr>
      <w:r>
        <w:rPr>
          <w:rFonts w:ascii="Arial" w:cs="Arial" w:eastAsia="Arial" w:hAnsi="Arial"/>
          <w:sz w:val="17"/>
          <w:szCs w:val="17"/>
          <w:color w:val="auto"/>
        </w:rPr>
        <w:t>Modified loans with payment deferrals that fall under the CARES Act or revised Interagency Statement that suspended requirements under GAAP related to TDR classification are not included in the Company’s TDR totals.</w:t>
      </w:r>
    </w:p>
    <w:p>
      <w:pPr>
        <w:spacing w:after="0" w:line="133" w:lineRule="exact"/>
        <w:rPr>
          <w:sz w:val="20"/>
          <w:szCs w:val="20"/>
          <w:color w:val="auto"/>
        </w:rPr>
      </w:pPr>
    </w:p>
    <w:p>
      <w:pPr>
        <w:ind w:left="60" w:right="119"/>
        <w:spacing w:after="0" w:line="259" w:lineRule="auto"/>
        <w:rPr>
          <w:sz w:val="20"/>
          <w:szCs w:val="20"/>
          <w:color w:val="auto"/>
        </w:rPr>
      </w:pPr>
      <w:r>
        <w:rPr>
          <w:rFonts w:ascii="Arial" w:cs="Arial" w:eastAsia="Arial" w:hAnsi="Arial"/>
          <w:sz w:val="17"/>
          <w:szCs w:val="17"/>
          <w:color w:val="auto"/>
        </w:rPr>
        <w:t>At March 31, 2021, the Company had $0.4 million of residential real estate in the process of foreclosure. The Company follows FHFA guidelines on single-family foreclosures and real estate owned evictions on portfolio loans. The agency has extended the moratoriums on single-family foreclosures and real estate owned evictions until at least June 30, 2021. Additionally, the Company follows all COVID-19 related state foreclosure and eviction orders. As these guidelines and orders may likely be updated, most foreclosures will be delayed into late-2021 or beyond.</w:t>
      </w:r>
    </w:p>
    <w:p>
      <w:pPr>
        <w:spacing w:after="0" w:line="160" w:lineRule="exact"/>
        <w:rPr>
          <w:sz w:val="20"/>
          <w:szCs w:val="20"/>
          <w:color w:val="auto"/>
        </w:rPr>
      </w:pPr>
    </w:p>
    <w:p>
      <w:pPr>
        <w:ind w:left="60" w:right="79"/>
        <w:spacing w:after="0" w:line="241" w:lineRule="auto"/>
        <w:rPr>
          <w:sz w:val="20"/>
          <w:szCs w:val="20"/>
          <w:color w:val="auto"/>
        </w:rPr>
      </w:pPr>
      <w:r>
        <w:rPr>
          <w:rFonts w:ascii="Arial" w:cs="Arial" w:eastAsia="Arial" w:hAnsi="Arial"/>
          <w:sz w:val="18"/>
          <w:szCs w:val="18"/>
          <w:color w:val="auto"/>
        </w:rPr>
        <w:t xml:space="preserve">The following tables provide details of loans evaluated individually, segregated by category. The Company evaluates loans with disparate risk characteristics on an individual basis. The unpaid contractual principal balance represents the customer outstanding balance excluding any partial charge-offs. Amortized cost represents customer balances net of any partial charge-offs recognized on the loan. Average amortized cost is calculated using the most recent four quarters </w:t>
      </w:r>
      <w:r>
        <w:rPr>
          <w:rFonts w:ascii="Arial" w:cs="Arial" w:eastAsia="Arial" w:hAnsi="Arial"/>
          <w:sz w:val="18"/>
          <w:szCs w:val="18"/>
          <w:i w:val="1"/>
          <w:iCs w:val="1"/>
          <w:color w:val="auto"/>
        </w:rPr>
        <w:t>(dollars 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18"/>
          <w:szCs w:val="18"/>
          <w:b w:val="1"/>
          <w:bCs w:val="1"/>
          <w:color w:val="auto"/>
        </w:rPr>
        <w:t>FIRST BUSEY CORPORATION</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w:t>
      </w:r>
    </w:p>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20"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35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7"/>
          </w:tcPr>
          <w:p>
            <w:pPr>
              <w:jc w:val="center"/>
              <w:ind w:right="260"/>
              <w:spacing w:after="0"/>
              <w:rPr>
                <w:sz w:val="20"/>
                <w:szCs w:val="20"/>
                <w:color w:val="auto"/>
              </w:rPr>
            </w:pPr>
            <w:r>
              <w:rPr>
                <w:rFonts w:ascii="Arial" w:cs="Arial" w:eastAsia="Arial" w:hAnsi="Arial"/>
                <w:sz w:val="14"/>
                <w:szCs w:val="14"/>
                <w:b w:val="1"/>
                <w:bCs w:val="1"/>
                <w:color w:val="auto"/>
                <w:w w:val="96"/>
              </w:rPr>
              <w:t>March 31, 2021</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r>
      <w:tr>
        <w:trPr>
          <w:trHeight w:val="133"/>
        </w:trPr>
        <w:tc>
          <w:tcPr>
            <w:tcW w:w="3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92"/>
              </w:rPr>
              <w:t>Unpaid</w:t>
            </w:r>
          </w:p>
        </w:tc>
        <w:tc>
          <w:tcPr>
            <w:tcW w:w="20" w:type="dxa"/>
            <w:vAlign w:val="bottom"/>
          </w:tcPr>
          <w:p>
            <w:pPr>
              <w:spacing w:after="0"/>
              <w:rPr>
                <w:sz w:val="11"/>
                <w:szCs w:val="11"/>
                <w:color w:val="auto"/>
              </w:rPr>
            </w:pPr>
          </w:p>
        </w:tc>
        <w:tc>
          <w:tcPr>
            <w:tcW w:w="820" w:type="dxa"/>
            <w:vAlign w:val="bottom"/>
            <w:gridSpan w:val="3"/>
          </w:tcPr>
          <w:p>
            <w:pPr>
              <w:jc w:val="center"/>
              <w:ind w:right="160"/>
              <w:spacing w:after="0" w:line="133" w:lineRule="exact"/>
              <w:rPr>
                <w:sz w:val="20"/>
                <w:szCs w:val="20"/>
                <w:color w:val="auto"/>
              </w:rPr>
            </w:pPr>
            <w:r>
              <w:rPr>
                <w:rFonts w:ascii="Arial" w:cs="Arial" w:eastAsia="Arial" w:hAnsi="Arial"/>
                <w:sz w:val="14"/>
                <w:szCs w:val="14"/>
                <w:b w:val="1"/>
                <w:bCs w:val="1"/>
                <w:color w:val="auto"/>
                <w:w w:val="96"/>
              </w:rPr>
              <w:t>Amortized</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62"/>
        </w:trPr>
        <w:tc>
          <w:tcPr>
            <w:tcW w:w="3520" w:type="dxa"/>
            <w:vAlign w:val="bottom"/>
          </w:tcPr>
          <w:p>
            <w:pPr>
              <w:spacing w:after="0"/>
              <w:rPr>
                <w:sz w:val="14"/>
                <w:szCs w:val="14"/>
                <w:color w:val="auto"/>
              </w:rPr>
            </w:pPr>
          </w:p>
        </w:tc>
        <w:tc>
          <w:tcPr>
            <w:tcW w:w="900" w:type="dxa"/>
            <w:vAlign w:val="bottom"/>
            <w:gridSpan w:val="4"/>
          </w:tcPr>
          <w:p>
            <w:pPr>
              <w:spacing w:after="0"/>
              <w:rPr>
                <w:sz w:val="20"/>
                <w:szCs w:val="20"/>
                <w:color w:val="auto"/>
              </w:rPr>
            </w:pPr>
            <w:r>
              <w:rPr>
                <w:rFonts w:ascii="Arial" w:cs="Arial" w:eastAsia="Arial" w:hAnsi="Arial"/>
                <w:sz w:val="14"/>
                <w:szCs w:val="14"/>
                <w:b w:val="1"/>
                <w:bCs w:val="1"/>
                <w:color w:val="auto"/>
              </w:rPr>
              <w:t>Contractual</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Cost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3"/>
              </w:rPr>
              <w:t>Amortized</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Total</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center"/>
              <w:ind w:right="35"/>
              <w:spacing w:after="0"/>
              <w:rPr>
                <w:sz w:val="20"/>
                <w:szCs w:val="20"/>
                <w:color w:val="auto"/>
              </w:rPr>
            </w:pPr>
            <w:r>
              <w:rPr>
                <w:rFonts w:ascii="Arial" w:cs="Arial" w:eastAsia="Arial" w:hAnsi="Arial"/>
                <w:sz w:val="14"/>
                <w:szCs w:val="14"/>
                <w:b w:val="1"/>
                <w:bCs w:val="1"/>
                <w:color w:val="auto"/>
                <w:w w:val="90"/>
              </w:rPr>
              <w:t>Average</w:t>
            </w:r>
          </w:p>
        </w:tc>
      </w:tr>
      <w:tr>
        <w:trPr>
          <w:trHeight w:val="162"/>
        </w:trPr>
        <w:tc>
          <w:tcPr>
            <w:tcW w:w="3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4"/>
              </w:rPr>
              <w:t>Principal</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with No</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9"/>
              </w:rPr>
              <w:t>Cost</w:t>
            </w:r>
          </w:p>
        </w:tc>
        <w:tc>
          <w:tcPr>
            <w:tcW w:w="20" w:type="dxa"/>
            <w:vAlign w:val="bottom"/>
          </w:tcPr>
          <w:p>
            <w:pPr>
              <w:spacing w:after="0"/>
              <w:rPr>
                <w:sz w:val="14"/>
                <w:szCs w:val="14"/>
                <w:color w:val="auto"/>
              </w:rPr>
            </w:pPr>
          </w:p>
        </w:tc>
        <w:tc>
          <w:tcPr>
            <w:tcW w:w="8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3"/>
              </w:rPr>
              <w:t>Amortized</w:t>
            </w:r>
          </w:p>
        </w:tc>
        <w:tc>
          <w:tcPr>
            <w:tcW w:w="20" w:type="dxa"/>
            <w:vAlign w:val="bottom"/>
          </w:tcPr>
          <w:p>
            <w:pPr>
              <w:spacing w:after="0"/>
              <w:rPr>
                <w:sz w:val="14"/>
                <w:szCs w:val="14"/>
                <w:color w:val="auto"/>
              </w:rPr>
            </w:pPr>
          </w:p>
        </w:tc>
        <w:tc>
          <w:tcPr>
            <w:tcW w:w="780" w:type="dxa"/>
            <w:vAlign w:val="bottom"/>
            <w:gridSpan w:val="4"/>
          </w:tcPr>
          <w:p>
            <w:pPr>
              <w:ind w:left="80"/>
              <w:spacing w:after="0"/>
              <w:rPr>
                <w:sz w:val="20"/>
                <w:szCs w:val="20"/>
                <w:color w:val="auto"/>
              </w:rPr>
            </w:pPr>
            <w:r>
              <w:rPr>
                <w:rFonts w:ascii="Arial" w:cs="Arial" w:eastAsia="Arial" w:hAnsi="Arial"/>
                <w:sz w:val="14"/>
                <w:szCs w:val="14"/>
                <w:b w:val="1"/>
                <w:bCs w:val="1"/>
                <w:color w:val="auto"/>
              </w:rPr>
              <w:t>Related</w:t>
            </w:r>
          </w:p>
        </w:tc>
        <w:tc>
          <w:tcPr>
            <w:tcW w:w="20" w:type="dxa"/>
            <w:vAlign w:val="bottom"/>
          </w:tcPr>
          <w:p>
            <w:pPr>
              <w:spacing w:after="0"/>
              <w:rPr>
                <w:sz w:val="14"/>
                <w:szCs w:val="14"/>
                <w:color w:val="auto"/>
              </w:rPr>
            </w:pPr>
          </w:p>
        </w:tc>
        <w:tc>
          <w:tcPr>
            <w:tcW w:w="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Amortized</w:t>
            </w:r>
          </w:p>
        </w:tc>
      </w:tr>
      <w:tr>
        <w:trPr>
          <w:trHeight w:val="185"/>
        </w:trPr>
        <w:tc>
          <w:tcPr>
            <w:tcW w:w="3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Balance</w:t>
            </w:r>
          </w:p>
        </w:tc>
        <w:tc>
          <w:tcPr>
            <w:tcW w:w="20" w:type="dxa"/>
            <w:vAlign w:val="bottom"/>
          </w:tcPr>
          <w:p>
            <w:pPr>
              <w:spacing w:after="0"/>
              <w:rPr>
                <w:sz w:val="16"/>
                <w:szCs w:val="16"/>
                <w:color w:val="auto"/>
              </w:rPr>
            </w:pPr>
          </w:p>
        </w:tc>
        <w:tc>
          <w:tcPr>
            <w:tcW w:w="8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2"/>
              </w:rPr>
              <w:t>Allowance</w:t>
            </w:r>
          </w:p>
        </w:tc>
        <w:tc>
          <w:tcPr>
            <w:tcW w:w="20" w:type="dxa"/>
            <w:vAlign w:val="bottom"/>
          </w:tcPr>
          <w:p>
            <w:pPr>
              <w:spacing w:after="0"/>
              <w:rPr>
                <w:sz w:val="16"/>
                <w:szCs w:val="16"/>
                <w:color w:val="auto"/>
              </w:rPr>
            </w:pPr>
          </w:p>
        </w:tc>
        <w:tc>
          <w:tcPr>
            <w:tcW w:w="11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2"/>
              </w:rPr>
              <w:t>with Allowance</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Cost</w:t>
            </w:r>
          </w:p>
        </w:tc>
        <w:tc>
          <w:tcPr>
            <w:tcW w:w="800" w:type="dxa"/>
            <w:vAlign w:val="bottom"/>
            <w:gridSpan w:val="5"/>
          </w:tcPr>
          <w:p>
            <w:pPr>
              <w:ind w:left="20"/>
              <w:spacing w:after="0"/>
              <w:rPr>
                <w:sz w:val="20"/>
                <w:szCs w:val="20"/>
                <w:color w:val="auto"/>
              </w:rPr>
            </w:pPr>
            <w:r>
              <w:rPr>
                <w:rFonts w:ascii="Arial" w:cs="Arial" w:eastAsia="Arial" w:hAnsi="Arial"/>
                <w:sz w:val="14"/>
                <w:szCs w:val="14"/>
                <w:b w:val="1"/>
                <w:bCs w:val="1"/>
                <w:color w:val="auto"/>
              </w:rPr>
              <w:t>Allowance</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center"/>
              <w:ind w:right="55"/>
              <w:spacing w:after="0"/>
              <w:rPr>
                <w:sz w:val="20"/>
                <w:szCs w:val="20"/>
                <w:color w:val="auto"/>
              </w:rPr>
            </w:pPr>
            <w:r>
              <w:rPr>
                <w:rFonts w:ascii="Arial" w:cs="Arial" w:eastAsia="Arial" w:hAnsi="Arial"/>
                <w:sz w:val="14"/>
                <w:szCs w:val="14"/>
                <w:b w:val="1"/>
                <w:bCs w:val="1"/>
                <w:color w:val="auto"/>
                <w:w w:val="89"/>
              </w:rPr>
              <w:t>Cost</w:t>
            </w:r>
          </w:p>
        </w:tc>
      </w:tr>
      <w:tr>
        <w:trPr>
          <w:trHeight w:val="196"/>
        </w:trPr>
        <w:tc>
          <w:tcPr>
            <w:tcW w:w="352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Commercial</w:t>
            </w:r>
          </w:p>
        </w:tc>
        <w:tc>
          <w:tcPr>
            <w:tcW w:w="100" w:type="dxa"/>
            <w:vAlign w:val="bottom"/>
            <w:tcBorders>
              <w:top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16,008</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2,987</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4,817</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7,804</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2,483</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7,524</w:t>
            </w:r>
          </w:p>
        </w:tc>
      </w:tr>
      <w:tr>
        <w:trPr>
          <w:trHeight w:val="203"/>
        </w:trPr>
        <w:tc>
          <w:tcPr>
            <w:tcW w:w="3520" w:type="dxa"/>
            <w:vAlign w:val="bottom"/>
          </w:tcPr>
          <w:p>
            <w:pPr>
              <w:ind w:left="20"/>
              <w:spacing w:after="0" w:line="202" w:lineRule="exact"/>
              <w:rPr>
                <w:sz w:val="20"/>
                <w:szCs w:val="20"/>
                <w:color w:val="auto"/>
              </w:rPr>
            </w:pPr>
            <w:r>
              <w:rPr>
                <w:rFonts w:ascii="Arial" w:cs="Arial" w:eastAsia="Arial" w:hAnsi="Arial"/>
                <w:sz w:val="18"/>
                <w:szCs w:val="18"/>
                <w:color w:val="auto"/>
              </w:rPr>
              <w:t>Commercial real estate</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6,523</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5,552</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5,552</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8,075</w:t>
            </w:r>
          </w:p>
        </w:tc>
      </w:tr>
      <w:tr>
        <w:trPr>
          <w:trHeight w:val="203"/>
        </w:trPr>
        <w:tc>
          <w:tcPr>
            <w:tcW w:w="35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Real estate construction</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287</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287</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287</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450</w:t>
            </w:r>
          </w:p>
        </w:tc>
      </w:tr>
      <w:tr>
        <w:trPr>
          <w:trHeight w:val="203"/>
        </w:trPr>
        <w:tc>
          <w:tcPr>
            <w:tcW w:w="3520" w:type="dxa"/>
            <w:vAlign w:val="bottom"/>
          </w:tcPr>
          <w:p>
            <w:pPr>
              <w:ind w:left="20"/>
              <w:spacing w:after="0" w:line="202" w:lineRule="exact"/>
              <w:rPr>
                <w:sz w:val="20"/>
                <w:szCs w:val="20"/>
                <w:color w:val="auto"/>
              </w:rPr>
            </w:pPr>
            <w:r>
              <w:rPr>
                <w:rFonts w:ascii="Arial" w:cs="Arial" w:eastAsia="Arial" w:hAnsi="Arial"/>
                <w:sz w:val="18"/>
                <w:szCs w:val="18"/>
                <w:color w:val="auto"/>
              </w:rPr>
              <w:t>Retail real estate</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5,342</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4,959</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25</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4,984</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25</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5,560</w:t>
            </w:r>
          </w:p>
        </w:tc>
      </w:tr>
      <w:tr>
        <w:trPr>
          <w:trHeight w:val="203"/>
        </w:trPr>
        <w:tc>
          <w:tcPr>
            <w:tcW w:w="35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Retail other</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196"/>
        </w:trPr>
        <w:tc>
          <w:tcPr>
            <w:tcW w:w="3520" w:type="dxa"/>
            <w:vAlign w:val="bottom"/>
          </w:tcPr>
          <w:p>
            <w:pPr>
              <w:ind w:left="220"/>
              <w:spacing w:after="0" w:line="196" w:lineRule="exact"/>
              <w:rPr>
                <w:sz w:val="20"/>
                <w:szCs w:val="20"/>
                <w:color w:val="auto"/>
              </w:rPr>
            </w:pPr>
            <w:r>
              <w:rPr>
                <w:rFonts w:ascii="Arial" w:cs="Arial" w:eastAsia="Arial" w:hAnsi="Arial"/>
                <w:sz w:val="18"/>
                <w:szCs w:val="18"/>
                <w:color w:val="auto"/>
              </w:rPr>
              <w:t>Loans evaluated individually</w:t>
            </w:r>
          </w:p>
        </w:tc>
        <w:tc>
          <w:tcPr>
            <w:tcW w:w="100" w:type="dxa"/>
            <w:vAlign w:val="bottom"/>
            <w:tcBorders>
              <w:top w:val="single" w:sz="8" w:color="auto"/>
              <w:bottom w:val="single" w:sz="8" w:color="auto"/>
            </w:tcBorders>
            <w:gridSpan w:val="2"/>
          </w:tcPr>
          <w:p>
            <w:pPr>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28,160</w:t>
            </w:r>
          </w:p>
        </w:tc>
        <w:tc>
          <w:tcPr>
            <w:tcW w:w="140" w:type="dxa"/>
            <w:vAlign w:val="bottom"/>
          </w:tcPr>
          <w:p>
            <w:pPr>
              <w:spacing w:after="0"/>
              <w:rPr>
                <w:sz w:val="17"/>
                <w:szCs w:val="17"/>
                <w:color w:val="auto"/>
              </w:rPr>
            </w:pPr>
          </w:p>
        </w:tc>
        <w:tc>
          <w:tcPr>
            <w:tcW w:w="700" w:type="dxa"/>
            <w:vAlign w:val="bottom"/>
            <w:tcBorders>
              <w:top w:val="single" w:sz="8" w:color="auto"/>
              <w:bottom w:val="single" w:sz="8" w:color="auto"/>
            </w:tcBorders>
            <w:gridSpan w:val="3"/>
          </w:tcPr>
          <w:p>
            <w:pPr>
              <w:jc w:val="right"/>
              <w:spacing w:after="0" w:line="196" w:lineRule="exact"/>
              <w:rPr>
                <w:sz w:val="20"/>
                <w:szCs w:val="20"/>
                <w:color w:val="auto"/>
              </w:rPr>
            </w:pPr>
            <w:r>
              <w:rPr>
                <w:rFonts w:ascii="Arial" w:cs="Arial" w:eastAsia="Arial" w:hAnsi="Arial"/>
                <w:sz w:val="18"/>
                <w:szCs w:val="18"/>
                <w:color w:val="auto"/>
                <w:w w:val="88"/>
              </w:rPr>
              <w:t>$ 13,785</w:t>
            </w:r>
          </w:p>
        </w:tc>
        <w:tc>
          <w:tcPr>
            <w:tcW w:w="140" w:type="dxa"/>
            <w:vAlign w:val="bottom"/>
          </w:tcPr>
          <w:p>
            <w:pPr>
              <w:spacing w:after="0"/>
              <w:rPr>
                <w:sz w:val="17"/>
                <w:szCs w:val="17"/>
                <w:color w:val="auto"/>
              </w:rPr>
            </w:pPr>
          </w:p>
        </w:tc>
        <w:tc>
          <w:tcPr>
            <w:tcW w:w="14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4,842</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4"/>
              </w:rPr>
              <w:t>18,627</w:t>
            </w:r>
          </w:p>
        </w:tc>
        <w:tc>
          <w:tcPr>
            <w:tcW w:w="140" w:type="dxa"/>
            <w:vAlign w:val="bottom"/>
          </w:tcPr>
          <w:p>
            <w:pPr>
              <w:spacing w:after="0"/>
              <w:rPr>
                <w:sz w:val="17"/>
                <w:szCs w:val="17"/>
                <w:color w:val="auto"/>
              </w:rPr>
            </w:pPr>
          </w:p>
        </w:tc>
        <w:tc>
          <w:tcPr>
            <w:tcW w:w="100" w:type="dxa"/>
            <w:vAlign w:val="bottom"/>
            <w:tcBorders>
              <w:top w:val="single" w:sz="8" w:color="auto"/>
              <w:bottom w:val="single" w:sz="8" w:color="auto"/>
            </w:tcBorders>
            <w:gridSpan w:val="2"/>
          </w:tcPr>
          <w:p>
            <w:pPr>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2,508</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21,609</w:t>
            </w:r>
          </w:p>
        </w:tc>
      </w:tr>
      <w:tr>
        <w:trPr>
          <w:trHeight w:val="20"/>
        </w:trPr>
        <w:tc>
          <w:tcPr>
            <w:tcW w:w="35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358"/>
        </w:trPr>
        <w:tc>
          <w:tcPr>
            <w:tcW w:w="3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7"/>
          </w:tcPr>
          <w:p>
            <w:pPr>
              <w:jc w:val="center"/>
              <w:ind w:right="260"/>
              <w:spacing w:after="0"/>
              <w:rPr>
                <w:sz w:val="20"/>
                <w:szCs w:val="20"/>
                <w:color w:val="auto"/>
              </w:rPr>
            </w:pPr>
            <w:r>
              <w:rPr>
                <w:rFonts w:ascii="Arial" w:cs="Arial" w:eastAsia="Arial" w:hAnsi="Arial"/>
                <w:sz w:val="14"/>
                <w:szCs w:val="14"/>
                <w:b w:val="1"/>
                <w:bCs w:val="1"/>
                <w:color w:val="auto"/>
                <w:w w:val="91"/>
              </w:rPr>
              <w:t>December 31, 2020</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r>
      <w:tr>
        <w:trPr>
          <w:trHeight w:val="133"/>
        </w:trPr>
        <w:tc>
          <w:tcPr>
            <w:tcW w:w="3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w w:val="96"/>
              </w:rPr>
              <w:t>Unpaid</w:t>
            </w:r>
          </w:p>
        </w:tc>
        <w:tc>
          <w:tcPr>
            <w:tcW w:w="20" w:type="dxa"/>
            <w:vAlign w:val="bottom"/>
          </w:tcPr>
          <w:p>
            <w:pPr>
              <w:spacing w:after="0"/>
              <w:rPr>
                <w:sz w:val="11"/>
                <w:szCs w:val="11"/>
                <w:color w:val="auto"/>
              </w:rPr>
            </w:pPr>
          </w:p>
        </w:tc>
        <w:tc>
          <w:tcPr>
            <w:tcW w:w="820" w:type="dxa"/>
            <w:vAlign w:val="bottom"/>
            <w:gridSpan w:val="3"/>
          </w:tcPr>
          <w:p>
            <w:pPr>
              <w:jc w:val="center"/>
              <w:ind w:right="120"/>
              <w:spacing w:after="0" w:line="133" w:lineRule="exact"/>
              <w:rPr>
                <w:sz w:val="20"/>
                <w:szCs w:val="20"/>
                <w:color w:val="auto"/>
              </w:rPr>
            </w:pPr>
            <w:r>
              <w:rPr>
                <w:rFonts w:ascii="Arial" w:cs="Arial" w:eastAsia="Arial" w:hAnsi="Arial"/>
                <w:sz w:val="14"/>
                <w:szCs w:val="14"/>
                <w:b w:val="1"/>
                <w:bCs w:val="1"/>
                <w:color w:val="auto"/>
                <w:w w:val="96"/>
              </w:rPr>
              <w:t>Amortized</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62"/>
        </w:trPr>
        <w:tc>
          <w:tcPr>
            <w:tcW w:w="3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5"/>
              </w:rPr>
              <w:t>Contractual</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Cost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6"/>
              </w:rPr>
              <w:t>Amortized</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Total</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center"/>
              <w:ind w:right="35"/>
              <w:spacing w:after="0"/>
              <w:rPr>
                <w:sz w:val="20"/>
                <w:szCs w:val="20"/>
                <w:color w:val="auto"/>
              </w:rPr>
            </w:pPr>
            <w:r>
              <w:rPr>
                <w:rFonts w:ascii="Arial" w:cs="Arial" w:eastAsia="Arial" w:hAnsi="Arial"/>
                <w:sz w:val="14"/>
                <w:szCs w:val="14"/>
                <w:b w:val="1"/>
                <w:bCs w:val="1"/>
                <w:color w:val="auto"/>
                <w:w w:val="90"/>
              </w:rPr>
              <w:t>Average</w:t>
            </w:r>
          </w:p>
        </w:tc>
      </w:tr>
      <w:tr>
        <w:trPr>
          <w:trHeight w:val="162"/>
        </w:trPr>
        <w:tc>
          <w:tcPr>
            <w:tcW w:w="3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Principal</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with No</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9"/>
              </w:rPr>
              <w:t>Cost</w:t>
            </w:r>
          </w:p>
        </w:tc>
        <w:tc>
          <w:tcPr>
            <w:tcW w:w="20" w:type="dxa"/>
            <w:vAlign w:val="bottom"/>
          </w:tcPr>
          <w:p>
            <w:pPr>
              <w:spacing w:after="0"/>
              <w:rPr>
                <w:sz w:val="14"/>
                <w:szCs w:val="14"/>
                <w:color w:val="auto"/>
              </w:rPr>
            </w:pPr>
          </w:p>
        </w:tc>
        <w:tc>
          <w:tcPr>
            <w:tcW w:w="8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6"/>
              </w:rPr>
              <w:t>Amortized</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rPr>
              <w:t>Related</w:t>
            </w:r>
          </w:p>
        </w:tc>
        <w:tc>
          <w:tcPr>
            <w:tcW w:w="20" w:type="dxa"/>
            <w:vAlign w:val="bottom"/>
          </w:tcPr>
          <w:p>
            <w:pPr>
              <w:spacing w:after="0"/>
              <w:rPr>
                <w:sz w:val="14"/>
                <w:szCs w:val="14"/>
                <w:color w:val="auto"/>
              </w:rPr>
            </w:pPr>
          </w:p>
        </w:tc>
        <w:tc>
          <w:tcPr>
            <w:tcW w:w="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Amortized</w:t>
            </w:r>
          </w:p>
        </w:tc>
      </w:tr>
      <w:tr>
        <w:trPr>
          <w:trHeight w:val="185"/>
        </w:trPr>
        <w:tc>
          <w:tcPr>
            <w:tcW w:w="3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Balance</w:t>
            </w:r>
          </w:p>
        </w:tc>
        <w:tc>
          <w:tcPr>
            <w:tcW w:w="20" w:type="dxa"/>
            <w:vAlign w:val="bottom"/>
          </w:tcPr>
          <w:p>
            <w:pPr>
              <w:spacing w:after="0"/>
              <w:rPr>
                <w:sz w:val="16"/>
                <w:szCs w:val="16"/>
                <w:color w:val="auto"/>
              </w:rPr>
            </w:pPr>
          </w:p>
        </w:tc>
        <w:tc>
          <w:tcPr>
            <w:tcW w:w="8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2"/>
              </w:rPr>
              <w:t>Allowance</w:t>
            </w:r>
          </w:p>
        </w:tc>
        <w:tc>
          <w:tcPr>
            <w:tcW w:w="20" w:type="dxa"/>
            <w:vAlign w:val="bottom"/>
          </w:tcPr>
          <w:p>
            <w:pPr>
              <w:spacing w:after="0"/>
              <w:rPr>
                <w:sz w:val="16"/>
                <w:szCs w:val="16"/>
                <w:color w:val="auto"/>
              </w:rPr>
            </w:pPr>
          </w:p>
        </w:tc>
        <w:tc>
          <w:tcPr>
            <w:tcW w:w="11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2"/>
              </w:rPr>
              <w:t>with Allowance</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Cost</w:t>
            </w:r>
          </w:p>
        </w:tc>
        <w:tc>
          <w:tcPr>
            <w:tcW w:w="20" w:type="dxa"/>
            <w:vAlign w:val="bottom"/>
          </w:tcPr>
          <w:p>
            <w:pPr>
              <w:spacing w:after="0"/>
              <w:rPr>
                <w:sz w:val="16"/>
                <w:szCs w:val="16"/>
                <w:color w:val="auto"/>
              </w:rPr>
            </w:pPr>
          </w:p>
        </w:tc>
        <w:tc>
          <w:tcPr>
            <w:tcW w:w="780" w:type="dxa"/>
            <w:vAlign w:val="bottom"/>
            <w:gridSpan w:val="4"/>
          </w:tcPr>
          <w:p>
            <w:pPr>
              <w:spacing w:after="0"/>
              <w:rPr>
                <w:sz w:val="20"/>
                <w:szCs w:val="20"/>
                <w:color w:val="auto"/>
              </w:rPr>
            </w:pPr>
            <w:r>
              <w:rPr>
                <w:rFonts w:ascii="Arial" w:cs="Arial" w:eastAsia="Arial" w:hAnsi="Arial"/>
                <w:sz w:val="14"/>
                <w:szCs w:val="14"/>
                <w:b w:val="1"/>
                <w:bCs w:val="1"/>
                <w:color w:val="auto"/>
              </w:rPr>
              <w:t>Allowance</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center"/>
              <w:ind w:right="15"/>
              <w:spacing w:after="0"/>
              <w:rPr>
                <w:sz w:val="20"/>
                <w:szCs w:val="20"/>
                <w:color w:val="auto"/>
              </w:rPr>
            </w:pPr>
            <w:r>
              <w:rPr>
                <w:rFonts w:ascii="Arial" w:cs="Arial" w:eastAsia="Arial" w:hAnsi="Arial"/>
                <w:sz w:val="14"/>
                <w:szCs w:val="14"/>
                <w:b w:val="1"/>
                <w:bCs w:val="1"/>
                <w:color w:val="auto"/>
                <w:w w:val="89"/>
              </w:rPr>
              <w:t>Cost</w:t>
            </w:r>
          </w:p>
        </w:tc>
      </w:tr>
      <w:tr>
        <w:trPr>
          <w:trHeight w:val="196"/>
        </w:trPr>
        <w:tc>
          <w:tcPr>
            <w:tcW w:w="352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Commercial</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16,771</w:t>
            </w: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4,001</w:t>
            </w: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4,371</w:t>
            </w: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8,372</w:t>
            </w: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1,600</w:t>
            </w: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7,920</w:t>
            </w:r>
          </w:p>
        </w:tc>
      </w:tr>
      <w:tr>
        <w:trPr>
          <w:trHeight w:val="203"/>
        </w:trPr>
        <w:tc>
          <w:tcPr>
            <w:tcW w:w="3520" w:type="dxa"/>
            <w:vAlign w:val="bottom"/>
          </w:tcPr>
          <w:p>
            <w:pPr>
              <w:ind w:left="20"/>
              <w:spacing w:after="0" w:line="202" w:lineRule="exact"/>
              <w:rPr>
                <w:sz w:val="20"/>
                <w:szCs w:val="20"/>
                <w:color w:val="auto"/>
              </w:rPr>
            </w:pPr>
            <w:r>
              <w:rPr>
                <w:rFonts w:ascii="Arial" w:cs="Arial" w:eastAsia="Arial" w:hAnsi="Arial"/>
                <w:sz w:val="18"/>
                <w:szCs w:val="18"/>
                <w:color w:val="auto"/>
              </w:rPr>
              <w:t>Commercial real estate</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7,406</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6,067</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6,067</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9,349</w:t>
            </w:r>
          </w:p>
        </w:tc>
      </w:tr>
      <w:tr>
        <w:trPr>
          <w:trHeight w:val="203"/>
        </w:trPr>
        <w:tc>
          <w:tcPr>
            <w:tcW w:w="35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Real estate construction</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292</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292</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292</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581</w:t>
            </w:r>
          </w:p>
        </w:tc>
      </w:tr>
      <w:tr>
        <w:trPr>
          <w:trHeight w:val="203"/>
        </w:trPr>
        <w:tc>
          <w:tcPr>
            <w:tcW w:w="3520" w:type="dxa"/>
            <w:vAlign w:val="bottom"/>
          </w:tcPr>
          <w:p>
            <w:pPr>
              <w:ind w:left="20"/>
              <w:spacing w:after="0" w:line="202" w:lineRule="exact"/>
              <w:rPr>
                <w:sz w:val="20"/>
                <w:szCs w:val="20"/>
                <w:color w:val="auto"/>
              </w:rPr>
            </w:pPr>
            <w:r>
              <w:rPr>
                <w:rFonts w:ascii="Arial" w:cs="Arial" w:eastAsia="Arial" w:hAnsi="Arial"/>
                <w:sz w:val="18"/>
                <w:szCs w:val="18"/>
                <w:color w:val="auto"/>
              </w:rPr>
              <w:t>Retail real estate</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5,873</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5,490</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25</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5,515</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25</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7,439</w:t>
            </w:r>
          </w:p>
        </w:tc>
      </w:tr>
      <w:tr>
        <w:trPr>
          <w:trHeight w:val="203"/>
        </w:trPr>
        <w:tc>
          <w:tcPr>
            <w:tcW w:w="35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Retail other</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w:t>
            </w:r>
          </w:p>
        </w:tc>
      </w:tr>
      <w:tr>
        <w:trPr>
          <w:trHeight w:val="196"/>
        </w:trPr>
        <w:tc>
          <w:tcPr>
            <w:tcW w:w="3520" w:type="dxa"/>
            <w:vAlign w:val="bottom"/>
          </w:tcPr>
          <w:p>
            <w:pPr>
              <w:ind w:left="220"/>
              <w:spacing w:after="0" w:line="196" w:lineRule="exact"/>
              <w:rPr>
                <w:sz w:val="20"/>
                <w:szCs w:val="20"/>
                <w:color w:val="auto"/>
              </w:rPr>
            </w:pPr>
            <w:r>
              <w:rPr>
                <w:rFonts w:ascii="Arial" w:cs="Arial" w:eastAsia="Arial" w:hAnsi="Arial"/>
                <w:sz w:val="18"/>
                <w:szCs w:val="18"/>
                <w:color w:val="auto"/>
              </w:rPr>
              <w:t>Loans evaluated individually</w:t>
            </w:r>
          </w:p>
        </w:tc>
        <w:tc>
          <w:tcPr>
            <w:tcW w:w="2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30,342</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w w:val="88"/>
              </w:rPr>
              <w:t>$ 15,850</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4,396</w:t>
            </w:r>
          </w:p>
        </w:tc>
        <w:tc>
          <w:tcPr>
            <w:tcW w:w="20" w:type="dxa"/>
            <w:vAlign w:val="bottom"/>
            <w:tcBorders>
              <w:top w:val="single" w:sz="8" w:color="auto"/>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20,246</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1,625</w:t>
            </w:r>
          </w:p>
        </w:tc>
        <w:tc>
          <w:tcPr>
            <w:tcW w:w="20" w:type="dxa"/>
            <w:vAlign w:val="bottom"/>
            <w:tcBorders>
              <w:top w:val="single" w:sz="8" w:color="auto"/>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25,299</w:t>
            </w:r>
          </w:p>
        </w:tc>
      </w:tr>
      <w:tr>
        <w:trPr>
          <w:trHeight w:val="20"/>
        </w:trPr>
        <w:tc>
          <w:tcPr>
            <w:tcW w:w="3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60" w:right="79"/>
        <w:spacing w:after="0" w:line="276" w:lineRule="auto"/>
        <w:rPr>
          <w:sz w:val="20"/>
          <w:szCs w:val="20"/>
          <w:color w:val="auto"/>
        </w:rPr>
      </w:pPr>
      <w:r>
        <w:rPr>
          <w:rFonts w:ascii="Arial" w:cs="Arial" w:eastAsia="Arial" w:hAnsi="Arial"/>
          <w:sz w:val="16"/>
          <w:szCs w:val="16"/>
          <w:color w:val="auto"/>
        </w:rPr>
        <w:t>Management's evaluation as to the ultimate collectability of loans includes estimates regarding future cash flows from operations and the value of property, real and personal, pledged as collateral. These estimates are affected by changing economic conditions and the economic prospects of borrowers. Collateral dependent loans are loans in which repayment is expected to be provided solely by the underlying collateral and there are no other available and reliable sources of repayment. Loans are written down to the lower of cost or fair value of underlying collateral, less estimated costs to sell. As of March 31, 2021, there were $15.3 million of collateral dependent loans secured by real estate or business assets.</w:t>
      </w:r>
    </w:p>
    <w:p>
      <w:pPr>
        <w:spacing w:after="0" w:line="148" w:lineRule="exact"/>
        <w:rPr>
          <w:sz w:val="20"/>
          <w:szCs w:val="20"/>
          <w:color w:val="auto"/>
        </w:rPr>
      </w:pPr>
    </w:p>
    <w:p>
      <w:pPr>
        <w:ind w:left="60" w:right="99"/>
        <w:spacing w:after="0" w:line="254" w:lineRule="auto"/>
        <w:rPr>
          <w:sz w:val="20"/>
          <w:szCs w:val="20"/>
          <w:color w:val="auto"/>
        </w:rPr>
      </w:pPr>
      <w:r>
        <w:rPr>
          <w:rFonts w:ascii="Arial" w:cs="Arial" w:eastAsia="Arial" w:hAnsi="Arial"/>
          <w:sz w:val="17"/>
          <w:szCs w:val="17"/>
          <w:color w:val="auto"/>
        </w:rPr>
        <w:t>Management estimates the ACL balance using relevant available information from internal and external sources relating to past events, current conditions, and reasonable and supportable forecasts. Historical credit loss experience provides the basis for the estimation of expected credit losses. The cumulative loss rate used as the basis for the estimate of credit losses is comprised of the Company’s historical loss experience beginning in 2010. As of March 31, 2021, the Company expects the markets in which it operates to experience continued economic uncertainty around the levels of delinquencies over the next 12 months. Management adjusted the historical loss experience for these expectations with an immediate reversion to historical loss rate beyond this forecast period. PPP loans were excluded from the ACL calculation as they are 100% government guaranteed.</w:t>
      </w:r>
    </w:p>
    <w:p>
      <w:pPr>
        <w:spacing w:after="0" w:line="167" w:lineRule="exact"/>
        <w:rPr>
          <w:sz w:val="20"/>
          <w:szCs w:val="20"/>
          <w:color w:val="auto"/>
        </w:rPr>
      </w:pPr>
    </w:p>
    <w:p>
      <w:pPr>
        <w:ind w:left="60" w:right="259"/>
        <w:spacing w:after="0" w:line="261" w:lineRule="auto"/>
        <w:rPr>
          <w:sz w:val="20"/>
          <w:szCs w:val="20"/>
          <w:color w:val="auto"/>
        </w:rPr>
      </w:pPr>
      <w:r>
        <w:rPr>
          <w:rFonts w:ascii="Arial" w:cs="Arial" w:eastAsia="Arial" w:hAnsi="Arial"/>
          <w:sz w:val="18"/>
          <w:szCs w:val="18"/>
          <w:color w:val="auto"/>
        </w:rPr>
        <w:t xml:space="preserve">The following table details activity in the ACL. Allocation of a portion of the ACL to one category does not preclude its availability to absorb losses in other categories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35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60" w:type="dxa"/>
            <w:vAlign w:val="bottom"/>
            <w:tcBorders>
              <w:bottom w:val="single" w:sz="8" w:color="auto"/>
            </w:tcBorders>
            <w:gridSpan w:val="11"/>
          </w:tcPr>
          <w:p>
            <w:pPr>
              <w:ind w:left="100"/>
              <w:spacing w:after="0"/>
              <w:rPr>
                <w:sz w:val="20"/>
                <w:szCs w:val="20"/>
                <w:color w:val="auto"/>
              </w:rPr>
            </w:pPr>
            <w:r>
              <w:rPr>
                <w:rFonts w:ascii="Arial" w:cs="Arial" w:eastAsia="Arial" w:hAnsi="Arial"/>
                <w:sz w:val="14"/>
                <w:szCs w:val="14"/>
                <w:b w:val="1"/>
                <w:bCs w:val="1"/>
                <w:color w:val="auto"/>
                <w:w w:val="99"/>
              </w:rPr>
              <w:t>As of and for the Three Months Ended March 31, 2021</w:t>
            </w: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84"/>
        </w:trPr>
        <w:tc>
          <w:tcPr>
            <w:tcW w:w="3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Commercial</w:t>
            </w:r>
          </w:p>
        </w:tc>
        <w:tc>
          <w:tcPr>
            <w:tcW w:w="960" w:type="dxa"/>
            <w:vAlign w:val="bottom"/>
            <w:gridSpan w:val="3"/>
          </w:tcPr>
          <w:p>
            <w:pPr>
              <w:ind w:left="60"/>
              <w:spacing w:after="0"/>
              <w:rPr>
                <w:sz w:val="20"/>
                <w:szCs w:val="20"/>
                <w:color w:val="auto"/>
              </w:rPr>
            </w:pPr>
            <w:r>
              <w:rPr>
                <w:rFonts w:ascii="Arial" w:cs="Arial" w:eastAsia="Arial" w:hAnsi="Arial"/>
                <w:sz w:val="14"/>
                <w:szCs w:val="14"/>
                <w:b w:val="1"/>
                <w:bCs w:val="1"/>
                <w:color w:val="auto"/>
              </w:rPr>
              <w:t>Real Estate</w:t>
            </w: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Retail</w:t>
            </w: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1"/>
        </w:trPr>
        <w:tc>
          <w:tcPr>
            <w:tcW w:w="3520" w:type="dxa"/>
            <w:vAlign w:val="bottom"/>
          </w:tcPr>
          <w:p>
            <w:pPr>
              <w:spacing w:after="0"/>
              <w:rPr>
                <w:sz w:val="17"/>
                <w:szCs w:val="17"/>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99"/>
              </w:rPr>
              <w:t>Commercial</w:t>
            </w:r>
          </w:p>
        </w:tc>
        <w:tc>
          <w:tcPr>
            <w:tcW w:w="100" w:type="dxa"/>
            <w:vAlign w:val="bottom"/>
          </w:tcPr>
          <w:p>
            <w:pPr>
              <w:spacing w:after="0"/>
              <w:rPr>
                <w:sz w:val="17"/>
                <w:szCs w:val="17"/>
                <w:color w:val="auto"/>
              </w:rPr>
            </w:pPr>
          </w:p>
        </w:tc>
        <w:tc>
          <w:tcPr>
            <w:tcW w:w="920" w:type="dxa"/>
            <w:vAlign w:val="bottom"/>
            <w:gridSpan w:val="3"/>
          </w:tcPr>
          <w:p>
            <w:pPr>
              <w:ind w:left="40"/>
              <w:spacing w:after="0"/>
              <w:rPr>
                <w:sz w:val="20"/>
                <w:szCs w:val="20"/>
                <w:color w:val="auto"/>
              </w:rPr>
            </w:pPr>
            <w:r>
              <w:rPr>
                <w:rFonts w:ascii="Arial" w:cs="Arial" w:eastAsia="Arial" w:hAnsi="Arial"/>
                <w:sz w:val="14"/>
                <w:szCs w:val="14"/>
                <w:b w:val="1"/>
                <w:bCs w:val="1"/>
                <w:color w:val="auto"/>
              </w:rPr>
              <w:t>Real Estate</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Construction</w:t>
            </w:r>
          </w:p>
        </w:tc>
        <w:tc>
          <w:tcPr>
            <w:tcW w:w="8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Real Estate</w:t>
            </w: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rPr>
              <w:t>Retail Other</w:t>
            </w:r>
          </w:p>
        </w:tc>
        <w:tc>
          <w:tcPr>
            <w:tcW w:w="120" w:type="dxa"/>
            <w:vAlign w:val="bottom"/>
          </w:tcPr>
          <w:p>
            <w:pPr>
              <w:spacing w:after="0"/>
              <w:rPr>
                <w:sz w:val="17"/>
                <w:szCs w:val="17"/>
                <w:color w:val="auto"/>
              </w:rPr>
            </w:pPr>
          </w:p>
        </w:tc>
        <w:tc>
          <w:tcPr>
            <w:tcW w:w="70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r>
      <w:tr>
        <w:trPr>
          <w:trHeight w:val="196"/>
        </w:trPr>
        <w:tc>
          <w:tcPr>
            <w:tcW w:w="3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ACL beginning balance</w:t>
            </w:r>
          </w:p>
        </w:tc>
        <w:tc>
          <w:tcPr>
            <w:tcW w:w="1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23,866</w:t>
            </w: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46,230</w:t>
            </w: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8,193</w:t>
            </w:r>
          </w:p>
        </w:tc>
        <w:tc>
          <w:tcPr>
            <w:tcW w:w="1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8"/>
              </w:rPr>
              <w:t>$ 21,992</w:t>
            </w:r>
          </w:p>
        </w:tc>
        <w:tc>
          <w:tcPr>
            <w:tcW w:w="1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767</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5"/>
              </w:rPr>
              <w:t>101,048</w:t>
            </w:r>
          </w:p>
        </w:tc>
        <w:tc>
          <w:tcPr>
            <w:tcW w:w="20" w:type="dxa"/>
            <w:vAlign w:val="bottom"/>
          </w:tcPr>
          <w:p>
            <w:pPr>
              <w:spacing w:after="0"/>
              <w:rPr>
                <w:sz w:val="17"/>
                <w:szCs w:val="17"/>
                <w:color w:val="auto"/>
              </w:rPr>
            </w:pPr>
          </w:p>
        </w:tc>
      </w:tr>
      <w:tr>
        <w:trPr>
          <w:trHeight w:val="203"/>
        </w:trPr>
        <w:tc>
          <w:tcPr>
            <w:tcW w:w="3520" w:type="dxa"/>
            <w:vAlign w:val="bottom"/>
          </w:tcPr>
          <w:p>
            <w:pPr>
              <w:ind w:left="220"/>
              <w:spacing w:after="0"/>
              <w:rPr>
                <w:sz w:val="20"/>
                <w:szCs w:val="20"/>
                <w:color w:val="auto"/>
              </w:rPr>
            </w:pPr>
            <w:r>
              <w:rPr>
                <w:rFonts w:ascii="Arial" w:cs="Arial" w:eastAsia="Arial" w:hAnsi="Arial"/>
                <w:sz w:val="16"/>
                <w:szCs w:val="16"/>
                <w:color w:val="auto"/>
              </w:rPr>
              <w:t>Provision for credit losses</w:t>
            </w:r>
          </w:p>
        </w:tc>
        <w:tc>
          <w:tcPr>
            <w:tcW w:w="160" w:type="dxa"/>
            <w:vAlign w:val="bottom"/>
          </w:tcPr>
          <w:p>
            <w:pPr>
              <w:spacing w:after="0"/>
              <w:rPr>
                <w:sz w:val="17"/>
                <w:szCs w:val="17"/>
                <w:color w:val="auto"/>
              </w:rPr>
            </w:pPr>
          </w:p>
        </w:tc>
        <w:tc>
          <w:tcPr>
            <w:tcW w:w="6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(665)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(2,695)</w:t>
            </w:r>
          </w:p>
        </w:tc>
        <w:tc>
          <w:tcPr>
            <w:tcW w:w="180" w:type="dxa"/>
            <w:vAlign w:val="bottom"/>
          </w:tcPr>
          <w:p>
            <w:pPr>
              <w:spacing w:after="0"/>
              <w:rPr>
                <w:sz w:val="17"/>
                <w:szCs w:val="17"/>
                <w:color w:val="auto"/>
              </w:rPr>
            </w:pPr>
          </w:p>
        </w:tc>
        <w:tc>
          <w:tcPr>
            <w:tcW w:w="7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(1,250)</w:t>
            </w:r>
          </w:p>
        </w:tc>
        <w:tc>
          <w:tcPr>
            <w:tcW w:w="8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(2,276)</w:t>
            </w:r>
          </w:p>
        </w:tc>
        <w:tc>
          <w:tcPr>
            <w:tcW w:w="24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90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(6,796)</w:t>
            </w:r>
          </w:p>
        </w:tc>
        <w:tc>
          <w:tcPr>
            <w:tcW w:w="20" w:type="dxa"/>
            <w:vAlign w:val="bottom"/>
          </w:tcPr>
          <w:p>
            <w:pPr>
              <w:spacing w:after="0"/>
              <w:rPr>
                <w:sz w:val="17"/>
                <w:szCs w:val="17"/>
                <w:color w:val="auto"/>
              </w:rPr>
            </w:pPr>
          </w:p>
        </w:tc>
      </w:tr>
      <w:tr>
        <w:trPr>
          <w:trHeight w:val="203"/>
        </w:trPr>
        <w:tc>
          <w:tcPr>
            <w:tcW w:w="3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Charged-off</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(262)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(303)</w:t>
            </w: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(209)</w:t>
            </w:r>
          </w:p>
        </w:tc>
        <w:tc>
          <w:tcPr>
            <w:tcW w:w="8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(187)</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(964)</w:t>
            </w:r>
          </w:p>
        </w:tc>
        <w:tc>
          <w:tcPr>
            <w:tcW w:w="20" w:type="dxa"/>
            <w:vAlign w:val="bottom"/>
          </w:tcPr>
          <w:p>
            <w:pPr>
              <w:spacing w:after="0"/>
              <w:rPr>
                <w:sz w:val="17"/>
                <w:szCs w:val="17"/>
                <w:color w:val="auto"/>
              </w:rPr>
            </w:pPr>
          </w:p>
        </w:tc>
      </w:tr>
      <w:tr>
        <w:trPr>
          <w:trHeight w:val="203"/>
        </w:trPr>
        <w:tc>
          <w:tcPr>
            <w:tcW w:w="35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Recoveries</w:t>
            </w: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86</w:t>
            </w:r>
          </w:p>
        </w:tc>
        <w:tc>
          <w:tcPr>
            <w:tcW w:w="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74</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145</w:t>
            </w:r>
          </w:p>
        </w:tc>
        <w:tc>
          <w:tcPr>
            <w:tcW w:w="16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265</w:t>
            </w:r>
          </w:p>
        </w:tc>
        <w:tc>
          <w:tcPr>
            <w:tcW w:w="1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85</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655</w:t>
            </w:r>
          </w:p>
        </w:tc>
        <w:tc>
          <w:tcPr>
            <w:tcW w:w="20" w:type="dxa"/>
            <w:vAlign w:val="bottom"/>
          </w:tcPr>
          <w:p>
            <w:pPr>
              <w:spacing w:after="0"/>
              <w:rPr>
                <w:sz w:val="17"/>
                <w:szCs w:val="17"/>
                <w:color w:val="auto"/>
              </w:rPr>
            </w:pPr>
          </w:p>
        </w:tc>
      </w:tr>
      <w:tr>
        <w:trPr>
          <w:trHeight w:val="196"/>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ACL ending balance</w:t>
            </w:r>
          </w:p>
        </w:tc>
        <w:tc>
          <w:tcPr>
            <w:tcW w:w="1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23,025</w:t>
            </w: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43,306</w:t>
            </w:r>
          </w:p>
        </w:tc>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6,879</w:t>
            </w:r>
          </w:p>
        </w:tc>
        <w:tc>
          <w:tcPr>
            <w:tcW w:w="16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8"/>
              </w:rPr>
              <w:t>$ 19,978</w:t>
            </w:r>
          </w:p>
        </w:tc>
        <w:tc>
          <w:tcPr>
            <w:tcW w:w="1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755</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93,943</w:t>
            </w:r>
          </w:p>
        </w:tc>
        <w:tc>
          <w:tcPr>
            <w:tcW w:w="20" w:type="dxa"/>
            <w:vAlign w:val="bottom"/>
          </w:tcPr>
          <w:p>
            <w:pPr>
              <w:spacing w:after="0"/>
              <w:rPr>
                <w:sz w:val="17"/>
                <w:szCs w:val="17"/>
                <w:color w:val="auto"/>
              </w:rPr>
            </w:pPr>
          </w:p>
        </w:tc>
      </w:tr>
      <w:tr>
        <w:trPr>
          <w:trHeight w:val="20"/>
        </w:trPr>
        <w:tc>
          <w:tcPr>
            <w:tcW w:w="3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31"/>
        </w:trPr>
        <w:tc>
          <w:tcPr>
            <w:tcW w:w="3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w w:val="99"/>
              </w:rPr>
              <w:t>21</w:t>
            </w: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7"/>
        </w:trPr>
        <w:tc>
          <w:tcPr>
            <w:tcW w:w="35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21" w:name="page22"/>
    <w:bookmarkEnd w:id="21"/>
    <w:p>
      <w:pPr>
        <w:jc w:val="center"/>
        <w:ind w:right="19"/>
        <w:spacing w:after="0"/>
        <w:rPr>
          <w:sz w:val="20"/>
          <w:szCs w:val="20"/>
          <w:color w:val="auto"/>
        </w:rPr>
      </w:pPr>
      <w:r>
        <w:rPr>
          <w:rFonts w:ascii="Arial" w:cs="Arial" w:eastAsia="Arial" w:hAnsi="Arial"/>
          <w:sz w:val="18"/>
          <w:szCs w:val="18"/>
          <w:b w:val="1"/>
          <w:bCs w:val="1"/>
          <w:color w:val="auto"/>
        </w:rPr>
        <w:t>FIRST BUSEY CORPORATION</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w:t>
      </w:r>
    </w:p>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60"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36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640" w:type="dxa"/>
            <w:vAlign w:val="bottom"/>
            <w:tcBorders>
              <w:bottom w:val="single" w:sz="8" w:color="auto"/>
            </w:tcBorders>
            <w:gridSpan w:val="11"/>
          </w:tcPr>
          <w:p>
            <w:pPr>
              <w:ind w:left="40"/>
              <w:spacing w:after="0"/>
              <w:rPr>
                <w:sz w:val="20"/>
                <w:szCs w:val="20"/>
                <w:color w:val="auto"/>
              </w:rPr>
            </w:pPr>
            <w:r>
              <w:rPr>
                <w:rFonts w:ascii="Arial" w:cs="Arial" w:eastAsia="Arial" w:hAnsi="Arial"/>
                <w:sz w:val="14"/>
                <w:szCs w:val="14"/>
                <w:b w:val="1"/>
                <w:bCs w:val="1"/>
                <w:color w:val="auto"/>
              </w:rPr>
              <w:t>As of and for the Three Months Ended March 31, 2020</w:t>
            </w:r>
          </w:p>
        </w:tc>
        <w:tc>
          <w:tcPr>
            <w:tcW w:w="720" w:type="dxa"/>
            <w:vAlign w:val="bottom"/>
            <w:tcBorders>
              <w:bottom w:val="single" w:sz="8" w:color="auto"/>
            </w:tcBorders>
          </w:tcPr>
          <w:p>
            <w:pPr>
              <w:spacing w:after="0"/>
              <w:rPr>
                <w:sz w:val="16"/>
                <w:szCs w:val="16"/>
                <w:color w:val="auto"/>
              </w:rPr>
            </w:pPr>
          </w:p>
        </w:tc>
      </w:tr>
      <w:tr>
        <w:trPr>
          <w:trHeight w:val="184"/>
        </w:trPr>
        <w:tc>
          <w:tcPr>
            <w:tcW w:w="3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Commercial</w:t>
            </w:r>
          </w:p>
        </w:tc>
        <w:tc>
          <w:tcPr>
            <w:tcW w:w="960" w:type="dxa"/>
            <w:vAlign w:val="bottom"/>
            <w:gridSpan w:val="3"/>
          </w:tcPr>
          <w:p>
            <w:pPr>
              <w:ind w:left="60"/>
              <w:spacing w:after="0"/>
              <w:rPr>
                <w:sz w:val="20"/>
                <w:szCs w:val="20"/>
                <w:color w:val="auto"/>
              </w:rPr>
            </w:pPr>
            <w:r>
              <w:rPr>
                <w:rFonts w:ascii="Arial" w:cs="Arial" w:eastAsia="Arial" w:hAnsi="Arial"/>
                <w:sz w:val="14"/>
                <w:szCs w:val="14"/>
                <w:b w:val="1"/>
                <w:bCs w:val="1"/>
                <w:color w:val="auto"/>
              </w:rPr>
              <w:t>Real Estate</w:t>
            </w:r>
          </w:p>
        </w:tc>
        <w:tc>
          <w:tcPr>
            <w:tcW w:w="8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2"/>
              </w:rPr>
              <w:t>Retail Real</w:t>
            </w: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01"/>
        </w:trPr>
        <w:tc>
          <w:tcPr>
            <w:tcW w:w="3620" w:type="dxa"/>
            <w:vAlign w:val="bottom"/>
          </w:tcPr>
          <w:p>
            <w:pPr>
              <w:spacing w:after="0"/>
              <w:rPr>
                <w:sz w:val="17"/>
                <w:szCs w:val="17"/>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Commercial</w:t>
            </w:r>
          </w:p>
        </w:tc>
        <w:tc>
          <w:tcPr>
            <w:tcW w:w="920" w:type="dxa"/>
            <w:vAlign w:val="bottom"/>
            <w:gridSpan w:val="3"/>
          </w:tcPr>
          <w:p>
            <w:pPr>
              <w:ind w:left="40"/>
              <w:spacing w:after="0"/>
              <w:rPr>
                <w:sz w:val="20"/>
                <w:szCs w:val="20"/>
                <w:color w:val="auto"/>
              </w:rPr>
            </w:pPr>
            <w:r>
              <w:rPr>
                <w:rFonts w:ascii="Arial" w:cs="Arial" w:eastAsia="Arial" w:hAnsi="Arial"/>
                <w:sz w:val="14"/>
                <w:szCs w:val="14"/>
                <w:b w:val="1"/>
                <w:bCs w:val="1"/>
                <w:color w:val="auto"/>
              </w:rPr>
              <w:t>Real Estate</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Construction</w:t>
            </w:r>
          </w:p>
        </w:tc>
        <w:tc>
          <w:tcPr>
            <w:tcW w:w="8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Estate</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Retail Other</w:t>
            </w:r>
          </w:p>
        </w:tc>
        <w:tc>
          <w:tcPr>
            <w:tcW w:w="720" w:type="dxa"/>
            <w:vAlign w:val="bottom"/>
          </w:tcPr>
          <w:p>
            <w:pPr>
              <w:jc w:val="right"/>
              <w:ind w:right="113"/>
              <w:spacing w:after="0"/>
              <w:rPr>
                <w:sz w:val="20"/>
                <w:szCs w:val="20"/>
                <w:color w:val="auto"/>
              </w:rPr>
            </w:pPr>
            <w:r>
              <w:rPr>
                <w:rFonts w:ascii="Arial" w:cs="Arial" w:eastAsia="Arial" w:hAnsi="Arial"/>
                <w:sz w:val="14"/>
                <w:szCs w:val="14"/>
                <w:b w:val="1"/>
                <w:bCs w:val="1"/>
                <w:color w:val="auto"/>
              </w:rPr>
              <w:t>Total</w:t>
            </w:r>
          </w:p>
        </w:tc>
      </w:tr>
      <w:tr>
        <w:trPr>
          <w:trHeight w:val="196"/>
        </w:trPr>
        <w:tc>
          <w:tcPr>
            <w:tcW w:w="3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7"/>
              </w:rPr>
              <w:t>Beginning balance, prior to adoption of ASC 326-30</w:t>
            </w:r>
          </w:p>
        </w:tc>
        <w:tc>
          <w:tcPr>
            <w:tcW w:w="1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18,291</w:t>
            </w: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21,190</w:t>
            </w:r>
          </w:p>
        </w:tc>
        <w:tc>
          <w:tcPr>
            <w:tcW w:w="1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3,204</w:t>
            </w:r>
          </w:p>
        </w:tc>
        <w:tc>
          <w:tcPr>
            <w:tcW w:w="1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8"/>
              </w:rPr>
              <w:t>$ 10,495</w:t>
            </w: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568</w:t>
            </w:r>
          </w:p>
        </w:tc>
        <w:tc>
          <w:tcPr>
            <w:tcW w:w="1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$ 53,748</w:t>
            </w:r>
          </w:p>
        </w:tc>
      </w:tr>
      <w:tr>
        <w:trPr>
          <w:trHeight w:val="203"/>
        </w:trPr>
        <w:tc>
          <w:tcPr>
            <w:tcW w:w="3620" w:type="dxa"/>
            <w:vAlign w:val="bottom"/>
          </w:tcPr>
          <w:p>
            <w:pPr>
              <w:ind w:left="220"/>
              <w:spacing w:after="0"/>
              <w:rPr>
                <w:sz w:val="20"/>
                <w:szCs w:val="20"/>
                <w:color w:val="auto"/>
              </w:rPr>
            </w:pPr>
            <w:r>
              <w:rPr>
                <w:rFonts w:ascii="Arial" w:cs="Arial" w:eastAsia="Arial" w:hAnsi="Arial"/>
                <w:sz w:val="16"/>
                <w:szCs w:val="16"/>
                <w:color w:val="auto"/>
              </w:rPr>
              <w:t>Adoption of ASC 326-30</w:t>
            </w:r>
          </w:p>
        </w:tc>
        <w:tc>
          <w:tcPr>
            <w:tcW w:w="1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715</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9,306</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2,954</w:t>
            </w:r>
          </w:p>
        </w:tc>
        <w:tc>
          <w:tcPr>
            <w:tcW w:w="14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3,292</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566</w:t>
            </w:r>
          </w:p>
        </w:tc>
        <w:tc>
          <w:tcPr>
            <w:tcW w:w="14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16,833</w:t>
            </w:r>
          </w:p>
        </w:tc>
      </w:tr>
      <w:tr>
        <w:trPr>
          <w:trHeight w:val="203"/>
        </w:trPr>
        <w:tc>
          <w:tcPr>
            <w:tcW w:w="3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Provision for credit losses</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5,673</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6,526</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889</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4,037</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91</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17,216</w:t>
            </w:r>
          </w:p>
        </w:tc>
      </w:tr>
      <w:tr>
        <w:trPr>
          <w:trHeight w:val="203"/>
        </w:trPr>
        <w:tc>
          <w:tcPr>
            <w:tcW w:w="3620" w:type="dxa"/>
            <w:vAlign w:val="bottom"/>
          </w:tcPr>
          <w:p>
            <w:pPr>
              <w:ind w:left="220"/>
              <w:spacing w:after="0"/>
              <w:rPr>
                <w:sz w:val="20"/>
                <w:szCs w:val="20"/>
                <w:color w:val="auto"/>
              </w:rPr>
            </w:pPr>
            <w:r>
              <w:rPr>
                <w:rFonts w:ascii="Arial" w:cs="Arial" w:eastAsia="Arial" w:hAnsi="Arial"/>
                <w:sz w:val="16"/>
                <w:szCs w:val="16"/>
                <w:color w:val="auto"/>
              </w:rPr>
              <w:t>Charged-off</w:t>
            </w:r>
          </w:p>
        </w:tc>
        <w:tc>
          <w:tcPr>
            <w:tcW w:w="160" w:type="dxa"/>
            <w:vAlign w:val="bottom"/>
          </w:tcPr>
          <w:p>
            <w:pPr>
              <w:spacing w:after="0"/>
              <w:rPr>
                <w:sz w:val="17"/>
                <w:szCs w:val="17"/>
                <w:color w:val="auto"/>
              </w:rPr>
            </w:pPr>
          </w:p>
        </w:tc>
        <w:tc>
          <w:tcPr>
            <w:tcW w:w="7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(2,042)</w:t>
            </w:r>
          </w:p>
        </w:tc>
        <w:tc>
          <w:tcPr>
            <w:tcW w:w="160" w:type="dxa"/>
            <w:vAlign w:val="bottom"/>
          </w:tcPr>
          <w:p>
            <w:pPr>
              <w:spacing w:after="0"/>
              <w:rPr>
                <w:sz w:val="17"/>
                <w:szCs w:val="17"/>
                <w:color w:val="auto"/>
              </w:rPr>
            </w:pPr>
          </w:p>
        </w:tc>
        <w:tc>
          <w:tcPr>
            <w:tcW w:w="7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(1,099)</w:t>
            </w:r>
          </w:p>
        </w:tc>
        <w:tc>
          <w:tcPr>
            <w:tcW w:w="220" w:type="dxa"/>
            <w:vAlign w:val="bottom"/>
          </w:tcPr>
          <w:p>
            <w:pPr>
              <w:spacing w:after="0"/>
              <w:rPr>
                <w:sz w:val="17"/>
                <w:szCs w:val="17"/>
                <w:color w:val="auto"/>
              </w:rPr>
            </w:pPr>
          </w:p>
        </w:tc>
        <w:tc>
          <w:tcPr>
            <w:tcW w:w="7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(708)</w:t>
            </w:r>
          </w:p>
        </w:tc>
        <w:tc>
          <w:tcPr>
            <w:tcW w:w="200" w:type="dxa"/>
            <w:vAlign w:val="bottom"/>
          </w:tcPr>
          <w:p>
            <w:pPr>
              <w:spacing w:after="0"/>
              <w:rPr>
                <w:sz w:val="17"/>
                <w:szCs w:val="17"/>
                <w:color w:val="auto"/>
              </w:rPr>
            </w:pPr>
          </w:p>
        </w:tc>
        <w:tc>
          <w:tcPr>
            <w:tcW w:w="7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(299)</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(4,148)</w:t>
            </w:r>
          </w:p>
        </w:tc>
      </w:tr>
      <w:tr>
        <w:trPr>
          <w:trHeight w:val="203"/>
        </w:trPr>
        <w:tc>
          <w:tcPr>
            <w:tcW w:w="3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Recoveries</w:t>
            </w:r>
          </w:p>
        </w:tc>
        <w:tc>
          <w:tcPr>
            <w:tcW w:w="16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88</w:t>
            </w:r>
          </w:p>
        </w:tc>
        <w:tc>
          <w:tcPr>
            <w:tcW w:w="1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44</w:t>
            </w:r>
          </w:p>
        </w:tc>
        <w:tc>
          <w:tcPr>
            <w:tcW w:w="1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146</w:t>
            </w:r>
          </w:p>
        </w:tc>
        <w:tc>
          <w:tcPr>
            <w:tcW w:w="140" w:type="dxa"/>
            <w:vAlign w:val="bottom"/>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338</w:t>
            </w:r>
          </w:p>
        </w:tc>
        <w:tc>
          <w:tcPr>
            <w:tcW w:w="1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119</w:t>
            </w:r>
          </w:p>
        </w:tc>
        <w:tc>
          <w:tcPr>
            <w:tcW w:w="140" w:type="dxa"/>
            <w:vAlign w:val="bottom"/>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735</w:t>
            </w:r>
          </w:p>
        </w:tc>
      </w:tr>
      <w:tr>
        <w:trPr>
          <w:trHeight w:val="196"/>
        </w:trPr>
        <w:tc>
          <w:tcPr>
            <w:tcW w:w="3620" w:type="dxa"/>
            <w:vAlign w:val="bottom"/>
          </w:tcPr>
          <w:p>
            <w:pPr>
              <w:ind w:left="20"/>
              <w:spacing w:after="0"/>
              <w:rPr>
                <w:sz w:val="20"/>
                <w:szCs w:val="20"/>
                <w:color w:val="auto"/>
              </w:rPr>
            </w:pPr>
            <w:r>
              <w:rPr>
                <w:rFonts w:ascii="Arial" w:cs="Arial" w:eastAsia="Arial" w:hAnsi="Arial"/>
                <w:sz w:val="16"/>
                <w:szCs w:val="16"/>
                <w:color w:val="auto"/>
              </w:rPr>
              <w:t>ACL ending balance</w:t>
            </w:r>
          </w:p>
        </w:tc>
        <w:tc>
          <w:tcPr>
            <w:tcW w:w="1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22,725</w:t>
            </w: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35,967</w:t>
            </w: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7,193</w:t>
            </w:r>
          </w:p>
        </w:tc>
        <w:tc>
          <w:tcPr>
            <w:tcW w:w="140" w:type="dxa"/>
            <w:vAlign w:val="bottom"/>
          </w:tcPr>
          <w:p>
            <w:pPr>
              <w:spacing w:after="0"/>
              <w:rPr>
                <w:sz w:val="17"/>
                <w:szCs w:val="17"/>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88"/>
              </w:rPr>
              <w:t>$ 17,454</w:t>
            </w:r>
          </w:p>
        </w:tc>
        <w:tc>
          <w:tcPr>
            <w:tcW w:w="160" w:type="dxa"/>
            <w:vAlign w:val="bottom"/>
          </w:tcPr>
          <w:p>
            <w:pPr>
              <w:spacing w:after="0"/>
              <w:rPr>
                <w:sz w:val="17"/>
                <w:szCs w:val="17"/>
                <w:color w:val="auto"/>
              </w:rPr>
            </w:pPr>
          </w:p>
        </w:tc>
        <w:tc>
          <w:tcPr>
            <w:tcW w:w="2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1,045</w:t>
            </w:r>
          </w:p>
        </w:tc>
        <w:tc>
          <w:tcPr>
            <w:tcW w:w="140" w:type="dxa"/>
            <w:vAlign w:val="bottom"/>
          </w:tcPr>
          <w:p>
            <w:pPr>
              <w:spacing w:after="0"/>
              <w:rPr>
                <w:sz w:val="17"/>
                <w:szCs w:val="17"/>
                <w:color w:val="auto"/>
              </w:rPr>
            </w:pP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4"/>
              </w:rPr>
              <w:t>$ 84,384</w:t>
            </w:r>
          </w:p>
        </w:tc>
      </w:tr>
      <w:tr>
        <w:trPr>
          <w:trHeight w:val="20"/>
        </w:trPr>
        <w:tc>
          <w:tcPr>
            <w:tcW w:w="3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The following table presents the ACL and amortized cost of portfolio loans by category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44"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6"/>
          </w:tcPr>
          <w:p>
            <w:pPr>
              <w:jc w:val="center"/>
              <w:ind w:right="240"/>
              <w:spacing w:after="0"/>
              <w:rPr>
                <w:sz w:val="20"/>
                <w:szCs w:val="20"/>
                <w:color w:val="auto"/>
              </w:rPr>
            </w:pPr>
            <w:r>
              <w:rPr>
                <w:rFonts w:ascii="Arial" w:cs="Arial" w:eastAsia="Arial" w:hAnsi="Arial"/>
                <w:sz w:val="14"/>
                <w:szCs w:val="14"/>
                <w:b w:val="1"/>
                <w:bCs w:val="1"/>
                <w:color w:val="auto"/>
                <w:w w:val="93"/>
              </w:rPr>
              <w:t>As of March 31, 2021</w:t>
            </w: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Commercial</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Real Estate</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Retail Real</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gridSpan w:val="3"/>
          </w:tcPr>
          <w:p>
            <w:pPr>
              <w:ind w:left="60"/>
              <w:spacing w:after="0"/>
              <w:rPr>
                <w:sz w:val="20"/>
                <w:szCs w:val="20"/>
                <w:color w:val="auto"/>
              </w:rPr>
            </w:pPr>
            <w:r>
              <w:rPr>
                <w:rFonts w:ascii="Arial" w:cs="Arial" w:eastAsia="Arial" w:hAnsi="Arial"/>
                <w:sz w:val="14"/>
                <w:szCs w:val="14"/>
                <w:b w:val="1"/>
                <w:bCs w:val="1"/>
                <w:color w:val="auto"/>
              </w:rPr>
              <w:t>Commercial</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2"/>
              </w:rPr>
              <w:t>Real Estate</w:t>
            </w:r>
          </w:p>
        </w:tc>
        <w:tc>
          <w:tcPr>
            <w:tcW w:w="140" w:type="dxa"/>
            <w:vAlign w:val="bottom"/>
          </w:tcPr>
          <w:p>
            <w:pPr>
              <w:spacing w:after="0"/>
              <w:rPr>
                <w:sz w:val="17"/>
                <w:szCs w:val="17"/>
                <w:color w:val="auto"/>
              </w:rPr>
            </w:pPr>
          </w:p>
        </w:tc>
        <w:tc>
          <w:tcPr>
            <w:tcW w:w="820" w:type="dxa"/>
            <w:vAlign w:val="bottom"/>
            <w:gridSpan w:val="3"/>
          </w:tcPr>
          <w:p>
            <w:pPr>
              <w:ind w:left="20"/>
              <w:spacing w:after="0"/>
              <w:rPr>
                <w:sz w:val="20"/>
                <w:szCs w:val="20"/>
                <w:color w:val="auto"/>
              </w:rPr>
            </w:pPr>
            <w:r>
              <w:rPr>
                <w:rFonts w:ascii="Arial" w:cs="Arial" w:eastAsia="Arial" w:hAnsi="Arial"/>
                <w:sz w:val="14"/>
                <w:szCs w:val="14"/>
                <w:b w:val="1"/>
                <w:bCs w:val="1"/>
                <w:color w:val="auto"/>
                <w:w w:val="89"/>
              </w:rPr>
              <w:t>Construction</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Estate</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w w:val="98"/>
              </w:rPr>
              <w:t>Retail Other</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ind w:right="2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ACL:</w:t>
            </w: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80" w:type="dxa"/>
            <w:vAlign w:val="bottom"/>
          </w:tcPr>
          <w:p>
            <w:pPr>
              <w:spacing w:after="0" w:line="202" w:lineRule="exact"/>
              <w:rPr>
                <w:sz w:val="20"/>
                <w:szCs w:val="20"/>
                <w:color w:val="auto"/>
              </w:rPr>
            </w:pPr>
            <w:r>
              <w:rPr>
                <w:rFonts w:ascii="Arial" w:cs="Arial" w:eastAsia="Arial" w:hAnsi="Arial"/>
                <w:sz w:val="18"/>
                <w:szCs w:val="18"/>
                <w:color w:val="auto"/>
              </w:rPr>
              <w:t>Ending balance attributed to:</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80" w:type="dxa"/>
            <w:vAlign w:val="bottom"/>
            <w:shd w:val="clear" w:color="auto" w:fill="CCEEFF"/>
          </w:tcPr>
          <w:p>
            <w:pPr>
              <w:ind w:left="200"/>
              <w:spacing w:after="0" w:line="189" w:lineRule="exact"/>
              <w:rPr>
                <w:sz w:val="20"/>
                <w:szCs w:val="20"/>
                <w:color w:val="auto"/>
              </w:rPr>
            </w:pPr>
            <w:r>
              <w:rPr>
                <w:rFonts w:ascii="Arial" w:cs="Arial" w:eastAsia="Arial" w:hAnsi="Arial"/>
                <w:sz w:val="18"/>
                <w:szCs w:val="18"/>
                <w:color w:val="auto"/>
                <w:w w:val="97"/>
              </w:rPr>
              <w:t>Loans individually evaluated for</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impairment</w:t>
            </w:r>
          </w:p>
        </w:tc>
        <w:tc>
          <w:tcPr>
            <w:tcW w:w="2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2,483</w:t>
            </w:r>
          </w:p>
        </w:tc>
        <w:tc>
          <w:tcPr>
            <w:tcW w:w="20" w:type="dxa"/>
            <w:vAlign w:val="bottom"/>
            <w:shd w:val="clear" w:color="auto" w:fill="CCEEFF"/>
          </w:tcPr>
          <w:p>
            <w:pPr>
              <w:spacing w:after="0"/>
              <w:rPr>
                <w:sz w:val="18"/>
                <w:szCs w:val="18"/>
                <w:color w:val="auto"/>
              </w:rPr>
            </w:pPr>
          </w:p>
        </w:tc>
        <w:tc>
          <w:tcPr>
            <w:tcW w:w="2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shd w:val="clear" w:color="auto" w:fill="CCEEFF"/>
          </w:tcPr>
          <w:p>
            <w:pPr>
              <w:spacing w:after="0"/>
              <w:rPr>
                <w:sz w:val="18"/>
                <w:szCs w:val="18"/>
                <w:color w:val="auto"/>
              </w:rPr>
            </w:pPr>
          </w:p>
        </w:tc>
        <w:tc>
          <w:tcPr>
            <w:tcW w:w="3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2,508</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80" w:type="dxa"/>
            <w:vAlign w:val="bottom"/>
          </w:tcPr>
          <w:p>
            <w:pPr>
              <w:ind w:left="200"/>
              <w:spacing w:after="0" w:line="189" w:lineRule="exact"/>
              <w:rPr>
                <w:sz w:val="20"/>
                <w:szCs w:val="20"/>
                <w:color w:val="auto"/>
              </w:rPr>
            </w:pPr>
            <w:r>
              <w:rPr>
                <w:rFonts w:ascii="Arial" w:cs="Arial" w:eastAsia="Arial" w:hAnsi="Arial"/>
                <w:sz w:val="18"/>
                <w:szCs w:val="18"/>
                <w:color w:val="auto"/>
                <w:w w:val="98"/>
              </w:rPr>
              <w:t>Loans collectively evaluated for</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impairment</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20,542</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43,306</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6,879</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19,953</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91,435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8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ACL ending balance</w:t>
            </w:r>
          </w:p>
        </w:tc>
        <w:tc>
          <w:tcPr>
            <w:tcW w:w="1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23,025</w:t>
            </w:r>
          </w:p>
        </w:tc>
        <w:tc>
          <w:tcPr>
            <w:tcW w:w="2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43,306</w:t>
            </w:r>
          </w:p>
        </w:tc>
        <w:tc>
          <w:tcPr>
            <w:tcW w:w="1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6,879</w:t>
            </w:r>
          </w:p>
        </w:tc>
        <w:tc>
          <w:tcPr>
            <w:tcW w:w="1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19,978</w:t>
            </w: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755</w:t>
            </w:r>
          </w:p>
        </w:tc>
        <w:tc>
          <w:tcPr>
            <w:tcW w:w="2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93,943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2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 w:type="dxa"/>
            <w:vAlign w:val="bottom"/>
            <w:vMerge w:val="continue"/>
          </w:tcPr>
          <w:p>
            <w:pPr>
              <w:spacing w:after="0"/>
              <w:rPr>
                <w:sz w:val="17"/>
                <w:szCs w:val="17"/>
                <w:color w:val="auto"/>
              </w:rPr>
            </w:pPr>
          </w:p>
        </w:tc>
        <w:tc>
          <w:tcPr>
            <w:tcW w:w="2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Loans:</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80" w:type="dxa"/>
            <w:vAlign w:val="bottom"/>
          </w:tcPr>
          <w:p>
            <w:pPr>
              <w:ind w:left="200"/>
              <w:spacing w:after="0" w:line="189" w:lineRule="exact"/>
              <w:rPr>
                <w:sz w:val="20"/>
                <w:szCs w:val="20"/>
                <w:color w:val="auto"/>
              </w:rPr>
            </w:pPr>
            <w:r>
              <w:rPr>
                <w:rFonts w:ascii="Arial" w:cs="Arial" w:eastAsia="Arial" w:hAnsi="Arial"/>
                <w:sz w:val="18"/>
                <w:szCs w:val="18"/>
                <w:color w:val="auto"/>
                <w:w w:val="97"/>
              </w:rPr>
              <w:t>Loans individually evaluated for</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80" w:type="dxa"/>
            <w:vAlign w:val="bottom"/>
          </w:tcPr>
          <w:p>
            <w:pPr>
              <w:ind w:left="200"/>
              <w:spacing w:after="0"/>
              <w:rPr>
                <w:sz w:val="20"/>
                <w:szCs w:val="20"/>
                <w:color w:val="auto"/>
              </w:rPr>
            </w:pPr>
            <w:r>
              <w:rPr>
                <w:rFonts w:ascii="Arial" w:cs="Arial" w:eastAsia="Arial" w:hAnsi="Arial"/>
                <w:sz w:val="18"/>
                <w:szCs w:val="18"/>
                <w:color w:val="auto"/>
              </w:rPr>
              <w:t>impairment</w:t>
            </w:r>
          </w:p>
        </w:tc>
        <w:tc>
          <w:tcPr>
            <w:tcW w:w="280" w:type="dxa"/>
            <w:vAlign w:val="bottom"/>
            <w:gridSpan w:val="3"/>
          </w:tcPr>
          <w:p>
            <w:pPr>
              <w:ind w:left="16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7,804</w:t>
            </w:r>
          </w:p>
        </w:tc>
        <w:tc>
          <w:tcPr>
            <w:tcW w:w="20" w:type="dxa"/>
            <w:vAlign w:val="bottom"/>
          </w:tcPr>
          <w:p>
            <w:pPr>
              <w:spacing w:after="0"/>
              <w:rPr>
                <w:sz w:val="18"/>
                <w:szCs w:val="18"/>
                <w:color w:val="auto"/>
              </w:rPr>
            </w:pPr>
          </w:p>
        </w:tc>
        <w:tc>
          <w:tcPr>
            <w:tcW w:w="240" w:type="dxa"/>
            <w:vAlign w:val="bottom"/>
            <w:gridSpan w:val="3"/>
          </w:tcPr>
          <w:p>
            <w:pPr>
              <w:ind w:left="14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3,644</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287</w:t>
            </w: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4,613</w:t>
            </w:r>
          </w:p>
        </w:tc>
        <w:tc>
          <w:tcPr>
            <w:tcW w:w="20" w:type="dxa"/>
            <w:vAlign w:val="bottom"/>
          </w:tcPr>
          <w:p>
            <w:pPr>
              <w:spacing w:after="0"/>
              <w:rPr>
                <w:sz w:val="18"/>
                <w:szCs w:val="18"/>
                <w:color w:val="auto"/>
              </w:rPr>
            </w:pPr>
          </w:p>
        </w:tc>
        <w:tc>
          <w:tcPr>
            <w:tcW w:w="30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60" w:type="dxa"/>
            <w:vAlign w:val="bottom"/>
            <w:gridSpan w:val="3"/>
          </w:tcPr>
          <w:p>
            <w:pPr>
              <w:ind w:left="14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16,348</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80" w:type="dxa"/>
            <w:vAlign w:val="bottom"/>
            <w:shd w:val="clear" w:color="auto" w:fill="CCEEFF"/>
          </w:tcPr>
          <w:p>
            <w:pPr>
              <w:ind w:left="200"/>
              <w:spacing w:after="0" w:line="189" w:lineRule="exact"/>
              <w:rPr>
                <w:sz w:val="20"/>
                <w:szCs w:val="20"/>
                <w:color w:val="auto"/>
              </w:rPr>
            </w:pPr>
            <w:r>
              <w:rPr>
                <w:rFonts w:ascii="Arial" w:cs="Arial" w:eastAsia="Arial" w:hAnsi="Arial"/>
                <w:sz w:val="18"/>
                <w:szCs w:val="18"/>
                <w:color w:val="auto"/>
                <w:w w:val="98"/>
              </w:rPr>
              <w:t>Loans collectively evaluated for</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impairment</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2,059,567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2,907,414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422,346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1,338,315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33,031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6,760,673</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80" w:type="dxa"/>
            <w:vAlign w:val="bottom"/>
          </w:tcPr>
          <w:p>
            <w:pPr>
              <w:ind w:left="200"/>
              <w:spacing w:after="0" w:line="189" w:lineRule="exact"/>
              <w:rPr>
                <w:sz w:val="20"/>
                <w:szCs w:val="20"/>
                <w:color w:val="auto"/>
              </w:rPr>
            </w:pPr>
            <w:r>
              <w:rPr>
                <w:rFonts w:ascii="Arial" w:cs="Arial" w:eastAsia="Arial" w:hAnsi="Arial"/>
                <w:sz w:val="18"/>
                <w:szCs w:val="18"/>
                <w:color w:val="auto"/>
              </w:rPr>
              <w:t>PCD loans evaluated for</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impairment</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1,908</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8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Loans ending balance</w:t>
            </w:r>
          </w:p>
        </w:tc>
        <w:tc>
          <w:tcPr>
            <w:tcW w:w="1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9"/>
              </w:rPr>
              <w:t>2,067,371</w:t>
            </w:r>
          </w:p>
        </w:tc>
        <w:tc>
          <w:tcPr>
            <w:tcW w:w="2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2"/>
              </w:rPr>
              <w:t>2,912,966</w:t>
            </w:r>
          </w:p>
        </w:tc>
        <w:tc>
          <w:tcPr>
            <w:tcW w:w="1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89"/>
              </w:rPr>
              <w:t>$ 422,633</w:t>
            </w:r>
          </w:p>
        </w:tc>
        <w:tc>
          <w:tcPr>
            <w:tcW w:w="1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1,343,299</w:t>
            </w: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33,031</w:t>
            </w:r>
          </w:p>
        </w:tc>
        <w:tc>
          <w:tcPr>
            <w:tcW w:w="2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2"/>
              </w:rPr>
              <w:t>6,779,300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6"/>
          </w:tcPr>
          <w:p>
            <w:pPr>
              <w:jc w:val="center"/>
              <w:ind w:right="220"/>
              <w:spacing w:after="0"/>
              <w:rPr>
                <w:sz w:val="20"/>
                <w:szCs w:val="20"/>
                <w:color w:val="auto"/>
              </w:rPr>
            </w:pPr>
            <w:r>
              <w:rPr>
                <w:rFonts w:ascii="Arial" w:cs="Arial" w:eastAsia="Arial" w:hAnsi="Arial"/>
                <w:sz w:val="14"/>
                <w:szCs w:val="14"/>
                <w:b w:val="1"/>
                <w:bCs w:val="1"/>
                <w:color w:val="auto"/>
                <w:w w:val="92"/>
              </w:rPr>
              <w:t>As of December 31, 2020</w:t>
            </w: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Commercial</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Real Estate</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Retail Real</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gridSpan w:val="3"/>
          </w:tcPr>
          <w:p>
            <w:pPr>
              <w:ind w:left="60"/>
              <w:spacing w:after="0"/>
              <w:rPr>
                <w:sz w:val="20"/>
                <w:szCs w:val="20"/>
                <w:color w:val="auto"/>
              </w:rPr>
            </w:pPr>
            <w:r>
              <w:rPr>
                <w:rFonts w:ascii="Arial" w:cs="Arial" w:eastAsia="Arial" w:hAnsi="Arial"/>
                <w:sz w:val="14"/>
                <w:szCs w:val="14"/>
                <w:b w:val="1"/>
                <w:bCs w:val="1"/>
                <w:color w:val="auto"/>
              </w:rPr>
              <w:t>Commercial</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center"/>
              <w:ind w:right="32"/>
              <w:spacing w:after="0"/>
              <w:rPr>
                <w:sz w:val="20"/>
                <w:szCs w:val="20"/>
                <w:color w:val="auto"/>
              </w:rPr>
            </w:pPr>
            <w:r>
              <w:rPr>
                <w:rFonts w:ascii="Arial" w:cs="Arial" w:eastAsia="Arial" w:hAnsi="Arial"/>
                <w:sz w:val="14"/>
                <w:szCs w:val="14"/>
                <w:b w:val="1"/>
                <w:bCs w:val="1"/>
                <w:color w:val="auto"/>
                <w:w w:val="92"/>
              </w:rPr>
              <w:t>Real Estate</w:t>
            </w:r>
          </w:p>
        </w:tc>
        <w:tc>
          <w:tcPr>
            <w:tcW w:w="140" w:type="dxa"/>
            <w:vAlign w:val="bottom"/>
          </w:tcPr>
          <w:p>
            <w:pPr>
              <w:spacing w:after="0"/>
              <w:rPr>
                <w:sz w:val="17"/>
                <w:szCs w:val="17"/>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91"/>
              </w:rPr>
              <w:t>Construction</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Estate</w:t>
            </w:r>
          </w:p>
        </w:tc>
        <w:tc>
          <w:tcPr>
            <w:tcW w:w="120" w:type="dxa"/>
            <w:vAlign w:val="bottom"/>
          </w:tcPr>
          <w:p>
            <w:pPr>
              <w:spacing w:after="0"/>
              <w:rPr>
                <w:sz w:val="17"/>
                <w:szCs w:val="17"/>
                <w:color w:val="auto"/>
              </w:rPr>
            </w:pPr>
          </w:p>
        </w:tc>
        <w:tc>
          <w:tcPr>
            <w:tcW w:w="820" w:type="dxa"/>
            <w:vAlign w:val="bottom"/>
            <w:gridSpan w:val="4"/>
          </w:tcPr>
          <w:p>
            <w:pPr>
              <w:ind w:left="20"/>
              <w:spacing w:after="0"/>
              <w:rPr>
                <w:sz w:val="20"/>
                <w:szCs w:val="20"/>
                <w:color w:val="auto"/>
              </w:rPr>
            </w:pPr>
            <w:r>
              <w:rPr>
                <w:rFonts w:ascii="Arial" w:cs="Arial" w:eastAsia="Arial" w:hAnsi="Arial"/>
                <w:sz w:val="14"/>
                <w:szCs w:val="14"/>
                <w:b w:val="1"/>
                <w:bCs w:val="1"/>
                <w:color w:val="auto"/>
                <w:w w:val="98"/>
              </w:rPr>
              <w:t>Retail Other</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ind w:right="2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70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rPr>
              <w:t>ACL:</w:t>
            </w:r>
          </w:p>
        </w:tc>
        <w:tc>
          <w:tcPr>
            <w:tcW w:w="1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00" w:type="dxa"/>
            <w:vAlign w:val="bottom"/>
            <w:gridSpan w:val="2"/>
          </w:tcPr>
          <w:p>
            <w:pPr>
              <w:spacing w:after="0" w:line="202" w:lineRule="exact"/>
              <w:rPr>
                <w:sz w:val="20"/>
                <w:szCs w:val="20"/>
                <w:color w:val="auto"/>
              </w:rPr>
            </w:pPr>
            <w:r>
              <w:rPr>
                <w:rFonts w:ascii="Arial" w:cs="Arial" w:eastAsia="Arial" w:hAnsi="Arial"/>
                <w:sz w:val="18"/>
                <w:szCs w:val="18"/>
                <w:color w:val="auto"/>
              </w:rPr>
              <w:t>Ending balance attributed to:</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80" w:type="dxa"/>
            <w:vAlign w:val="bottom"/>
            <w:shd w:val="clear" w:color="auto" w:fill="CCEEFF"/>
          </w:tcPr>
          <w:p>
            <w:pPr>
              <w:ind w:left="180"/>
              <w:spacing w:after="0" w:line="189" w:lineRule="exact"/>
              <w:rPr>
                <w:sz w:val="20"/>
                <w:szCs w:val="20"/>
                <w:color w:val="auto"/>
              </w:rPr>
            </w:pPr>
            <w:r>
              <w:rPr>
                <w:rFonts w:ascii="Arial" w:cs="Arial" w:eastAsia="Arial" w:hAnsi="Arial"/>
                <w:sz w:val="18"/>
                <w:szCs w:val="18"/>
                <w:color w:val="auto"/>
                <w:w w:val="98"/>
              </w:rPr>
              <w:t>Loans individually evaluated for</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impairment</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20" w:type="dxa"/>
            <w:vAlign w:val="bottom"/>
            <w:shd w:val="clear" w:color="auto" w:fill="CCEEFF"/>
          </w:tcPr>
          <w:p>
            <w:pPr>
              <w:spacing w:after="0"/>
              <w:rPr>
                <w:sz w:val="18"/>
                <w:szCs w:val="18"/>
                <w:color w:val="auto"/>
              </w:rPr>
            </w:pPr>
          </w:p>
        </w:tc>
        <w:tc>
          <w:tcPr>
            <w:tcW w:w="2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shd w:val="clear" w:color="auto" w:fill="CCEEFF"/>
          </w:tcPr>
          <w:p>
            <w:pPr>
              <w:spacing w:after="0"/>
              <w:rPr>
                <w:sz w:val="18"/>
                <w:szCs w:val="18"/>
                <w:color w:val="auto"/>
              </w:rPr>
            </w:pPr>
          </w:p>
        </w:tc>
        <w:tc>
          <w:tcPr>
            <w:tcW w:w="3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1,625</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80" w:type="dxa"/>
            <w:vAlign w:val="bottom"/>
          </w:tcPr>
          <w:p>
            <w:pPr>
              <w:ind w:left="180"/>
              <w:spacing w:after="0" w:line="189" w:lineRule="exact"/>
              <w:rPr>
                <w:sz w:val="20"/>
                <w:szCs w:val="20"/>
                <w:color w:val="auto"/>
              </w:rPr>
            </w:pPr>
            <w:r>
              <w:rPr>
                <w:rFonts w:ascii="Arial" w:cs="Arial" w:eastAsia="Arial" w:hAnsi="Arial"/>
                <w:sz w:val="18"/>
                <w:szCs w:val="18"/>
                <w:color w:val="auto"/>
                <w:w w:val="99"/>
              </w:rPr>
              <w:t>Loans collectively evaluated for</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impairment</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22,266</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46,230</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8,193</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21,967</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767</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99,423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700" w:type="dxa"/>
            <w:vAlign w:val="bottom"/>
            <w:tcBorders>
              <w:bottom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ACL ending balance</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23,866</w:t>
            </w: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46,230</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8,193</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21,992</w:t>
            </w: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767</w:t>
            </w: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101,048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2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7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Loans:</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80" w:type="dxa"/>
            <w:vAlign w:val="bottom"/>
          </w:tcPr>
          <w:p>
            <w:pPr>
              <w:ind w:left="180"/>
              <w:spacing w:after="0" w:line="189" w:lineRule="exact"/>
              <w:rPr>
                <w:sz w:val="20"/>
                <w:szCs w:val="20"/>
                <w:color w:val="auto"/>
              </w:rPr>
            </w:pPr>
            <w:r>
              <w:rPr>
                <w:rFonts w:ascii="Arial" w:cs="Arial" w:eastAsia="Arial" w:hAnsi="Arial"/>
                <w:sz w:val="18"/>
                <w:szCs w:val="18"/>
                <w:color w:val="auto"/>
                <w:w w:val="98"/>
              </w:rPr>
              <w:t>Loans individually evaluated for</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80" w:type="dxa"/>
            <w:vAlign w:val="bottom"/>
          </w:tcPr>
          <w:p>
            <w:pPr>
              <w:ind w:left="180"/>
              <w:spacing w:after="0"/>
              <w:rPr>
                <w:sz w:val="20"/>
                <w:szCs w:val="20"/>
                <w:color w:val="auto"/>
              </w:rPr>
            </w:pPr>
            <w:r>
              <w:rPr>
                <w:rFonts w:ascii="Arial" w:cs="Arial" w:eastAsia="Arial" w:hAnsi="Arial"/>
                <w:sz w:val="18"/>
                <w:szCs w:val="18"/>
                <w:color w:val="auto"/>
              </w:rPr>
              <w:t>impairment</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8,372</w:t>
            </w:r>
          </w:p>
        </w:tc>
        <w:tc>
          <w:tcPr>
            <w:tcW w:w="20" w:type="dxa"/>
            <w:vAlign w:val="bottom"/>
          </w:tcPr>
          <w:p>
            <w:pPr>
              <w:spacing w:after="0"/>
              <w:rPr>
                <w:sz w:val="18"/>
                <w:szCs w:val="18"/>
                <w:color w:val="auto"/>
              </w:rPr>
            </w:pPr>
          </w:p>
        </w:tc>
        <w:tc>
          <w:tcPr>
            <w:tcW w:w="240" w:type="dxa"/>
            <w:vAlign w:val="bottom"/>
            <w:gridSpan w:val="3"/>
          </w:tcPr>
          <w:p>
            <w:pPr>
              <w:ind w:left="14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4,161</w:t>
            </w:r>
          </w:p>
        </w:tc>
        <w:tc>
          <w:tcPr>
            <w:tcW w:w="260" w:type="dxa"/>
            <w:vAlign w:val="bottom"/>
            <w:gridSpan w:val="3"/>
          </w:tcPr>
          <w:p>
            <w:pPr>
              <w:ind w:left="14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292</w:t>
            </w: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5,149</w:t>
            </w:r>
          </w:p>
        </w:tc>
        <w:tc>
          <w:tcPr>
            <w:tcW w:w="20" w:type="dxa"/>
            <w:vAlign w:val="bottom"/>
          </w:tcPr>
          <w:p>
            <w:pPr>
              <w:spacing w:after="0"/>
              <w:rPr>
                <w:sz w:val="18"/>
                <w:szCs w:val="18"/>
                <w:color w:val="auto"/>
              </w:rPr>
            </w:pPr>
          </w:p>
        </w:tc>
        <w:tc>
          <w:tcPr>
            <w:tcW w:w="30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60" w:type="dxa"/>
            <w:vAlign w:val="bottom"/>
            <w:gridSpan w:val="3"/>
          </w:tcPr>
          <w:p>
            <w:pPr>
              <w:ind w:left="14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17,974</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80" w:type="dxa"/>
            <w:vAlign w:val="bottom"/>
            <w:shd w:val="clear" w:color="auto" w:fill="CCEEFF"/>
          </w:tcPr>
          <w:p>
            <w:pPr>
              <w:ind w:left="180"/>
              <w:spacing w:after="0" w:line="189" w:lineRule="exact"/>
              <w:rPr>
                <w:sz w:val="20"/>
                <w:szCs w:val="20"/>
                <w:color w:val="auto"/>
              </w:rPr>
            </w:pPr>
            <w:r>
              <w:rPr>
                <w:rFonts w:ascii="Arial" w:cs="Arial" w:eastAsia="Arial" w:hAnsi="Arial"/>
                <w:sz w:val="18"/>
                <w:szCs w:val="18"/>
                <w:color w:val="auto"/>
                <w:w w:val="99"/>
              </w:rPr>
              <w:t>Loans collectively evaluated for</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impairment</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2,006,204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2,886,468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461,494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1,402,337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37,428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6,793,931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80" w:type="dxa"/>
            <w:vAlign w:val="bottom"/>
          </w:tcPr>
          <w:p>
            <w:pPr>
              <w:ind w:left="180"/>
              <w:spacing w:after="0" w:line="189" w:lineRule="exact"/>
              <w:rPr>
                <w:sz w:val="20"/>
                <w:szCs w:val="20"/>
                <w:color w:val="auto"/>
              </w:rPr>
            </w:pPr>
            <w:r>
              <w:rPr>
                <w:rFonts w:ascii="Arial" w:cs="Arial" w:eastAsia="Arial" w:hAnsi="Arial"/>
                <w:sz w:val="18"/>
                <w:szCs w:val="18"/>
                <w:color w:val="auto"/>
              </w:rPr>
              <w:t>PCD loans evaluated for</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80" w:type="dxa"/>
            <w:vAlign w:val="bottom"/>
          </w:tcPr>
          <w:p>
            <w:pPr>
              <w:ind w:left="180"/>
              <w:spacing w:after="0"/>
              <w:rPr>
                <w:sz w:val="20"/>
                <w:szCs w:val="20"/>
                <w:color w:val="auto"/>
              </w:rPr>
            </w:pPr>
            <w:r>
              <w:rPr>
                <w:rFonts w:ascii="Arial" w:cs="Arial" w:eastAsia="Arial" w:hAnsi="Arial"/>
                <w:sz w:val="18"/>
                <w:szCs w:val="18"/>
                <w:color w:val="auto"/>
              </w:rPr>
              <w:t>impairment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1,906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2,272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700" w:type="dxa"/>
            <w:vAlign w:val="bottom"/>
            <w:tcBorders>
              <w:top w:val="single" w:sz="8" w:color="CCEEFF"/>
              <w:bottom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Loans ending balance</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9"/>
              </w:rPr>
              <w:t>2,014,576</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2"/>
              </w:rPr>
              <w:t>2,892,535</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w w:val="92"/>
              </w:rPr>
              <w:t>$ 461,786</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2"/>
              </w:rPr>
              <w:t>1,407,852</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37,428</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2"/>
              </w:rPr>
              <w:t>6,814,177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jc w:val="right"/>
              <w:ind w:right="212"/>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22" w:name="page23"/>
    <w:bookmarkEnd w:id="22"/>
    <w:p>
      <w:pPr>
        <w:jc w:val="center"/>
        <w:ind w:right="19"/>
        <w:spacing w:after="0"/>
        <w:rPr>
          <w:sz w:val="20"/>
          <w:szCs w:val="20"/>
          <w:color w:val="auto"/>
        </w:rPr>
      </w:pPr>
      <w:r>
        <w:rPr>
          <w:rFonts w:ascii="Arial" w:cs="Arial" w:eastAsia="Arial" w:hAnsi="Arial"/>
          <w:sz w:val="18"/>
          <w:szCs w:val="18"/>
          <w:b w:val="1"/>
          <w:bCs w:val="1"/>
          <w:color w:val="auto"/>
        </w:rPr>
        <w:t>FIRST BUSEY CORPORATION</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w:t>
      </w:r>
    </w:p>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5: Deposits</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The composition of deposits is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6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gridSpan w:val="6"/>
          </w:tcPr>
          <w:p>
            <w:pPr>
              <w:jc w:val="right"/>
              <w:ind w:right="19"/>
              <w:spacing w:after="0"/>
              <w:rPr>
                <w:sz w:val="20"/>
                <w:szCs w:val="20"/>
                <w:color w:val="auto"/>
              </w:rPr>
            </w:pPr>
            <w:r>
              <w:rPr>
                <w:rFonts w:ascii="Arial" w:cs="Arial" w:eastAsia="Arial" w:hAnsi="Arial"/>
                <w:sz w:val="14"/>
                <w:szCs w:val="14"/>
                <w:b w:val="1"/>
                <w:bCs w:val="1"/>
                <w:color w:val="auto"/>
                <w:w w:val="85"/>
              </w:rPr>
              <w:t>As of</w:t>
            </w:r>
          </w:p>
        </w:tc>
        <w:tc>
          <w:tcPr>
            <w:tcW w:w="9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jc w:val="center"/>
              <w:ind w:right="16"/>
              <w:spacing w:after="0" w:line="133" w:lineRule="exact"/>
              <w:rPr>
                <w:sz w:val="20"/>
                <w:szCs w:val="20"/>
                <w:color w:val="auto"/>
              </w:rPr>
            </w:pPr>
            <w:r>
              <w:rPr>
                <w:rFonts w:ascii="Arial" w:cs="Arial" w:eastAsia="Arial" w:hAnsi="Arial"/>
                <w:sz w:val="14"/>
                <w:szCs w:val="14"/>
                <w:b w:val="1"/>
                <w:bCs w:val="1"/>
                <w:color w:val="auto"/>
                <w:w w:val="99"/>
              </w:rPr>
              <w:t>March 31,</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gridSpan w:val="3"/>
          </w:tcPr>
          <w:p>
            <w:pPr>
              <w:jc w:val="center"/>
              <w:ind w:right="60"/>
              <w:spacing w:after="0" w:line="133"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5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6"/>
              </w:rPr>
              <w:t>2020</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Demand deposits, noninterest-bearing</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2,859,492</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2,552,039</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60" w:type="dxa"/>
            <w:vAlign w:val="bottom"/>
          </w:tcPr>
          <w:p>
            <w:pPr>
              <w:spacing w:after="0" w:line="202" w:lineRule="exact"/>
              <w:rPr>
                <w:sz w:val="20"/>
                <w:szCs w:val="20"/>
                <w:color w:val="auto"/>
              </w:rPr>
            </w:pPr>
            <w:r>
              <w:rPr>
                <w:rFonts w:ascii="Arial" w:cs="Arial" w:eastAsia="Arial" w:hAnsi="Arial"/>
                <w:sz w:val="18"/>
                <w:szCs w:val="18"/>
                <w:color w:val="auto"/>
              </w:rPr>
              <w:t>Interest-bearing transaction deposits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2,312,008</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2,263,093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Saving deposits and money market deposits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2,679,879</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2,743,369</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6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Time deposits</w:t>
            </w: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1,022,468</w:t>
            </w: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1,119,348</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60" w:type="dxa"/>
            <w:vAlign w:val="bottom"/>
            <w:tcBorders>
              <w:bottom w:val="single" w:sz="8" w:color="CCEEFF"/>
            </w:tcBorders>
            <w:shd w:val="clear" w:color="auto" w:fill="CCEEFF"/>
          </w:tcPr>
          <w:p>
            <w:pPr>
              <w:ind w:left="220"/>
              <w:spacing w:after="0" w:line="196" w:lineRule="exact"/>
              <w:rPr>
                <w:sz w:val="20"/>
                <w:szCs w:val="20"/>
                <w:color w:val="auto"/>
              </w:rPr>
            </w:pPr>
            <w:r>
              <w:rPr>
                <w:rFonts w:ascii="Arial" w:cs="Arial" w:eastAsia="Arial" w:hAnsi="Arial"/>
                <w:sz w:val="18"/>
                <w:szCs w:val="18"/>
                <w:color w:val="auto"/>
              </w:rPr>
              <w:t>Total deposits</w:t>
            </w: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8,873,847</w:t>
            </w:r>
          </w:p>
        </w:tc>
        <w:tc>
          <w:tcPr>
            <w:tcW w:w="6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8,677,849</w:t>
            </w:r>
          </w:p>
        </w:tc>
        <w:tc>
          <w:tcPr>
            <w:tcW w:w="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80" w:type="dxa"/>
            <w:vAlign w:val="bottom"/>
            <w:gridSpan w:val="2"/>
            <w:vMerge w:val="restart"/>
          </w:tcPr>
          <w:p>
            <w:pPr>
              <w:ind w:left="20"/>
              <w:spacing w:after="0"/>
              <w:rPr>
                <w:sz w:val="20"/>
                <w:szCs w:val="20"/>
                <w:color w:val="auto"/>
              </w:rPr>
            </w:pPr>
            <w:r>
              <w:rPr>
                <w:rFonts w:ascii="Arial" w:cs="Arial" w:eastAsia="Arial" w:hAnsi="Arial"/>
                <w:sz w:val="18"/>
                <w:szCs w:val="18"/>
                <w:color w:val="auto"/>
              </w:rPr>
              <w:t xml:space="preserve">Additional information about our deposits is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658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gridSpan w:val="6"/>
          </w:tcPr>
          <w:p>
            <w:pPr>
              <w:jc w:val="right"/>
              <w:ind w:right="19"/>
              <w:spacing w:after="0"/>
              <w:rPr>
                <w:sz w:val="20"/>
                <w:szCs w:val="20"/>
                <w:color w:val="auto"/>
              </w:rPr>
            </w:pPr>
            <w:r>
              <w:rPr>
                <w:rFonts w:ascii="Arial" w:cs="Arial" w:eastAsia="Arial" w:hAnsi="Arial"/>
                <w:sz w:val="14"/>
                <w:szCs w:val="14"/>
                <w:b w:val="1"/>
                <w:bCs w:val="1"/>
                <w:color w:val="auto"/>
                <w:w w:val="85"/>
              </w:rPr>
              <w:t>As of</w:t>
            </w:r>
          </w:p>
        </w:tc>
        <w:tc>
          <w:tcPr>
            <w:tcW w:w="9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jc w:val="center"/>
              <w:ind w:right="36"/>
              <w:spacing w:after="0" w:line="133" w:lineRule="exact"/>
              <w:rPr>
                <w:sz w:val="20"/>
                <w:szCs w:val="20"/>
                <w:color w:val="auto"/>
              </w:rPr>
            </w:pPr>
            <w:r>
              <w:rPr>
                <w:rFonts w:ascii="Arial" w:cs="Arial" w:eastAsia="Arial" w:hAnsi="Arial"/>
                <w:sz w:val="14"/>
                <w:szCs w:val="14"/>
                <w:b w:val="1"/>
                <w:bCs w:val="1"/>
                <w:color w:val="auto"/>
                <w:w w:val="95"/>
              </w:rPr>
              <w:t>March 31,</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90"/>
              </w:rPr>
              <w:t>December 31,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0" w:type="dxa"/>
            <w:vAlign w:val="bottom"/>
            <w:tcBorders>
              <w:bottom w:val="single" w:sz="8" w:color="CCEEFF"/>
            </w:tcBorders>
          </w:tcPr>
          <w:p>
            <w:pPr>
              <w:spacing w:after="0"/>
              <w:rPr>
                <w:sz w:val="16"/>
                <w:szCs w:val="16"/>
                <w:color w:val="auto"/>
              </w:rPr>
            </w:pPr>
          </w:p>
        </w:tc>
        <w:tc>
          <w:tcPr>
            <w:tcW w:w="656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2021</w:t>
            </w: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6"/>
              </w:rPr>
              <w:t>2020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58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Brokered savings deposits and money market deposits</w:t>
            </w:r>
          </w:p>
        </w:tc>
        <w:tc>
          <w:tcPr>
            <w:tcW w:w="1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2,699</w:t>
            </w:r>
          </w:p>
        </w:tc>
        <w:tc>
          <w:tcPr>
            <w:tcW w:w="60" w:type="dxa"/>
            <w:vAlign w:val="bottom"/>
            <w:shd w:val="clear" w:color="auto" w:fill="CCEEFF"/>
          </w:tcPr>
          <w:p>
            <w:pPr>
              <w:spacing w:after="0"/>
              <w:rPr>
                <w:sz w:val="17"/>
                <w:szCs w:val="17"/>
                <w:color w:val="auto"/>
              </w:rPr>
            </w:pPr>
          </w:p>
        </w:tc>
        <w:tc>
          <w:tcPr>
            <w:tcW w:w="180" w:type="dxa"/>
            <w:vAlign w:val="bottom"/>
            <w:gridSpan w:val="2"/>
            <w:shd w:val="clear" w:color="auto" w:fill="CCEEFF"/>
          </w:tcPr>
          <w:p>
            <w:pPr>
              <w:spacing w:after="0"/>
              <w:rPr>
                <w:sz w:val="17"/>
                <w:szCs w:val="17"/>
                <w:color w:val="auto"/>
              </w:rPr>
            </w:pPr>
          </w:p>
        </w:tc>
        <w:tc>
          <w:tcPr>
            <w:tcW w:w="180" w:type="dxa"/>
            <w:vAlign w:val="bottom"/>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2,251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5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Brokered time deposits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5,259</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5,257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8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Aggregate amount of time deposits with a minimum denomination of $100,000</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502,968</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568,735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658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Aggregate amount of time deposits with a minimum denomination that meets or</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580" w:type="dxa"/>
            <w:vAlign w:val="bottom"/>
            <w:gridSpan w:val="2"/>
          </w:tcPr>
          <w:p>
            <w:pPr>
              <w:ind w:left="20"/>
              <w:spacing w:after="0"/>
              <w:rPr>
                <w:sz w:val="20"/>
                <w:szCs w:val="20"/>
                <w:color w:val="auto"/>
              </w:rPr>
            </w:pPr>
            <w:r>
              <w:rPr>
                <w:rFonts w:ascii="Arial" w:cs="Arial" w:eastAsia="Arial" w:hAnsi="Arial"/>
                <w:sz w:val="18"/>
                <w:szCs w:val="18"/>
                <w:color w:val="auto"/>
              </w:rPr>
              <w:t>exceeds the FDIC insurance limit of $250,000</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155,401</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192,563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7580" w:type="dxa"/>
            <w:vAlign w:val="bottom"/>
            <w:gridSpan w:val="5"/>
          </w:tcPr>
          <w:p>
            <w:pPr>
              <w:ind w:left="20"/>
              <w:spacing w:after="0"/>
              <w:rPr>
                <w:sz w:val="20"/>
                <w:szCs w:val="20"/>
                <w:color w:val="auto"/>
              </w:rPr>
            </w:pPr>
            <w:r>
              <w:rPr>
                <w:rFonts w:ascii="Arial" w:cs="Arial" w:eastAsia="Arial" w:hAnsi="Arial"/>
                <w:sz w:val="18"/>
                <w:szCs w:val="18"/>
                <w:color w:val="auto"/>
                <w:w w:val="93"/>
              </w:rPr>
              <w:t xml:space="preserve">As of March 31, 2021, the scheduled maturities of time deposits are as follows </w:t>
            </w:r>
            <w:r>
              <w:rPr>
                <w:rFonts w:ascii="Arial" w:cs="Arial" w:eastAsia="Arial" w:hAnsi="Arial"/>
                <w:sz w:val="18"/>
                <w:szCs w:val="18"/>
                <w:i w:val="1"/>
                <w:iCs w:val="1"/>
                <w:color w:val="auto"/>
                <w:w w:val="93"/>
              </w:rPr>
              <w:t>(dollars in thousands)</w:t>
            </w:r>
            <w:r>
              <w:rPr>
                <w:rFonts w:ascii="Arial" w:cs="Arial" w:eastAsia="Arial" w:hAnsi="Arial"/>
                <w:sz w:val="18"/>
                <w:szCs w:val="18"/>
                <w:color w:val="auto"/>
                <w:w w:val="93"/>
              </w:rPr>
              <w: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gridSpan w:val="2"/>
          </w:tcPr>
          <w:p>
            <w:pPr>
              <w:ind w:left="22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center"/>
              <w:ind w:right="74"/>
              <w:spacing w:after="0" w:line="133" w:lineRule="exact"/>
              <w:rPr>
                <w:sz w:val="20"/>
                <w:szCs w:val="20"/>
                <w:color w:val="auto"/>
              </w:rPr>
            </w:pPr>
            <w:r>
              <w:rPr>
                <w:rFonts w:ascii="Arial" w:cs="Arial" w:eastAsia="Arial" w:hAnsi="Arial"/>
                <w:sz w:val="14"/>
                <w:szCs w:val="14"/>
                <w:b w:val="1"/>
                <w:bCs w:val="1"/>
                <w:color w:val="auto"/>
                <w:w w:val="95"/>
              </w:rPr>
              <w:t>March 31,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65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b w:val="1"/>
                <w:bCs w:val="1"/>
                <w:color w:val="auto"/>
              </w:rPr>
              <w:t>Scheduled maturities of time deposits:</w:t>
            </w: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58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April 1, 2021 – March 31, 2022</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gridSpan w:val="5"/>
            <w:shd w:val="clear" w:color="auto" w:fill="CCEEFF"/>
          </w:tcPr>
          <w:p>
            <w:pPr>
              <w:spacing w:after="0"/>
              <w:rPr>
                <w:sz w:val="17"/>
                <w:szCs w:val="17"/>
                <w:color w:val="auto"/>
              </w:rPr>
            </w:pP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704,942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April 1, 2022 – March 31, 2023</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175,252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8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April 1, 2023 – March 31, 2024</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98,282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April 1, 2024 – March 31, 2025</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29,736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8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April 1, 2025 – March 31, 2026</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14,253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80" w:type="dxa"/>
            <w:vAlign w:val="bottom"/>
            <w:tcBorders>
              <w:bottom w:val="single" w:sz="8" w:color="CCEEFF"/>
            </w:tcBorders>
            <w:gridSpan w:val="2"/>
          </w:tcPr>
          <w:p>
            <w:pPr>
              <w:ind w:left="20"/>
              <w:spacing w:after="0" w:line="202" w:lineRule="exact"/>
              <w:rPr>
                <w:sz w:val="20"/>
                <w:szCs w:val="20"/>
                <w:color w:val="auto"/>
              </w:rPr>
            </w:pPr>
            <w:r>
              <w:rPr>
                <w:rFonts w:ascii="Arial" w:cs="Arial" w:eastAsia="Arial" w:hAnsi="Arial"/>
                <w:sz w:val="18"/>
                <w:szCs w:val="18"/>
                <w:color w:val="auto"/>
              </w:rPr>
              <w:t>Thereafter</w:t>
            </w: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6560" w:type="dxa"/>
            <w:vAlign w:val="bottom"/>
            <w:tcBorders>
              <w:bottom w:val="single" w:sz="8" w:color="CCEEFF"/>
            </w:tcBorders>
            <w:shd w:val="clear" w:color="auto" w:fill="CCEEFF"/>
          </w:tcPr>
          <w:p>
            <w:pPr>
              <w:ind w:left="200"/>
              <w:spacing w:after="0" w:line="196" w:lineRule="exact"/>
              <w:rPr>
                <w:sz w:val="20"/>
                <w:szCs w:val="20"/>
                <w:color w:val="auto"/>
              </w:rPr>
            </w:pPr>
            <w:r>
              <w:rPr>
                <w:rFonts w:ascii="Arial" w:cs="Arial" w:eastAsia="Arial" w:hAnsi="Arial"/>
                <w:sz w:val="18"/>
                <w:szCs w:val="18"/>
                <w:color w:val="auto"/>
              </w:rPr>
              <w:t>Total time deposits</w:t>
            </w: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gridSpan w:val="5"/>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1,022,468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6: Borrowings</w:t>
      </w:r>
    </w:p>
    <w:p>
      <w:pPr>
        <w:spacing w:after="0" w:line="202" w:lineRule="exact"/>
        <w:rPr>
          <w:sz w:val="20"/>
          <w:szCs w:val="20"/>
          <w:color w:val="auto"/>
        </w:rPr>
      </w:pPr>
    </w:p>
    <w:p>
      <w:pPr>
        <w:ind w:left="60" w:right="339"/>
        <w:spacing w:after="0" w:line="259" w:lineRule="auto"/>
        <w:rPr>
          <w:sz w:val="20"/>
          <w:szCs w:val="20"/>
          <w:color w:val="auto"/>
        </w:rPr>
      </w:pPr>
      <w:r>
        <w:rPr>
          <w:rFonts w:ascii="Arial" w:cs="Arial" w:eastAsia="Arial" w:hAnsi="Arial"/>
          <w:sz w:val="17"/>
          <w:szCs w:val="17"/>
          <w:color w:val="auto"/>
        </w:rPr>
        <w:t xml:space="preserve">Securities sold under agreements to repurchase, which are classified as secured borrowings, generally mature daily. Securities sold under agreements to repurchase are reflected at the amount of cash received in connection with the transaction. The underlying securities are held by the Company’s safekeeping agent. The Company may be required to provide additional collateral based on fluctuations in the fair value of the underlying securities. Securities sold under agreements to repurchase were as follows </w:t>
      </w:r>
      <w:r>
        <w:rPr>
          <w:rFonts w:ascii="Arial" w:cs="Arial" w:eastAsia="Arial" w:hAnsi="Arial"/>
          <w:sz w:val="17"/>
          <w:szCs w:val="17"/>
          <w:i w:val="1"/>
          <w:iCs w:val="1"/>
          <w:color w:val="auto"/>
        </w:rPr>
        <w:t>(dollars in thousands)</w:t>
      </w:r>
      <w:r>
        <w:rPr>
          <w:rFonts w:ascii="Arial" w:cs="Arial" w:eastAsia="Arial" w:hAnsi="Arial"/>
          <w:sz w:val="17"/>
          <w:szCs w:val="17"/>
          <w:color w:val="auto"/>
        </w:rPr>
        <w:t>:</w:t>
      </w:r>
    </w:p>
    <w:p>
      <w:pPr>
        <w:spacing w:after="0" w:line="165"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64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107"/>
              <w:spacing w:after="0"/>
              <w:rPr>
                <w:sz w:val="20"/>
                <w:szCs w:val="20"/>
                <w:color w:val="auto"/>
              </w:rPr>
            </w:pPr>
            <w:r>
              <w:rPr>
                <w:rFonts w:ascii="Arial" w:cs="Arial" w:eastAsia="Arial" w:hAnsi="Arial"/>
                <w:sz w:val="14"/>
                <w:szCs w:val="14"/>
                <w:b w:val="1"/>
                <w:bCs w:val="1"/>
                <w:color w:val="auto"/>
              </w:rPr>
              <w:t>As of</w:t>
            </w:r>
          </w:p>
        </w:tc>
        <w:tc>
          <w:tcPr>
            <w:tcW w:w="80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r>
      <w:tr>
        <w:trPr>
          <w:trHeight w:val="133"/>
        </w:trPr>
        <w:tc>
          <w:tcPr>
            <w:tcW w:w="6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right"/>
              <w:ind w:right="420"/>
              <w:spacing w:after="0" w:line="133" w:lineRule="exact"/>
              <w:rPr>
                <w:sz w:val="20"/>
                <w:szCs w:val="20"/>
                <w:color w:val="auto"/>
              </w:rPr>
            </w:pPr>
            <w:r>
              <w:rPr>
                <w:rFonts w:ascii="Arial" w:cs="Arial" w:eastAsia="Arial" w:hAnsi="Arial"/>
                <w:sz w:val="14"/>
                <w:szCs w:val="14"/>
                <w:b w:val="1"/>
                <w:bCs w:val="1"/>
                <w:color w:val="auto"/>
              </w:rPr>
              <w:t>March 31,</w:t>
            </w:r>
          </w:p>
        </w:tc>
        <w:tc>
          <w:tcPr>
            <w:tcW w:w="1040" w:type="dxa"/>
            <w:vAlign w:val="bottom"/>
            <w:gridSpan w:val="2"/>
          </w:tcPr>
          <w:p>
            <w:pPr>
              <w:jc w:val="right"/>
              <w:ind w:right="36"/>
              <w:spacing w:after="0" w:line="133" w:lineRule="exact"/>
              <w:rPr>
                <w:sz w:val="20"/>
                <w:szCs w:val="20"/>
                <w:color w:val="auto"/>
              </w:rPr>
            </w:pPr>
            <w:r>
              <w:rPr>
                <w:rFonts w:ascii="Arial" w:cs="Arial" w:eastAsia="Arial" w:hAnsi="Arial"/>
                <w:sz w:val="14"/>
                <w:szCs w:val="14"/>
                <w:b w:val="1"/>
                <w:bCs w:val="1"/>
                <w:color w:val="auto"/>
                <w:w w:val="98"/>
              </w:rPr>
              <w:t>December 31,</w:t>
            </w:r>
          </w:p>
        </w:tc>
        <w:tc>
          <w:tcPr>
            <w:tcW w:w="180" w:type="dxa"/>
            <w:vAlign w:val="bottom"/>
          </w:tcPr>
          <w:p>
            <w:pPr>
              <w:spacing w:after="0"/>
              <w:rPr>
                <w:sz w:val="11"/>
                <w:szCs w:val="11"/>
                <w:color w:val="auto"/>
              </w:rPr>
            </w:pPr>
          </w:p>
        </w:tc>
      </w:tr>
      <w:tr>
        <w:trPr>
          <w:trHeight w:val="185"/>
        </w:trPr>
        <w:tc>
          <w:tcPr>
            <w:tcW w:w="64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6"/>
                <w:szCs w:val="16"/>
                <w:color w:val="auto"/>
              </w:rPr>
            </w:pPr>
          </w:p>
        </w:tc>
      </w:tr>
      <w:tr>
        <w:trPr>
          <w:trHeight w:val="196"/>
        </w:trPr>
        <w:tc>
          <w:tcPr>
            <w:tcW w:w="64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Securities sold under agreements to repurchase</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210,132</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175,614</w:t>
            </w:r>
          </w:p>
        </w:tc>
        <w:tc>
          <w:tcPr>
            <w:tcW w:w="180" w:type="dxa"/>
            <w:vAlign w:val="bottom"/>
            <w:shd w:val="clear" w:color="auto" w:fill="CCEEFF"/>
          </w:tcPr>
          <w:p>
            <w:pPr>
              <w:spacing w:after="0"/>
              <w:rPr>
                <w:sz w:val="17"/>
                <w:szCs w:val="17"/>
                <w:color w:val="auto"/>
              </w:rPr>
            </w:pP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Weighted average rate for securities sold under agreements to repurchase</w:t>
            </w:r>
          </w:p>
        </w:tc>
        <w:tc>
          <w:tcPr>
            <w:tcW w:w="14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0.11 %</w:t>
            </w:r>
          </w:p>
        </w:tc>
        <w:tc>
          <w:tcPr>
            <w:tcW w:w="2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0.13 %</w:t>
            </w:r>
          </w:p>
        </w:tc>
      </w:tr>
    </w:tbl>
    <w:p>
      <w:pPr>
        <w:spacing w:after="0" w:line="160" w:lineRule="exact"/>
        <w:rPr>
          <w:sz w:val="20"/>
          <w:szCs w:val="20"/>
          <w:color w:val="auto"/>
        </w:rPr>
      </w:pPr>
    </w:p>
    <w:p>
      <w:pPr>
        <w:ind w:left="60" w:right="179"/>
        <w:spacing w:after="0" w:line="261" w:lineRule="auto"/>
        <w:rPr>
          <w:sz w:val="20"/>
          <w:szCs w:val="20"/>
          <w:color w:val="auto"/>
        </w:rPr>
      </w:pPr>
      <w:r>
        <w:rPr>
          <w:rFonts w:ascii="Arial" w:cs="Arial" w:eastAsia="Arial" w:hAnsi="Arial"/>
          <w:sz w:val="18"/>
          <w:szCs w:val="18"/>
          <w:color w:val="auto"/>
        </w:rPr>
        <w:t>Federal funds purchased are short-term borrowings that generally mature between one and 90 days. The Company had no federal funds purchased at March 31, 2021, and December 31, 2020.</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3" w:name="page24"/>
    <w:bookmarkEnd w:id="23"/>
    <w:p>
      <w:pPr>
        <w:jc w:val="center"/>
        <w:ind w:right="19"/>
        <w:spacing w:after="0"/>
        <w:rPr>
          <w:sz w:val="20"/>
          <w:szCs w:val="20"/>
          <w:color w:val="auto"/>
        </w:rPr>
      </w:pPr>
      <w:r>
        <w:rPr>
          <w:rFonts w:ascii="Arial" w:cs="Arial" w:eastAsia="Arial" w:hAnsi="Arial"/>
          <w:sz w:val="18"/>
          <w:szCs w:val="18"/>
          <w:b w:val="1"/>
          <w:bCs w:val="1"/>
          <w:color w:val="auto"/>
        </w:rPr>
        <w:t>FIRST BUSEY CORPORATION</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w:t>
      </w:r>
    </w:p>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5" w:lineRule="exact"/>
        <w:rPr>
          <w:sz w:val="20"/>
          <w:szCs w:val="20"/>
          <w:color w:val="auto"/>
        </w:rPr>
      </w:pPr>
    </w:p>
    <w:p>
      <w:pPr>
        <w:ind w:left="60" w:right="299"/>
        <w:spacing w:after="0" w:line="248" w:lineRule="auto"/>
        <w:rPr>
          <w:sz w:val="20"/>
          <w:szCs w:val="20"/>
          <w:color w:val="auto"/>
        </w:rPr>
      </w:pPr>
      <w:r>
        <w:rPr>
          <w:rFonts w:ascii="Arial" w:cs="Arial" w:eastAsia="Arial" w:hAnsi="Arial"/>
          <w:sz w:val="18"/>
          <w:szCs w:val="18"/>
          <w:color w:val="auto"/>
        </w:rPr>
        <w:t>Short-term borrowings of $4.7 million at March 31, 2021, and December 31, 2020, was composed of FHLB advances which mature in less than one year from date of origination and the portion of long-term FHLB debt which is due within the next 12 months.</w:t>
      </w:r>
    </w:p>
    <w:p>
      <w:pPr>
        <w:spacing w:after="0" w:line="168"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On January 29, 2019, the Company entered into an Amended and Restated Credit Agreement providing for the Company’s $20.0 million revolving credit facility with an annual interest rate of one-month LIBOR plus a spread of 1.75%. The revolving credit facility was set to mature on April 30, 2021. Subsequent to quarter end, on April 21, 2021, the maturity was extended by amendment for an additional one year, to April 30, 2022. The revolving credit facility incurs a non-usage fee based on the undrawn amount. The Company had no outstanding balance under the revolving credit facility on March 31, 2021, or December 31, 2020.</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Long-term debt is summarized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03" w:lineRule="exact"/>
        <w:rPr>
          <w:sz w:val="20"/>
          <w:szCs w:val="20"/>
          <w:color w:val="auto"/>
        </w:rPr>
      </w:pPr>
    </w:p>
    <w:tbl>
      <w:tblPr>
        <w:tblLayout w:type="fixed"/>
        <w:tblInd w:w="60" w:type="dxa"/>
        <w:tblCellMar>
          <w:top w:w="0" w:type="dxa"/>
          <w:left w:w="0" w:type="dxa"/>
          <w:bottom w:w="0" w:type="dxa"/>
          <w:right w:w="0" w:type="dxa"/>
        </w:tblCellMar>
      </w:tblPr>
      <w:tr>
        <w:trPr>
          <w:trHeight w:val="185"/>
        </w:trPr>
        <w:tc>
          <w:tcPr>
            <w:tcW w:w="6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w w:val="79"/>
              </w:rPr>
              <w:t>As of</w:t>
            </w:r>
          </w:p>
        </w:tc>
        <w:tc>
          <w:tcPr>
            <w:tcW w:w="1000" w:type="dxa"/>
            <w:vAlign w:val="bottom"/>
            <w:tcBorders>
              <w:bottom w:val="single" w:sz="8" w:color="auto"/>
            </w:tcBorders>
          </w:tcPr>
          <w:p>
            <w:pPr>
              <w:spacing w:after="0"/>
              <w:rPr>
                <w:sz w:val="16"/>
                <w:szCs w:val="16"/>
                <w:color w:val="auto"/>
              </w:rPr>
            </w:pPr>
          </w:p>
        </w:tc>
      </w:tr>
      <w:tr>
        <w:trPr>
          <w:trHeight w:val="133"/>
        </w:trPr>
        <w:tc>
          <w:tcPr>
            <w:tcW w:w="6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center"/>
              <w:ind w:right="62"/>
              <w:spacing w:after="0" w:line="133" w:lineRule="exact"/>
              <w:rPr>
                <w:sz w:val="20"/>
                <w:szCs w:val="20"/>
                <w:color w:val="auto"/>
              </w:rPr>
            </w:pPr>
            <w:r>
              <w:rPr>
                <w:rFonts w:ascii="Arial" w:cs="Arial" w:eastAsia="Arial" w:hAnsi="Arial"/>
                <w:sz w:val="14"/>
                <w:szCs w:val="14"/>
                <w:b w:val="1"/>
                <w:bCs w:val="1"/>
                <w:color w:val="auto"/>
                <w:w w:val="99"/>
              </w:rPr>
              <w:t>March 31,</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jc w:val="center"/>
              <w:ind w:right="42"/>
              <w:spacing w:after="0" w:line="133" w:lineRule="exact"/>
              <w:rPr>
                <w:sz w:val="20"/>
                <w:szCs w:val="20"/>
                <w:color w:val="auto"/>
              </w:rPr>
            </w:pPr>
            <w:r>
              <w:rPr>
                <w:rFonts w:ascii="Arial" w:cs="Arial" w:eastAsia="Arial" w:hAnsi="Arial"/>
                <w:sz w:val="14"/>
                <w:szCs w:val="14"/>
                <w:b w:val="1"/>
                <w:bCs w:val="1"/>
                <w:color w:val="auto"/>
                <w:w w:val="92"/>
              </w:rPr>
              <w:t>December 31,</w:t>
            </w:r>
          </w:p>
        </w:tc>
      </w:tr>
      <w:tr>
        <w:trPr>
          <w:trHeight w:val="185"/>
        </w:trPr>
        <w:tc>
          <w:tcPr>
            <w:tcW w:w="634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2020</w:t>
            </w:r>
          </w:p>
        </w:tc>
      </w:tr>
      <w:tr>
        <w:trPr>
          <w:trHeight w:val="168"/>
        </w:trPr>
        <w:tc>
          <w:tcPr>
            <w:tcW w:w="6340" w:type="dxa"/>
            <w:vAlign w:val="bottom"/>
            <w:shd w:val="clear" w:color="auto" w:fill="CCEEFF"/>
          </w:tcPr>
          <w:p>
            <w:pPr>
              <w:spacing w:after="0" w:line="168" w:lineRule="exact"/>
              <w:rPr>
                <w:sz w:val="20"/>
                <w:szCs w:val="20"/>
                <w:color w:val="auto"/>
              </w:rPr>
            </w:pPr>
            <w:r>
              <w:rPr>
                <w:rFonts w:ascii="Arial" w:cs="Arial" w:eastAsia="Arial" w:hAnsi="Arial"/>
                <w:sz w:val="18"/>
                <w:szCs w:val="18"/>
                <w:color w:val="auto"/>
                <w:w w:val="95"/>
              </w:rPr>
              <w:t>Notes payable, FHLB, original maturity of 5 years, collateralized by FHLB deposits,</w:t>
            </w: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r>
        <w:trPr>
          <w:trHeight w:val="217"/>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residential and commercial real estate loans and FHLB stock</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4,584</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4,757</w:t>
            </w:r>
          </w:p>
        </w:tc>
      </w:tr>
    </w:tbl>
    <w:p>
      <w:pPr>
        <w:spacing w:after="0" w:line="188" w:lineRule="exact"/>
        <w:rPr>
          <w:sz w:val="20"/>
          <w:szCs w:val="20"/>
          <w:color w:val="auto"/>
        </w:rPr>
      </w:pPr>
    </w:p>
    <w:p>
      <w:pPr>
        <w:ind w:left="60" w:right="279"/>
        <w:spacing w:after="0" w:line="261" w:lineRule="auto"/>
        <w:rPr>
          <w:sz w:val="20"/>
          <w:szCs w:val="20"/>
          <w:color w:val="auto"/>
        </w:rPr>
      </w:pPr>
      <w:r>
        <w:rPr>
          <w:rFonts w:ascii="Arial" w:cs="Arial" w:eastAsia="Arial" w:hAnsi="Arial"/>
          <w:sz w:val="18"/>
          <w:szCs w:val="18"/>
          <w:color w:val="auto"/>
        </w:rPr>
        <w:t>As of March 31, 2021, and December 31, 2020, funds borrowed from the FHLB, listed above, consisted of one variable-rate note maturing in May 2023, with an interest rate of 3.04%.</w:t>
      </w:r>
    </w:p>
    <w:p>
      <w:pPr>
        <w:spacing w:after="0" w:line="157" w:lineRule="exact"/>
        <w:rPr>
          <w:sz w:val="20"/>
          <w:szCs w:val="20"/>
          <w:color w:val="auto"/>
        </w:rPr>
      </w:pPr>
    </w:p>
    <w:p>
      <w:pPr>
        <w:ind w:left="60" w:right="59"/>
        <w:spacing w:after="0" w:line="252" w:lineRule="auto"/>
        <w:rPr>
          <w:sz w:val="20"/>
          <w:szCs w:val="20"/>
          <w:color w:val="auto"/>
        </w:rPr>
      </w:pPr>
      <w:r>
        <w:rPr>
          <w:rFonts w:ascii="Arial" w:cs="Arial" w:eastAsia="Arial" w:hAnsi="Arial"/>
          <w:sz w:val="17"/>
          <w:szCs w:val="17"/>
          <w:color w:val="auto"/>
        </w:rPr>
        <w:t>On May 25, 2017, the Company issued $40.0 million of 3.75% senior notes that mature on May 25, 2022. The senior notes are payable semi-annually on each May 25 and November 25, commencing on November 25, 2017. The senior notes are not subject to optional redemption by the Company. Additionally, on May 25, 2017, the Company issued $60.0 million of fixed-to-floating rate subordinated notes that mature on May 25, 2027. The subordinated notes, which qualify as Tier 2 capital for First Busey, bear interest at an annual rate of 4.75% for the first five years after issuance and thereafter bear interest at a floating rate equal to three-month LIBOR plus a spread of 2.919%, as calculated on each applicable determination date. The subordinated notes are payable semi-annually on each May 25 and November 25, commencing on November 25, 2017, during the five-year fixed-term, and thereafter on February 25, May 25, August 25, and November 25 of each year, commencing on August 25, 2022. The subordinated notes have an optional redemption in whole or in part on any interest payment date on or after May 25, 2022. The senior notes and subordinated notes are unsecured obligations of the Company.</w:t>
      </w:r>
    </w:p>
    <w:p>
      <w:pPr>
        <w:spacing w:after="0" w:line="172" w:lineRule="exact"/>
        <w:rPr>
          <w:sz w:val="20"/>
          <w:szCs w:val="20"/>
          <w:color w:val="auto"/>
        </w:rPr>
      </w:pPr>
    </w:p>
    <w:p>
      <w:pPr>
        <w:ind w:left="60" w:right="59"/>
        <w:spacing w:after="0" w:line="238" w:lineRule="auto"/>
        <w:rPr>
          <w:sz w:val="20"/>
          <w:szCs w:val="20"/>
          <w:color w:val="auto"/>
        </w:rPr>
      </w:pPr>
      <w:r>
        <w:rPr>
          <w:rFonts w:ascii="Arial" w:cs="Arial" w:eastAsia="Arial" w:hAnsi="Arial"/>
          <w:sz w:val="18"/>
          <w:szCs w:val="18"/>
          <w:color w:val="auto"/>
        </w:rPr>
        <w:t>On June 1, 2020, the Company issued $125.0 million of fixed-to-floating rate subordinated notes that mature on June 1, 2030. The subordinated notes, which qualify as Tier 2 capital for First Busey, bear interest at an annual rate of 5.25% for the first five years after issuance and thereafter bear interest at a floating rate equal to a three-month benchmark rate plus a spread of 5.11%, as calculated on each applicable determination date. The subordinated notes are payable semi-annually on each June 1 and December 1 during the five-year fixed-term, and thereafter on March 1, June 1, September 1, and December 1 of each year, commencing on September 1, 2025. The subordinated notes have an optional redemption in whole or in part on any interest payment date on or after June 1, 2025. The subordinated notes are unsecured obligations of the Company.</w:t>
      </w:r>
    </w:p>
    <w:p>
      <w:pPr>
        <w:spacing w:after="0" w:line="180" w:lineRule="exact"/>
        <w:rPr>
          <w:sz w:val="20"/>
          <w:szCs w:val="20"/>
          <w:color w:val="auto"/>
        </w:rPr>
      </w:pPr>
    </w:p>
    <w:p>
      <w:pPr>
        <w:ind w:left="60" w:right="79"/>
        <w:spacing w:after="0" w:line="261" w:lineRule="auto"/>
        <w:rPr>
          <w:sz w:val="20"/>
          <w:szCs w:val="20"/>
          <w:color w:val="auto"/>
        </w:rPr>
      </w:pPr>
      <w:r>
        <w:rPr>
          <w:rFonts w:ascii="Arial" w:cs="Arial" w:eastAsia="Arial" w:hAnsi="Arial"/>
          <w:sz w:val="18"/>
          <w:szCs w:val="18"/>
          <w:color w:val="auto"/>
        </w:rPr>
        <w:t xml:space="preserve">Unamortized debt issuance costs related to senior notes and subordinated notes are presented in the following table </w:t>
      </w:r>
      <w:r>
        <w:rPr>
          <w:rFonts w:ascii="Arial" w:cs="Arial" w:eastAsia="Arial" w:hAnsi="Arial"/>
          <w:sz w:val="18"/>
          <w:szCs w:val="18"/>
          <w:i w:val="1"/>
          <w:iCs w:val="1"/>
          <w:color w:val="auto"/>
        </w:rPr>
        <w:t>(dollars</w:t>
      </w:r>
      <w:r>
        <w:rPr>
          <w:rFonts w:ascii="Arial" w:cs="Arial" w:eastAsia="Arial" w:hAnsi="Arial"/>
          <w:sz w:val="18"/>
          <w:szCs w:val="18"/>
          <w:color w:val="auto"/>
        </w:rPr>
        <w:t xml:space="preserve">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378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5"/>
              </w:rPr>
              <w:t>As of</w:t>
            </w:r>
          </w:p>
        </w:tc>
        <w:tc>
          <w:tcPr>
            <w:tcW w:w="9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78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right"/>
              <w:ind w:right="96"/>
              <w:spacing w:after="0" w:line="133" w:lineRule="exact"/>
              <w:rPr>
                <w:sz w:val="20"/>
                <w:szCs w:val="20"/>
                <w:color w:val="auto"/>
              </w:rPr>
            </w:pPr>
            <w:r>
              <w:rPr>
                <w:rFonts w:ascii="Arial" w:cs="Arial" w:eastAsia="Arial" w:hAnsi="Arial"/>
                <w:sz w:val="14"/>
                <w:szCs w:val="14"/>
                <w:b w:val="1"/>
                <w:bCs w:val="1"/>
                <w:color w:val="auto"/>
              </w:rPr>
              <w:t>March 31,</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right"/>
              <w:ind w:right="56"/>
              <w:spacing w:after="0" w:line="133" w:lineRule="exact"/>
              <w:rPr>
                <w:sz w:val="20"/>
                <w:szCs w:val="20"/>
                <w:color w:val="auto"/>
              </w:rPr>
            </w:pPr>
            <w:r>
              <w:rPr>
                <w:rFonts w:ascii="Arial" w:cs="Arial" w:eastAsia="Arial" w:hAnsi="Arial"/>
                <w:sz w:val="14"/>
                <w:szCs w:val="14"/>
                <w:b w:val="1"/>
                <w:bCs w:val="1"/>
                <w:color w:val="auto"/>
                <w:w w:val="90"/>
              </w:rPr>
              <w:t>December 31,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3780" w:type="dxa"/>
            <w:vAlign w:val="bottom"/>
            <w:tcBorders>
              <w:bottom w:val="single" w:sz="8" w:color="CCEEFF"/>
            </w:tcBorders>
          </w:tcPr>
          <w:p>
            <w:pPr>
              <w:spacing w:after="0"/>
              <w:rPr>
                <w:sz w:val="16"/>
                <w:szCs w:val="16"/>
                <w:color w:val="auto"/>
              </w:rPr>
            </w:pPr>
          </w:p>
        </w:tc>
        <w:tc>
          <w:tcPr>
            <w:tcW w:w="28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auto"/>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7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Unamortized debt issuance costs related to:</w:t>
            </w:r>
          </w:p>
        </w:tc>
        <w:tc>
          <w:tcPr>
            <w:tcW w:w="2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80" w:type="dxa"/>
            <w:vAlign w:val="bottom"/>
          </w:tcPr>
          <w:p>
            <w:pPr>
              <w:ind w:left="220"/>
              <w:spacing w:after="0" w:line="202" w:lineRule="exact"/>
              <w:rPr>
                <w:sz w:val="20"/>
                <w:szCs w:val="20"/>
                <w:color w:val="auto"/>
              </w:rPr>
            </w:pPr>
            <w:r>
              <w:rPr>
                <w:rFonts w:ascii="Arial" w:cs="Arial" w:eastAsia="Arial" w:hAnsi="Arial"/>
                <w:sz w:val="18"/>
                <w:szCs w:val="18"/>
                <w:color w:val="auto"/>
              </w:rPr>
              <w:t>Senior notes issued in 2017</w:t>
            </w:r>
          </w:p>
        </w:tc>
        <w:tc>
          <w:tcPr>
            <w:tcW w:w="29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157</w:t>
            </w:r>
          </w:p>
        </w:tc>
        <w:tc>
          <w:tcPr>
            <w:tcW w:w="3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191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Subordinated notes issued in 2017</w:t>
            </w:r>
          </w:p>
        </w:tc>
        <w:tc>
          <w:tcPr>
            <w:tcW w:w="2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625</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80" w:type="dxa"/>
            <w:vAlign w:val="bottom"/>
            <w:tcBorders>
              <w:bottom w:val="single" w:sz="8" w:color="CCEEFF"/>
            </w:tcBorders>
          </w:tcPr>
          <w:p>
            <w:pPr>
              <w:ind w:left="220"/>
              <w:spacing w:after="0" w:line="202" w:lineRule="exact"/>
              <w:rPr>
                <w:sz w:val="20"/>
                <w:szCs w:val="20"/>
                <w:color w:val="auto"/>
              </w:rPr>
            </w:pPr>
            <w:r>
              <w:rPr>
                <w:rFonts w:ascii="Arial" w:cs="Arial" w:eastAsia="Arial" w:hAnsi="Arial"/>
                <w:sz w:val="18"/>
                <w:szCs w:val="18"/>
                <w:color w:val="auto"/>
              </w:rPr>
              <w:t>Subordinated notes issued in 2020</w:t>
            </w:r>
          </w:p>
        </w:tc>
        <w:tc>
          <w:tcPr>
            <w:tcW w:w="28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2,005</w:t>
            </w:r>
          </w:p>
        </w:tc>
        <w:tc>
          <w:tcPr>
            <w:tcW w:w="60" w:type="dxa"/>
            <w:vAlign w:val="bottom"/>
            <w:tcBorders>
              <w:bottom w:val="single" w:sz="8" w:color="auto"/>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780" w:type="dxa"/>
            <w:vAlign w:val="bottom"/>
            <w:tcBorders>
              <w:bottom w:val="single" w:sz="8" w:color="CCEEFF"/>
            </w:tcBorders>
            <w:shd w:val="clear" w:color="auto" w:fill="CCEEFF"/>
          </w:tcPr>
          <w:p>
            <w:pPr>
              <w:ind w:left="440"/>
              <w:spacing w:after="0" w:line="196" w:lineRule="exact"/>
              <w:rPr>
                <w:sz w:val="20"/>
                <w:szCs w:val="20"/>
                <w:color w:val="auto"/>
              </w:rPr>
            </w:pPr>
            <w:r>
              <w:rPr>
                <w:rFonts w:ascii="Arial" w:cs="Arial" w:eastAsia="Arial" w:hAnsi="Arial"/>
                <w:sz w:val="18"/>
                <w:szCs w:val="18"/>
                <w:color w:val="auto"/>
              </w:rPr>
              <w:t>Total unamortized debt issuance costs</w:t>
            </w:r>
          </w:p>
        </w:tc>
        <w:tc>
          <w:tcPr>
            <w:tcW w:w="28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2,787</w:t>
            </w:r>
          </w:p>
        </w:tc>
        <w:tc>
          <w:tcPr>
            <w:tcW w:w="6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2,965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2800" w:type="dxa"/>
            <w:vAlign w:val="bottom"/>
            <w:vMerge w:val="restart"/>
          </w:tcPr>
          <w:p>
            <w:pPr>
              <w:jc w:val="right"/>
              <w:ind w:right="1930"/>
              <w:spacing w:after="0"/>
              <w:rPr>
                <w:sz w:val="20"/>
                <w:szCs w:val="20"/>
                <w:color w:val="auto"/>
              </w:rPr>
            </w:pPr>
            <w:r>
              <w:rPr>
                <w:rFonts w:ascii="Arial" w:cs="Arial" w:eastAsia="Arial" w:hAnsi="Arial"/>
                <w:sz w:val="18"/>
                <w:szCs w:val="18"/>
                <w:color w:val="auto"/>
              </w:rPr>
              <w:t>24</w:t>
            </w: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3780" w:type="dxa"/>
            <w:vAlign w:val="bottom"/>
          </w:tcPr>
          <w:p>
            <w:pPr>
              <w:spacing w:after="0"/>
              <w:rPr>
                <w:sz w:val="24"/>
                <w:szCs w:val="24"/>
                <w:color w:val="auto"/>
              </w:rPr>
            </w:pPr>
          </w:p>
        </w:tc>
        <w:tc>
          <w:tcPr>
            <w:tcW w:w="28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378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24" w:name="page25"/>
    <w:bookmarkEnd w:id="24"/>
    <w:p>
      <w:pPr>
        <w:jc w:val="center"/>
        <w:ind w:right="19"/>
        <w:spacing w:after="0"/>
        <w:rPr>
          <w:sz w:val="20"/>
          <w:szCs w:val="20"/>
          <w:color w:val="auto"/>
        </w:rPr>
      </w:pPr>
      <w:r>
        <w:rPr>
          <w:rFonts w:ascii="Arial" w:cs="Arial" w:eastAsia="Arial" w:hAnsi="Arial"/>
          <w:sz w:val="18"/>
          <w:szCs w:val="18"/>
          <w:b w:val="1"/>
          <w:bCs w:val="1"/>
          <w:color w:val="auto"/>
        </w:rPr>
        <w:t>FIRST BUSEY CORPORATION</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w:t>
      </w:r>
    </w:p>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7: Regulatory Capital</w:t>
      </w:r>
    </w:p>
    <w:p>
      <w:pPr>
        <w:spacing w:after="0" w:line="202" w:lineRule="exact"/>
        <w:rPr>
          <w:sz w:val="20"/>
          <w:szCs w:val="20"/>
          <w:color w:val="auto"/>
        </w:rPr>
      </w:pPr>
    </w:p>
    <w:p>
      <w:pPr>
        <w:ind w:left="60" w:right="159"/>
        <w:spacing w:after="0" w:line="241" w:lineRule="auto"/>
        <w:rPr>
          <w:sz w:val="20"/>
          <w:szCs w:val="20"/>
          <w:color w:val="auto"/>
        </w:rPr>
      </w:pPr>
      <w:r>
        <w:rPr>
          <w:rFonts w:ascii="Arial" w:cs="Arial" w:eastAsia="Arial" w:hAnsi="Arial"/>
          <w:sz w:val="18"/>
          <w:szCs w:val="18"/>
          <w:color w:val="auto"/>
        </w:rPr>
        <w:t>The Company and Busey Bank are subject to various regulatory capital requirements administered by federal banking agencies. Failure to meet minimum capital requirements can initiate certain mandatory – and possibly additional discretionary – actions by regulators that, if undertaken, could have a direct material effect on the Company's consolidated financial statements. Capital amounts and classification also are subject to qualitative judgments by regulators about components, risk weightings, and other factors.</w:t>
      </w:r>
    </w:p>
    <w:p>
      <w:pPr>
        <w:spacing w:after="0" w:line="176" w:lineRule="exact"/>
        <w:rPr>
          <w:sz w:val="20"/>
          <w:szCs w:val="20"/>
          <w:color w:val="auto"/>
        </w:rPr>
      </w:pPr>
    </w:p>
    <w:p>
      <w:pPr>
        <w:ind w:left="60" w:right="299"/>
        <w:spacing w:after="0" w:line="241" w:lineRule="auto"/>
        <w:rPr>
          <w:sz w:val="20"/>
          <w:szCs w:val="20"/>
          <w:color w:val="auto"/>
        </w:rPr>
      </w:pPr>
      <w:r>
        <w:rPr>
          <w:rFonts w:ascii="Arial" w:cs="Arial" w:eastAsia="Arial" w:hAnsi="Arial"/>
          <w:sz w:val="18"/>
          <w:szCs w:val="18"/>
          <w:color w:val="auto"/>
        </w:rPr>
        <w:t>Banking regulations identify five capital categories for insured depository institutions: well capitalized, adequately capitalized, undercapitalized, significantly undercapitalized, and critically undercapitalized. As of March 31, 2021, and December 31, 2020, all capital ratios of the Company and Busey Bank exceeded the well capitalized levels under the applicable regulatory capital adequacy guidelines. Management believes that no events or changes have occurred subsequent to March 31, 2021, that would change this designation.</w:t>
      </w:r>
    </w:p>
    <w:p>
      <w:pPr>
        <w:spacing w:after="0" w:line="176" w:lineRule="exact"/>
        <w:rPr>
          <w:sz w:val="20"/>
          <w:szCs w:val="20"/>
          <w:color w:val="auto"/>
        </w:rPr>
      </w:pPr>
    </w:p>
    <w:p>
      <w:pPr>
        <w:ind w:left="60" w:right="79"/>
        <w:spacing w:after="0" w:line="252" w:lineRule="auto"/>
        <w:rPr>
          <w:sz w:val="20"/>
          <w:szCs w:val="20"/>
          <w:color w:val="auto"/>
        </w:rPr>
      </w:pPr>
      <w:r>
        <w:rPr>
          <w:rFonts w:ascii="Arial" w:cs="Arial" w:eastAsia="Arial" w:hAnsi="Arial"/>
          <w:sz w:val="17"/>
          <w:szCs w:val="17"/>
          <w:color w:val="auto"/>
        </w:rPr>
        <w:t>On March 27, 2020, the FDIC and other federal banking agencies published an interim final rule that provides those banking organizations adopting CECL during 2020 with the option to delay for two years the estimated impact of CECL on regulatory capital and to phase in the aggregate impact of the deferral on regulatory capital over a subsequent three year period. On August 26, 2020, the CECL final rule was finalized and was substantially similar to the interim final rule. Under this final rule, because the Company has elected to use the deferral option, the regulatory capital impact of our transition adjustments recorded on January 1, 2020, from the adoption of CECL will be deferred for two years, until January 1, 2022. In addition, 25 percent of the ongoing impact of CECL on our ACL, retained earnings, and average total consolidated assets from January 1, 2020, through the end of the two-year deferral period, each as reported for regulatory capital purposes, will be added to the deferred transition amounts (“adjusted transition amounts”) and deferred for the two-year period. At the conclusion of the two-year period the adjusted transition amounts will be phased-in for regulatory capital purposes at a rate of 25 percent per year, with the phased-in amounts included in regulatory capital at the beginning of each year.</w:t>
      </w:r>
    </w:p>
    <w:p>
      <w:pPr>
        <w:spacing w:after="0" w:line="170" w:lineRule="exact"/>
        <w:rPr>
          <w:sz w:val="20"/>
          <w:szCs w:val="20"/>
          <w:color w:val="auto"/>
        </w:rPr>
      </w:pPr>
    </w:p>
    <w:p>
      <w:pPr>
        <w:ind w:left="60" w:right="499"/>
        <w:spacing w:after="0" w:line="247" w:lineRule="auto"/>
        <w:rPr>
          <w:sz w:val="20"/>
          <w:szCs w:val="20"/>
          <w:color w:val="auto"/>
        </w:rPr>
      </w:pPr>
      <w:r>
        <w:rPr>
          <w:rFonts w:ascii="Arial" w:cs="Arial" w:eastAsia="Arial" w:hAnsi="Arial"/>
          <w:sz w:val="18"/>
          <w:szCs w:val="18"/>
          <w:color w:val="auto"/>
        </w:rPr>
        <w:t xml:space="preserve">The following tables summarize the applicable holding company and bank regulatory capital requirements </w:t>
      </w:r>
      <w:r>
        <w:rPr>
          <w:rFonts w:ascii="Arial" w:cs="Arial" w:eastAsia="Arial" w:hAnsi="Arial"/>
          <w:sz w:val="18"/>
          <w:szCs w:val="18"/>
          <w:i w:val="1"/>
          <w:iCs w:val="1"/>
          <w:color w:val="auto"/>
        </w:rPr>
        <w:t>(dollars 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tbl>
      <w:tblPr>
        <w:tblLayout w:type="fixed"/>
        <w:tblInd w:w="40" w:type="dxa"/>
        <w:tblCellMar>
          <w:top w:w="0" w:type="dxa"/>
          <w:left w:w="0" w:type="dxa"/>
          <w:bottom w:w="0" w:type="dxa"/>
          <w:right w:w="0" w:type="dxa"/>
        </w:tblCellMar>
      </w:tblPr>
      <w:tr>
        <w:trPr>
          <w:trHeight w:val="146"/>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3"/>
          </w:tcPr>
          <w:p>
            <w:pPr>
              <w:jc w:val="center"/>
              <w:ind w:left="236"/>
              <w:spacing w:after="0" w:line="146" w:lineRule="exact"/>
              <w:rPr>
                <w:sz w:val="20"/>
                <w:szCs w:val="20"/>
                <w:color w:val="auto"/>
              </w:rPr>
            </w:pPr>
            <w:r>
              <w:rPr>
                <w:rFonts w:ascii="Arial" w:cs="Arial" w:eastAsia="Arial" w:hAnsi="Arial"/>
                <w:sz w:val="14"/>
                <w:szCs w:val="14"/>
                <w:b w:val="1"/>
                <w:bCs w:val="1"/>
                <w:color w:val="auto"/>
                <w:w w:val="97"/>
              </w:rPr>
              <w:t>Minimum</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2"/>
        </w:trPr>
        <w:tc>
          <w:tcPr>
            <w:tcW w:w="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3"/>
          </w:tcPr>
          <w:p>
            <w:pPr>
              <w:ind w:left="340"/>
              <w:spacing w:after="0"/>
              <w:rPr>
                <w:sz w:val="20"/>
                <w:szCs w:val="20"/>
                <w:color w:val="auto"/>
              </w:rPr>
            </w:pPr>
            <w:r>
              <w:rPr>
                <w:rFonts w:ascii="Arial" w:cs="Arial" w:eastAsia="Arial" w:hAnsi="Arial"/>
                <w:sz w:val="14"/>
                <w:szCs w:val="14"/>
                <w:b w:val="1"/>
                <w:bCs w:val="1"/>
                <w:color w:val="auto"/>
              </w:rPr>
              <w:t>Minimum</w:t>
            </w: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92"/>
              </w:rPr>
              <w:t>To Be Well</w:t>
            </w:r>
          </w:p>
        </w:tc>
      </w:tr>
      <w:tr>
        <w:trPr>
          <w:trHeight w:val="185"/>
        </w:trPr>
        <w:tc>
          <w:tcPr>
            <w:tcW w:w="2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Actual</w:t>
            </w: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w w:val="93"/>
              </w:rPr>
              <w:t>Capital Requirement</w:t>
            </w:r>
          </w:p>
        </w:tc>
        <w:tc>
          <w:tcPr>
            <w:tcW w:w="140" w:type="dxa"/>
            <w:vAlign w:val="bottom"/>
          </w:tcPr>
          <w:p>
            <w:pPr>
              <w:spacing w:after="0"/>
              <w:rPr>
                <w:sz w:val="16"/>
                <w:szCs w:val="16"/>
                <w:color w:val="auto"/>
              </w:rPr>
            </w:pPr>
          </w:p>
        </w:tc>
        <w:tc>
          <w:tcPr>
            <w:tcW w:w="160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94"/>
              </w:rPr>
              <w:t>Capitalized</w:t>
            </w:r>
          </w:p>
        </w:tc>
      </w:tr>
      <w:tr>
        <w:trPr>
          <w:trHeight w:val="155"/>
        </w:trPr>
        <w:tc>
          <w:tcPr>
            <w:tcW w:w="2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gridSpan w:val="3"/>
          </w:tcPr>
          <w:p>
            <w:pPr>
              <w:jc w:val="right"/>
              <w:ind w:right="340"/>
              <w:spacing w:after="0" w:line="155" w:lineRule="exact"/>
              <w:rPr>
                <w:sz w:val="20"/>
                <w:szCs w:val="20"/>
                <w:color w:val="auto"/>
              </w:rPr>
            </w:pPr>
            <w:r>
              <w:rPr>
                <w:rFonts w:ascii="Arial" w:cs="Arial" w:eastAsia="Arial" w:hAnsi="Arial"/>
                <w:sz w:val="14"/>
                <w:szCs w:val="14"/>
                <w:b w:val="1"/>
                <w:bCs w:val="1"/>
                <w:color w:val="auto"/>
              </w:rPr>
              <w:t>Amount</w:t>
            </w:r>
          </w:p>
        </w:tc>
        <w:tc>
          <w:tcPr>
            <w:tcW w:w="500" w:type="dxa"/>
            <w:vAlign w:val="bottom"/>
            <w:tcBorders>
              <w:top w:val="single" w:sz="8" w:color="auto"/>
            </w:tcBorders>
          </w:tcPr>
          <w:p>
            <w:pPr>
              <w:ind w:left="80"/>
              <w:spacing w:after="0" w:line="155" w:lineRule="exact"/>
              <w:rPr>
                <w:sz w:val="20"/>
                <w:szCs w:val="20"/>
                <w:color w:val="auto"/>
              </w:rPr>
            </w:pPr>
            <w:r>
              <w:rPr>
                <w:rFonts w:ascii="Arial" w:cs="Arial" w:eastAsia="Arial" w:hAnsi="Arial"/>
                <w:sz w:val="14"/>
                <w:szCs w:val="14"/>
                <w:b w:val="1"/>
                <w:bCs w:val="1"/>
                <w:color w:val="auto"/>
              </w:rPr>
              <w:t>Ratio</w:t>
            </w:r>
          </w:p>
        </w:tc>
        <w:tc>
          <w:tcPr>
            <w:tcW w:w="3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gridSpan w:val="3"/>
          </w:tcPr>
          <w:p>
            <w:pPr>
              <w:ind w:left="80"/>
              <w:spacing w:after="0" w:line="155" w:lineRule="exact"/>
              <w:rPr>
                <w:sz w:val="20"/>
                <w:szCs w:val="20"/>
                <w:color w:val="auto"/>
              </w:rPr>
            </w:pPr>
            <w:r>
              <w:rPr>
                <w:rFonts w:ascii="Arial" w:cs="Arial" w:eastAsia="Arial" w:hAnsi="Arial"/>
                <w:sz w:val="14"/>
                <w:szCs w:val="14"/>
                <w:b w:val="1"/>
                <w:bCs w:val="1"/>
                <w:color w:val="auto"/>
              </w:rPr>
              <w:t>Amount</w:t>
            </w:r>
          </w:p>
        </w:tc>
        <w:tc>
          <w:tcPr>
            <w:tcW w:w="4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1"/>
              </w:rPr>
              <w:t>Ratio</w:t>
            </w:r>
          </w:p>
        </w:tc>
        <w:tc>
          <w:tcPr>
            <w:tcW w:w="3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3"/>
          </w:tcPr>
          <w:p>
            <w:pPr>
              <w:ind w:left="60"/>
              <w:spacing w:after="0" w:line="155" w:lineRule="exact"/>
              <w:rPr>
                <w:sz w:val="20"/>
                <w:szCs w:val="20"/>
                <w:color w:val="auto"/>
              </w:rPr>
            </w:pPr>
            <w:r>
              <w:rPr>
                <w:rFonts w:ascii="Arial" w:cs="Arial" w:eastAsia="Arial" w:hAnsi="Arial"/>
                <w:sz w:val="14"/>
                <w:szCs w:val="14"/>
                <w:b w:val="1"/>
                <w:bCs w:val="1"/>
                <w:color w:val="auto"/>
              </w:rPr>
              <w:t>Amount</w:t>
            </w:r>
          </w:p>
        </w:tc>
        <w:tc>
          <w:tcPr>
            <w:tcW w:w="4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Ratio</w:t>
            </w:r>
          </w:p>
        </w:tc>
        <w:tc>
          <w:tcPr>
            <w:tcW w:w="180" w:type="dxa"/>
            <w:vAlign w:val="bottom"/>
            <w:gridSpan w:val="2"/>
          </w:tcPr>
          <w:p>
            <w:pPr>
              <w:spacing w:after="0"/>
              <w:rPr>
                <w:sz w:val="13"/>
                <w:szCs w:val="13"/>
                <w:color w:val="auto"/>
              </w:rPr>
            </w:pPr>
          </w:p>
        </w:tc>
      </w:tr>
      <w:tr>
        <w:trPr>
          <w:trHeight w:val="196"/>
        </w:trPr>
        <w:tc>
          <w:tcPr>
            <w:tcW w:w="3520" w:type="dxa"/>
            <w:vAlign w:val="bottom"/>
            <w:tcBorders>
              <w:top w:val="single" w:sz="8" w:color="CCEEFF"/>
            </w:tcBorders>
            <w:gridSpan w:val="5"/>
            <w:shd w:val="clear" w:color="auto" w:fill="CCEEFF"/>
          </w:tcPr>
          <w:p>
            <w:pPr>
              <w:ind w:left="20"/>
              <w:spacing w:after="0"/>
              <w:rPr>
                <w:sz w:val="20"/>
                <w:szCs w:val="20"/>
                <w:color w:val="auto"/>
              </w:rPr>
            </w:pPr>
            <w:r>
              <w:rPr>
                <w:rFonts w:ascii="Arial" w:cs="Arial" w:eastAsia="Arial" w:hAnsi="Arial"/>
                <w:sz w:val="14"/>
                <w:szCs w:val="14"/>
                <w:b w:val="1"/>
                <w:bCs w:val="1"/>
                <w:color w:val="auto"/>
              </w:rPr>
              <w:t>As of March 31, 2021:</w:t>
            </w:r>
          </w:p>
        </w:tc>
        <w:tc>
          <w:tcPr>
            <w:tcW w:w="1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183"/>
        </w:trPr>
        <w:tc>
          <w:tcPr>
            <w:tcW w:w="3520" w:type="dxa"/>
            <w:vAlign w:val="bottom"/>
            <w:gridSpan w:val="5"/>
          </w:tcPr>
          <w:p>
            <w:pPr>
              <w:ind w:left="20"/>
              <w:spacing w:after="0" w:line="176" w:lineRule="exact"/>
              <w:rPr>
                <w:sz w:val="20"/>
                <w:szCs w:val="20"/>
                <w:color w:val="auto"/>
              </w:rPr>
            </w:pPr>
            <w:r>
              <w:rPr>
                <w:rFonts w:ascii="Arial" w:cs="Arial" w:eastAsia="Arial" w:hAnsi="Arial"/>
                <w:sz w:val="18"/>
                <w:szCs w:val="18"/>
                <w:color w:val="auto"/>
              </w:rPr>
              <w:t>Total Capital (to Risk Weighted Assets)</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3"/>
        </w:trPr>
        <w:tc>
          <w:tcPr>
            <w:tcW w:w="20" w:type="dxa"/>
            <w:vAlign w:val="bottom"/>
            <w:shd w:val="clear" w:color="auto" w:fill="CCEEFF"/>
          </w:tcPr>
          <w:p>
            <w:pPr>
              <w:spacing w:after="0"/>
              <w:rPr>
                <w:sz w:val="17"/>
                <w:szCs w:val="17"/>
                <w:color w:val="auto"/>
              </w:rPr>
            </w:pPr>
          </w:p>
        </w:tc>
        <w:tc>
          <w:tcPr>
            <w:tcW w:w="2840" w:type="dxa"/>
            <w:vAlign w:val="bottom"/>
            <w:tcBorders>
              <w:top w:val="single" w:sz="8" w:color="auto"/>
            </w:tcBorders>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Consolidated</w:t>
            </w:r>
          </w:p>
        </w:tc>
        <w:tc>
          <w:tcPr>
            <w:tcW w:w="660" w:type="dxa"/>
            <w:vAlign w:val="bottom"/>
            <w:gridSpan w:val="2"/>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89"/>
              </w:rPr>
              <w:t>1,265,926</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w w:val="96"/>
              </w:rPr>
              <w:t>17.39 %</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582,526</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w w:val="99"/>
              </w:rPr>
              <w:t>8.00 %</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728,157</w:t>
            </w: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90"/>
              </w:rPr>
              <w:t>10.00 %</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500" w:type="dxa"/>
            <w:vAlign w:val="bottom"/>
            <w:gridSpan w:val="4"/>
          </w:tcPr>
          <w:p>
            <w:pPr>
              <w:ind w:left="200"/>
              <w:spacing w:after="0" w:line="202" w:lineRule="exact"/>
              <w:rPr>
                <w:sz w:val="20"/>
                <w:szCs w:val="20"/>
                <w:color w:val="auto"/>
              </w:rPr>
            </w:pPr>
            <w:r>
              <w:rPr>
                <w:rFonts w:ascii="Arial" w:cs="Arial" w:eastAsia="Arial" w:hAnsi="Arial"/>
                <w:sz w:val="18"/>
                <w:szCs w:val="18"/>
                <w:color w:val="auto"/>
              </w:rPr>
              <w:t>Busey Bank</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w w:val="89"/>
              </w:rPr>
              <w:t>1,167,199</w:t>
            </w:r>
          </w:p>
        </w:tc>
        <w:tc>
          <w:tcPr>
            <w:tcW w:w="140" w:type="dxa"/>
            <w:vAlign w:val="bottom"/>
          </w:tcPr>
          <w:p>
            <w:pPr>
              <w:spacing w:after="0"/>
              <w:rPr>
                <w:sz w:val="17"/>
                <w:szCs w:val="17"/>
                <w:color w:val="auto"/>
              </w:rPr>
            </w:pPr>
          </w:p>
        </w:tc>
        <w:tc>
          <w:tcPr>
            <w:tcW w:w="8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w w:val="96"/>
              </w:rPr>
              <w:t>16.06 %</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581,457</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w w:val="99"/>
              </w:rPr>
              <w:t>8.00 %</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726,821</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0"/>
              </w:rPr>
              <w:t>10.00 %</w:t>
            </w:r>
          </w:p>
        </w:tc>
        <w:tc>
          <w:tcPr>
            <w:tcW w:w="20" w:type="dxa"/>
            <w:vAlign w:val="bottom"/>
          </w:tcPr>
          <w:p>
            <w:pPr>
              <w:spacing w:after="0"/>
              <w:rPr>
                <w:sz w:val="17"/>
                <w:szCs w:val="17"/>
                <w:color w:val="auto"/>
              </w:rPr>
            </w:pPr>
          </w:p>
        </w:tc>
      </w:tr>
      <w:tr>
        <w:trPr>
          <w:trHeight w:val="203"/>
        </w:trPr>
        <w:tc>
          <w:tcPr>
            <w:tcW w:w="20" w:type="dxa"/>
            <w:vAlign w:val="bottom"/>
            <w:shd w:val="clear" w:color="auto" w:fill="CCEEFF"/>
          </w:tcPr>
          <w:p>
            <w:pPr>
              <w:spacing w:after="0"/>
              <w:rPr>
                <w:sz w:val="17"/>
                <w:szCs w:val="17"/>
                <w:color w:val="auto"/>
              </w:rPr>
            </w:pPr>
          </w:p>
        </w:tc>
        <w:tc>
          <w:tcPr>
            <w:tcW w:w="24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183"/>
        </w:trPr>
        <w:tc>
          <w:tcPr>
            <w:tcW w:w="3520" w:type="dxa"/>
            <w:vAlign w:val="bottom"/>
            <w:gridSpan w:val="5"/>
          </w:tcPr>
          <w:p>
            <w:pPr>
              <w:ind w:left="20"/>
              <w:spacing w:after="0" w:line="176" w:lineRule="exact"/>
              <w:rPr>
                <w:sz w:val="20"/>
                <w:szCs w:val="20"/>
                <w:color w:val="auto"/>
              </w:rPr>
            </w:pPr>
            <w:r>
              <w:rPr>
                <w:rFonts w:ascii="Arial" w:cs="Arial" w:eastAsia="Arial" w:hAnsi="Arial"/>
                <w:sz w:val="18"/>
                <w:szCs w:val="18"/>
                <w:color w:val="auto"/>
              </w:rPr>
              <w:t>Tier 1 Capital (to Risk Weighted Assets)</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3"/>
        </w:trPr>
        <w:tc>
          <w:tcPr>
            <w:tcW w:w="20" w:type="dxa"/>
            <w:vAlign w:val="bottom"/>
            <w:shd w:val="clear" w:color="auto" w:fill="CCEEFF"/>
          </w:tcPr>
          <w:p>
            <w:pPr>
              <w:spacing w:after="0"/>
              <w:rPr>
                <w:sz w:val="17"/>
                <w:szCs w:val="17"/>
                <w:color w:val="auto"/>
              </w:rPr>
            </w:pPr>
          </w:p>
        </w:tc>
        <w:tc>
          <w:tcPr>
            <w:tcW w:w="2900" w:type="dxa"/>
            <w:vAlign w:val="bottom"/>
            <w:tcBorders>
              <w:top w:val="single" w:sz="8" w:color="auto"/>
            </w:tcBorders>
            <w:gridSpan w:val="3"/>
            <w:shd w:val="clear" w:color="auto" w:fill="CCEEFF"/>
          </w:tcPr>
          <w:p>
            <w:pPr>
              <w:ind w:left="200"/>
              <w:spacing w:after="0" w:line="202" w:lineRule="exact"/>
              <w:rPr>
                <w:sz w:val="20"/>
                <w:szCs w:val="20"/>
                <w:color w:val="auto"/>
              </w:rPr>
            </w:pPr>
            <w:r>
              <w:rPr>
                <w:rFonts w:ascii="Arial" w:cs="Arial" w:eastAsia="Arial" w:hAnsi="Arial"/>
                <w:sz w:val="18"/>
                <w:szCs w:val="18"/>
                <w:color w:val="auto"/>
              </w:rPr>
              <w:t>Consolidated</w:t>
            </w: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89"/>
              </w:rPr>
              <w:t>1,007,986</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w w:val="96"/>
              </w:rPr>
              <w:t>13.84 %</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436,894</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w w:val="99"/>
              </w:rPr>
              <w:t>6.00 %</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582,526</w:t>
            </w: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8.00 %</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500" w:type="dxa"/>
            <w:vAlign w:val="bottom"/>
            <w:gridSpan w:val="4"/>
          </w:tcPr>
          <w:p>
            <w:pPr>
              <w:ind w:left="200"/>
              <w:spacing w:after="0" w:line="202" w:lineRule="exact"/>
              <w:rPr>
                <w:sz w:val="20"/>
                <w:szCs w:val="20"/>
                <w:color w:val="auto"/>
              </w:rPr>
            </w:pPr>
            <w:r>
              <w:rPr>
                <w:rFonts w:ascii="Arial" w:cs="Arial" w:eastAsia="Arial" w:hAnsi="Arial"/>
                <w:sz w:val="18"/>
                <w:szCs w:val="18"/>
                <w:color w:val="auto"/>
              </w:rPr>
              <w:t>Busey Bank</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w w:val="89"/>
              </w:rPr>
              <w:t>1,094,260</w:t>
            </w:r>
          </w:p>
        </w:tc>
        <w:tc>
          <w:tcPr>
            <w:tcW w:w="140" w:type="dxa"/>
            <w:vAlign w:val="bottom"/>
          </w:tcPr>
          <w:p>
            <w:pPr>
              <w:spacing w:after="0"/>
              <w:rPr>
                <w:sz w:val="17"/>
                <w:szCs w:val="17"/>
                <w:color w:val="auto"/>
              </w:rPr>
            </w:pPr>
          </w:p>
        </w:tc>
        <w:tc>
          <w:tcPr>
            <w:tcW w:w="8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w w:val="96"/>
              </w:rPr>
              <w:t>15.06 %</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436,093</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w w:val="99"/>
              </w:rPr>
              <w:t>6.00 %</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581,457</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8.00 %</w:t>
            </w:r>
          </w:p>
        </w:tc>
        <w:tc>
          <w:tcPr>
            <w:tcW w:w="20" w:type="dxa"/>
            <w:vAlign w:val="bottom"/>
          </w:tcPr>
          <w:p>
            <w:pPr>
              <w:spacing w:after="0"/>
              <w:rPr>
                <w:sz w:val="17"/>
                <w:szCs w:val="17"/>
                <w:color w:val="auto"/>
              </w:rPr>
            </w:pPr>
          </w:p>
        </w:tc>
      </w:tr>
      <w:tr>
        <w:trPr>
          <w:trHeight w:val="203"/>
        </w:trPr>
        <w:tc>
          <w:tcPr>
            <w:tcW w:w="20" w:type="dxa"/>
            <w:vAlign w:val="bottom"/>
            <w:shd w:val="clear" w:color="auto" w:fill="CCEEFF"/>
          </w:tcPr>
          <w:p>
            <w:pPr>
              <w:spacing w:after="0"/>
              <w:rPr>
                <w:sz w:val="17"/>
                <w:szCs w:val="17"/>
                <w:color w:val="auto"/>
              </w:rPr>
            </w:pPr>
          </w:p>
        </w:tc>
        <w:tc>
          <w:tcPr>
            <w:tcW w:w="24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40" w:type="dxa"/>
            <w:vAlign w:val="bottom"/>
            <w:gridSpan w:val="3"/>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175"/>
        </w:trPr>
        <w:tc>
          <w:tcPr>
            <w:tcW w:w="4580" w:type="dxa"/>
            <w:vAlign w:val="bottom"/>
            <w:gridSpan w:val="9"/>
          </w:tcPr>
          <w:p>
            <w:pPr>
              <w:ind w:left="20"/>
              <w:spacing w:after="0" w:line="176" w:lineRule="exact"/>
              <w:rPr>
                <w:sz w:val="20"/>
                <w:szCs w:val="20"/>
                <w:color w:val="auto"/>
              </w:rPr>
            </w:pPr>
            <w:r>
              <w:rPr>
                <w:rFonts w:ascii="Arial" w:cs="Arial" w:eastAsia="Arial" w:hAnsi="Arial"/>
                <w:sz w:val="18"/>
                <w:szCs w:val="18"/>
                <w:color w:val="auto"/>
              </w:rPr>
              <w:t>Common Equity Tier 1 Capital (to Risk Weighted Assets)</w:t>
            </w: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7"/>
        </w:trPr>
        <w:tc>
          <w:tcPr>
            <w:tcW w:w="20" w:type="dxa"/>
            <w:vAlign w:val="bottom"/>
          </w:tcPr>
          <w:p>
            <w:pPr>
              <w:spacing w:after="0"/>
              <w:rPr>
                <w:sz w:val="2"/>
                <w:szCs w:val="2"/>
                <w:color w:val="auto"/>
              </w:rPr>
            </w:pPr>
          </w:p>
        </w:tc>
        <w:tc>
          <w:tcPr>
            <w:tcW w:w="24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20" w:type="dxa"/>
            <w:vAlign w:val="bottom"/>
            <w:shd w:val="clear" w:color="auto" w:fill="CCEEFF"/>
          </w:tcPr>
          <w:p>
            <w:pPr>
              <w:spacing w:after="0"/>
              <w:rPr>
                <w:sz w:val="17"/>
                <w:szCs w:val="17"/>
                <w:color w:val="auto"/>
              </w:rPr>
            </w:pPr>
          </w:p>
        </w:tc>
        <w:tc>
          <w:tcPr>
            <w:tcW w:w="3500" w:type="dxa"/>
            <w:vAlign w:val="bottom"/>
            <w:gridSpan w:val="4"/>
            <w:shd w:val="clear" w:color="auto" w:fill="CCEEFF"/>
          </w:tcPr>
          <w:p>
            <w:pPr>
              <w:ind w:left="200"/>
              <w:spacing w:after="0" w:line="202" w:lineRule="exact"/>
              <w:rPr>
                <w:sz w:val="20"/>
                <w:szCs w:val="20"/>
                <w:color w:val="auto"/>
              </w:rPr>
            </w:pPr>
            <w:r>
              <w:rPr>
                <w:rFonts w:ascii="Arial" w:cs="Arial" w:eastAsia="Arial" w:hAnsi="Arial"/>
                <w:sz w:val="18"/>
                <w:szCs w:val="18"/>
                <w:color w:val="auto"/>
              </w:rPr>
              <w:t>Consolidated</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933,986</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w w:val="96"/>
              </w:rPr>
              <w:t>12.83 %</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327,671</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w w:val="99"/>
              </w:rPr>
              <w:t>4.50 %</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473,302</w:t>
            </w: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6.50 %</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500" w:type="dxa"/>
            <w:vAlign w:val="bottom"/>
            <w:gridSpan w:val="4"/>
          </w:tcPr>
          <w:p>
            <w:pPr>
              <w:ind w:left="200"/>
              <w:spacing w:after="0" w:line="202" w:lineRule="exact"/>
              <w:rPr>
                <w:sz w:val="20"/>
                <w:szCs w:val="20"/>
                <w:color w:val="auto"/>
              </w:rPr>
            </w:pPr>
            <w:r>
              <w:rPr>
                <w:rFonts w:ascii="Arial" w:cs="Arial" w:eastAsia="Arial" w:hAnsi="Arial"/>
                <w:sz w:val="18"/>
                <w:szCs w:val="18"/>
                <w:color w:val="auto"/>
              </w:rPr>
              <w:t>Busey Bank</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w w:val="89"/>
              </w:rPr>
              <w:t>1,094,260</w:t>
            </w:r>
          </w:p>
        </w:tc>
        <w:tc>
          <w:tcPr>
            <w:tcW w:w="140" w:type="dxa"/>
            <w:vAlign w:val="bottom"/>
          </w:tcPr>
          <w:p>
            <w:pPr>
              <w:spacing w:after="0"/>
              <w:rPr>
                <w:sz w:val="17"/>
                <w:szCs w:val="17"/>
                <w:color w:val="auto"/>
              </w:rPr>
            </w:pPr>
          </w:p>
        </w:tc>
        <w:tc>
          <w:tcPr>
            <w:tcW w:w="8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w w:val="96"/>
              </w:rPr>
              <w:t>15.06 %</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327,070</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w w:val="99"/>
              </w:rPr>
              <w:t>4.50 %</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472,434</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6.50 %</w:t>
            </w:r>
          </w:p>
        </w:tc>
        <w:tc>
          <w:tcPr>
            <w:tcW w:w="20" w:type="dxa"/>
            <w:vAlign w:val="bottom"/>
          </w:tcPr>
          <w:p>
            <w:pPr>
              <w:spacing w:after="0"/>
              <w:rPr>
                <w:sz w:val="17"/>
                <w:szCs w:val="17"/>
                <w:color w:val="auto"/>
              </w:rPr>
            </w:pPr>
          </w:p>
        </w:tc>
      </w:tr>
      <w:tr>
        <w:trPr>
          <w:trHeight w:val="203"/>
        </w:trPr>
        <w:tc>
          <w:tcPr>
            <w:tcW w:w="20" w:type="dxa"/>
            <w:vAlign w:val="bottom"/>
            <w:shd w:val="clear" w:color="auto" w:fill="CCEEFF"/>
          </w:tcPr>
          <w:p>
            <w:pPr>
              <w:spacing w:after="0"/>
              <w:rPr>
                <w:sz w:val="17"/>
                <w:szCs w:val="17"/>
                <w:color w:val="auto"/>
              </w:rPr>
            </w:pPr>
          </w:p>
        </w:tc>
        <w:tc>
          <w:tcPr>
            <w:tcW w:w="24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183"/>
        </w:trPr>
        <w:tc>
          <w:tcPr>
            <w:tcW w:w="3520" w:type="dxa"/>
            <w:vAlign w:val="bottom"/>
            <w:gridSpan w:val="5"/>
          </w:tcPr>
          <w:p>
            <w:pPr>
              <w:ind w:left="20"/>
              <w:spacing w:after="0" w:line="176" w:lineRule="exact"/>
              <w:rPr>
                <w:sz w:val="20"/>
                <w:szCs w:val="20"/>
                <w:color w:val="auto"/>
              </w:rPr>
            </w:pPr>
            <w:r>
              <w:rPr>
                <w:rFonts w:ascii="Arial" w:cs="Arial" w:eastAsia="Arial" w:hAnsi="Arial"/>
                <w:sz w:val="18"/>
                <w:szCs w:val="18"/>
                <w:color w:val="auto"/>
              </w:rPr>
              <w:t>Tier 1 Capital (to Average Assets)</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3"/>
        </w:trPr>
        <w:tc>
          <w:tcPr>
            <w:tcW w:w="20" w:type="dxa"/>
            <w:vAlign w:val="bottom"/>
            <w:shd w:val="clear" w:color="auto" w:fill="CCEEFF"/>
          </w:tcPr>
          <w:p>
            <w:pPr>
              <w:spacing w:after="0"/>
              <w:rPr>
                <w:sz w:val="17"/>
                <w:szCs w:val="17"/>
                <w:color w:val="auto"/>
              </w:rPr>
            </w:pPr>
          </w:p>
        </w:tc>
        <w:tc>
          <w:tcPr>
            <w:tcW w:w="2440" w:type="dxa"/>
            <w:vAlign w:val="bottom"/>
            <w:tcBorders>
              <w:top w:val="single" w:sz="8" w:color="auto"/>
            </w:tcBorders>
            <w:shd w:val="clear" w:color="auto" w:fill="CCEEFF"/>
          </w:tcPr>
          <w:p>
            <w:pPr>
              <w:ind w:left="200"/>
              <w:spacing w:after="0" w:line="202" w:lineRule="exact"/>
              <w:rPr>
                <w:sz w:val="20"/>
                <w:szCs w:val="20"/>
                <w:color w:val="auto"/>
              </w:rPr>
            </w:pPr>
            <w:r>
              <w:rPr>
                <w:rFonts w:ascii="Arial" w:cs="Arial" w:eastAsia="Arial" w:hAnsi="Arial"/>
                <w:sz w:val="18"/>
                <w:szCs w:val="18"/>
                <w:color w:val="auto"/>
              </w:rPr>
              <w:t>Consolidated</w:t>
            </w:r>
          </w:p>
        </w:tc>
        <w:tc>
          <w:tcPr>
            <w:tcW w:w="1060" w:type="dxa"/>
            <w:vAlign w:val="bottom"/>
            <w:gridSpan w:val="3"/>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89"/>
              </w:rPr>
              <w:t>1,007,986</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9.85 %</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409,360</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w w:val="99"/>
              </w:rPr>
              <w:t>4.00 %</w:t>
            </w:r>
          </w:p>
        </w:tc>
        <w:tc>
          <w:tcPr>
            <w:tcW w:w="14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N/A</w:t>
            </w:r>
          </w:p>
        </w:tc>
        <w:tc>
          <w:tcPr>
            <w:tcW w:w="6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N/A</w:t>
            </w: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500" w:type="dxa"/>
            <w:vAlign w:val="bottom"/>
            <w:gridSpan w:val="4"/>
          </w:tcPr>
          <w:p>
            <w:pPr>
              <w:ind w:left="200"/>
              <w:spacing w:after="0"/>
              <w:rPr>
                <w:sz w:val="20"/>
                <w:szCs w:val="20"/>
                <w:color w:val="auto"/>
              </w:rPr>
            </w:pPr>
            <w:r>
              <w:rPr>
                <w:rFonts w:ascii="Arial" w:cs="Arial" w:eastAsia="Arial" w:hAnsi="Arial"/>
                <w:sz w:val="18"/>
                <w:szCs w:val="18"/>
                <w:color w:val="auto"/>
              </w:rPr>
              <w:t>Busey Bank</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1,094,260</w:t>
            </w:r>
          </w:p>
        </w:tc>
        <w:tc>
          <w:tcPr>
            <w:tcW w:w="14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w w:val="96"/>
              </w:rPr>
              <w:t>10.71 %</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408,522</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4.00 %</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510,652</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5.00 %</w:t>
            </w:r>
          </w:p>
        </w:tc>
        <w:tc>
          <w:tcPr>
            <w:tcW w:w="20" w:type="dxa"/>
            <w:vAlign w:val="bottom"/>
          </w:tcPr>
          <w:p>
            <w:pPr>
              <w:spacing w:after="0"/>
              <w:rPr>
                <w:sz w:val="20"/>
                <w:szCs w:val="20"/>
                <w:color w:val="auto"/>
              </w:rPr>
            </w:pPr>
          </w:p>
        </w:tc>
      </w:tr>
      <w:tr>
        <w:trPr>
          <w:trHeight w:val="823"/>
        </w:trPr>
        <w:tc>
          <w:tcPr>
            <w:tcW w:w="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25</w:t>
            </w: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25" w:name="page26"/>
    <w:bookmarkEnd w:id="25"/>
    <w:p>
      <w:pPr>
        <w:jc w:val="center"/>
        <w:ind w:right="19"/>
        <w:spacing w:after="0"/>
        <w:rPr>
          <w:sz w:val="20"/>
          <w:szCs w:val="20"/>
          <w:color w:val="auto"/>
        </w:rPr>
      </w:pPr>
      <w:r>
        <w:rPr>
          <w:rFonts w:ascii="Arial" w:cs="Arial" w:eastAsia="Arial" w:hAnsi="Arial"/>
          <w:sz w:val="18"/>
          <w:szCs w:val="18"/>
          <w:b w:val="1"/>
          <w:bCs w:val="1"/>
          <w:color w:val="auto"/>
        </w:rPr>
        <w:t>FIRST BUSEY CORPORATION</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w:t>
      </w:r>
    </w:p>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20"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3"/>
          </w:tcPr>
          <w:p>
            <w:pPr>
              <w:jc w:val="center"/>
              <w:ind w:left="236"/>
              <w:spacing w:after="0"/>
              <w:rPr>
                <w:sz w:val="20"/>
                <w:szCs w:val="20"/>
                <w:color w:val="auto"/>
              </w:rPr>
            </w:pPr>
            <w:r>
              <w:rPr>
                <w:rFonts w:ascii="Arial" w:cs="Arial" w:eastAsia="Arial" w:hAnsi="Arial"/>
                <w:sz w:val="14"/>
                <w:szCs w:val="14"/>
                <w:b w:val="1"/>
                <w:bCs w:val="1"/>
                <w:color w:val="auto"/>
                <w:w w:val="97"/>
              </w:rPr>
              <w:t>Minimum</w:t>
            </w: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3"/>
          </w:tcPr>
          <w:p>
            <w:pPr>
              <w:ind w:left="340"/>
              <w:spacing w:after="0"/>
              <w:rPr>
                <w:sz w:val="20"/>
                <w:szCs w:val="20"/>
                <w:color w:val="auto"/>
              </w:rPr>
            </w:pPr>
            <w:r>
              <w:rPr>
                <w:rFonts w:ascii="Arial" w:cs="Arial" w:eastAsia="Arial" w:hAnsi="Arial"/>
                <w:sz w:val="14"/>
                <w:szCs w:val="14"/>
                <w:b w:val="1"/>
                <w:bCs w:val="1"/>
                <w:color w:val="auto"/>
              </w:rPr>
              <w:t>Minimum</w:t>
            </w: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2"/>
              </w:rPr>
              <w:t>To Be Well</w:t>
            </w:r>
          </w:p>
        </w:tc>
      </w:tr>
      <w:tr>
        <w:trPr>
          <w:trHeight w:val="185"/>
        </w:trPr>
        <w:tc>
          <w:tcPr>
            <w:tcW w:w="2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3"/>
          </w:tcPr>
          <w:p>
            <w:pPr>
              <w:ind w:left="460"/>
              <w:spacing w:after="0"/>
              <w:rPr>
                <w:sz w:val="20"/>
                <w:szCs w:val="20"/>
                <w:color w:val="auto"/>
              </w:rPr>
            </w:pPr>
            <w:r>
              <w:rPr>
                <w:rFonts w:ascii="Arial" w:cs="Arial" w:eastAsia="Arial" w:hAnsi="Arial"/>
                <w:sz w:val="14"/>
                <w:szCs w:val="14"/>
                <w:b w:val="1"/>
                <w:bCs w:val="1"/>
                <w:color w:val="auto"/>
              </w:rPr>
              <w:t>Actual</w:t>
            </w: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w w:val="93"/>
              </w:rPr>
              <w:t>Capital Requirement</w:t>
            </w:r>
          </w:p>
        </w:tc>
        <w:tc>
          <w:tcPr>
            <w:tcW w:w="140" w:type="dxa"/>
            <w:vAlign w:val="bottom"/>
          </w:tcPr>
          <w:p>
            <w:pPr>
              <w:spacing w:after="0"/>
              <w:rPr>
                <w:sz w:val="16"/>
                <w:szCs w:val="16"/>
                <w:color w:val="auto"/>
              </w:rPr>
            </w:pPr>
          </w:p>
        </w:tc>
        <w:tc>
          <w:tcPr>
            <w:tcW w:w="158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4"/>
              </w:rPr>
              <w:t>Capitalized</w:t>
            </w:r>
          </w:p>
        </w:tc>
      </w:tr>
      <w:tr>
        <w:trPr>
          <w:trHeight w:val="156"/>
        </w:trPr>
        <w:tc>
          <w:tcPr>
            <w:tcW w:w="2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gridSpan w:val="3"/>
          </w:tcPr>
          <w:p>
            <w:pPr>
              <w:ind w:left="80"/>
              <w:spacing w:after="0" w:line="155" w:lineRule="exact"/>
              <w:rPr>
                <w:sz w:val="20"/>
                <w:szCs w:val="20"/>
                <w:color w:val="auto"/>
              </w:rPr>
            </w:pPr>
            <w:r>
              <w:rPr>
                <w:rFonts w:ascii="Arial" w:cs="Arial" w:eastAsia="Arial" w:hAnsi="Arial"/>
                <w:sz w:val="14"/>
                <w:szCs w:val="14"/>
                <w:b w:val="1"/>
                <w:bCs w:val="1"/>
                <w:color w:val="auto"/>
              </w:rPr>
              <w:t>Amount</w:t>
            </w:r>
          </w:p>
        </w:tc>
        <w:tc>
          <w:tcPr>
            <w:tcW w:w="500" w:type="dxa"/>
            <w:vAlign w:val="bottom"/>
            <w:tcBorders>
              <w:top w:val="single" w:sz="8" w:color="auto"/>
            </w:tcBorders>
          </w:tcPr>
          <w:p>
            <w:pPr>
              <w:ind w:left="80"/>
              <w:spacing w:after="0" w:line="155" w:lineRule="exact"/>
              <w:rPr>
                <w:sz w:val="20"/>
                <w:szCs w:val="20"/>
                <w:color w:val="auto"/>
              </w:rPr>
            </w:pPr>
            <w:r>
              <w:rPr>
                <w:rFonts w:ascii="Arial" w:cs="Arial" w:eastAsia="Arial" w:hAnsi="Arial"/>
                <w:sz w:val="14"/>
                <w:szCs w:val="14"/>
                <w:b w:val="1"/>
                <w:bCs w:val="1"/>
                <w:color w:val="auto"/>
              </w:rPr>
              <w:t>Ratio</w:t>
            </w:r>
          </w:p>
        </w:tc>
        <w:tc>
          <w:tcPr>
            <w:tcW w:w="3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gridSpan w:val="3"/>
          </w:tcPr>
          <w:p>
            <w:pPr>
              <w:ind w:left="80"/>
              <w:spacing w:after="0" w:line="155" w:lineRule="exact"/>
              <w:rPr>
                <w:sz w:val="20"/>
                <w:szCs w:val="20"/>
                <w:color w:val="auto"/>
              </w:rPr>
            </w:pPr>
            <w:r>
              <w:rPr>
                <w:rFonts w:ascii="Arial" w:cs="Arial" w:eastAsia="Arial" w:hAnsi="Arial"/>
                <w:sz w:val="14"/>
                <w:szCs w:val="14"/>
                <w:b w:val="1"/>
                <w:bCs w:val="1"/>
                <w:color w:val="auto"/>
              </w:rPr>
              <w:t>Amount</w:t>
            </w:r>
          </w:p>
        </w:tc>
        <w:tc>
          <w:tcPr>
            <w:tcW w:w="4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1"/>
              </w:rPr>
              <w:t>Ratio</w:t>
            </w:r>
          </w:p>
        </w:tc>
        <w:tc>
          <w:tcPr>
            <w:tcW w:w="3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3"/>
          </w:tcPr>
          <w:p>
            <w:pPr>
              <w:ind w:left="60"/>
              <w:spacing w:after="0" w:line="155" w:lineRule="exact"/>
              <w:rPr>
                <w:sz w:val="20"/>
                <w:szCs w:val="20"/>
                <w:color w:val="auto"/>
              </w:rPr>
            </w:pPr>
            <w:r>
              <w:rPr>
                <w:rFonts w:ascii="Arial" w:cs="Arial" w:eastAsia="Arial" w:hAnsi="Arial"/>
                <w:sz w:val="14"/>
                <w:szCs w:val="14"/>
                <w:b w:val="1"/>
                <w:bCs w:val="1"/>
                <w:color w:val="auto"/>
              </w:rPr>
              <w:t>Amount</w:t>
            </w:r>
          </w:p>
        </w:tc>
        <w:tc>
          <w:tcPr>
            <w:tcW w:w="4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Ratio</w:t>
            </w:r>
          </w:p>
        </w:tc>
        <w:tc>
          <w:tcPr>
            <w:tcW w:w="160" w:type="dxa"/>
            <w:vAlign w:val="bottom"/>
          </w:tcPr>
          <w:p>
            <w:pPr>
              <w:spacing w:after="0"/>
              <w:rPr>
                <w:sz w:val="13"/>
                <w:szCs w:val="13"/>
                <w:color w:val="auto"/>
              </w:rPr>
            </w:pPr>
          </w:p>
        </w:tc>
      </w:tr>
      <w:tr>
        <w:trPr>
          <w:trHeight w:val="196"/>
        </w:trPr>
        <w:tc>
          <w:tcPr>
            <w:tcW w:w="3520" w:type="dxa"/>
            <w:vAlign w:val="bottom"/>
            <w:tcBorders>
              <w:top w:val="single" w:sz="8" w:color="CCEEFF"/>
            </w:tcBorders>
            <w:gridSpan w:val="5"/>
            <w:shd w:val="clear" w:color="auto" w:fill="CCEEFF"/>
          </w:tcPr>
          <w:p>
            <w:pPr>
              <w:ind w:left="20"/>
              <w:spacing w:after="0"/>
              <w:rPr>
                <w:sz w:val="20"/>
                <w:szCs w:val="20"/>
                <w:color w:val="auto"/>
              </w:rPr>
            </w:pPr>
            <w:r>
              <w:rPr>
                <w:rFonts w:ascii="Arial" w:cs="Arial" w:eastAsia="Arial" w:hAnsi="Arial"/>
                <w:sz w:val="14"/>
                <w:szCs w:val="14"/>
                <w:b w:val="1"/>
                <w:bCs w:val="1"/>
                <w:color w:val="auto"/>
              </w:rPr>
              <w:t>As of December 31, 2020:</w:t>
            </w:r>
          </w:p>
        </w:tc>
        <w:tc>
          <w:tcPr>
            <w:tcW w:w="1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r>
      <w:tr>
        <w:trPr>
          <w:trHeight w:val="183"/>
        </w:trPr>
        <w:tc>
          <w:tcPr>
            <w:tcW w:w="3520" w:type="dxa"/>
            <w:vAlign w:val="bottom"/>
            <w:gridSpan w:val="5"/>
          </w:tcPr>
          <w:p>
            <w:pPr>
              <w:ind w:left="20"/>
              <w:spacing w:after="0" w:line="176" w:lineRule="exact"/>
              <w:rPr>
                <w:sz w:val="20"/>
                <w:szCs w:val="20"/>
                <w:color w:val="auto"/>
              </w:rPr>
            </w:pPr>
            <w:r>
              <w:rPr>
                <w:rFonts w:ascii="Arial" w:cs="Arial" w:eastAsia="Arial" w:hAnsi="Arial"/>
                <w:sz w:val="18"/>
                <w:szCs w:val="18"/>
                <w:color w:val="auto"/>
              </w:rPr>
              <w:t>Total Capital (to Risk Weighted Assets)</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03"/>
        </w:trPr>
        <w:tc>
          <w:tcPr>
            <w:tcW w:w="20" w:type="dxa"/>
            <w:vAlign w:val="bottom"/>
            <w:shd w:val="clear" w:color="auto" w:fill="CCEEFF"/>
          </w:tcPr>
          <w:p>
            <w:pPr>
              <w:spacing w:after="0"/>
              <w:rPr>
                <w:sz w:val="17"/>
                <w:szCs w:val="17"/>
                <w:color w:val="auto"/>
              </w:rPr>
            </w:pPr>
          </w:p>
        </w:tc>
        <w:tc>
          <w:tcPr>
            <w:tcW w:w="2840" w:type="dxa"/>
            <w:vAlign w:val="bottom"/>
            <w:tcBorders>
              <w:top w:val="single" w:sz="8" w:color="auto"/>
            </w:tcBorders>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Consolidated</w:t>
            </w:r>
          </w:p>
        </w:tc>
        <w:tc>
          <w:tcPr>
            <w:tcW w:w="660" w:type="dxa"/>
            <w:vAlign w:val="bottom"/>
            <w:gridSpan w:val="2"/>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89"/>
              </w:rPr>
              <w:t>1,245,997</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w w:val="96"/>
              </w:rPr>
              <w:t>17.04 %</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585,015</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w w:val="99"/>
              </w:rPr>
              <w:t>8.00 %</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731,269</w:t>
            </w: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90"/>
              </w:rPr>
              <w:t>10.00 %</w:t>
            </w:r>
          </w:p>
        </w:tc>
      </w:tr>
      <w:tr>
        <w:trPr>
          <w:trHeight w:val="203"/>
        </w:trPr>
        <w:tc>
          <w:tcPr>
            <w:tcW w:w="20" w:type="dxa"/>
            <w:vAlign w:val="bottom"/>
          </w:tcPr>
          <w:p>
            <w:pPr>
              <w:spacing w:after="0"/>
              <w:rPr>
                <w:sz w:val="17"/>
                <w:szCs w:val="17"/>
                <w:color w:val="auto"/>
              </w:rPr>
            </w:pPr>
          </w:p>
        </w:tc>
        <w:tc>
          <w:tcPr>
            <w:tcW w:w="3500" w:type="dxa"/>
            <w:vAlign w:val="bottom"/>
            <w:gridSpan w:val="4"/>
          </w:tcPr>
          <w:p>
            <w:pPr>
              <w:ind w:left="200"/>
              <w:spacing w:after="0" w:line="202" w:lineRule="exact"/>
              <w:rPr>
                <w:sz w:val="20"/>
                <w:szCs w:val="20"/>
                <w:color w:val="auto"/>
              </w:rPr>
            </w:pPr>
            <w:r>
              <w:rPr>
                <w:rFonts w:ascii="Arial" w:cs="Arial" w:eastAsia="Arial" w:hAnsi="Arial"/>
                <w:sz w:val="18"/>
                <w:szCs w:val="18"/>
                <w:color w:val="auto"/>
              </w:rPr>
              <w:t>Busey Bank</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w w:val="89"/>
              </w:rPr>
              <w:t>1,131,875</w:t>
            </w:r>
          </w:p>
        </w:tc>
        <w:tc>
          <w:tcPr>
            <w:tcW w:w="140" w:type="dxa"/>
            <w:vAlign w:val="bottom"/>
          </w:tcPr>
          <w:p>
            <w:pPr>
              <w:spacing w:after="0"/>
              <w:rPr>
                <w:sz w:val="17"/>
                <w:szCs w:val="17"/>
                <w:color w:val="auto"/>
              </w:rPr>
            </w:pPr>
          </w:p>
        </w:tc>
        <w:tc>
          <w:tcPr>
            <w:tcW w:w="8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w w:val="96"/>
              </w:rPr>
              <w:t>15.50 %</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584,082</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w w:val="99"/>
              </w:rPr>
              <w:t>8.00 %</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730,103</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0"/>
              </w:rPr>
              <w:t>10.00 %</w:t>
            </w:r>
          </w:p>
        </w:tc>
      </w:tr>
      <w:tr>
        <w:trPr>
          <w:trHeight w:val="203"/>
        </w:trPr>
        <w:tc>
          <w:tcPr>
            <w:tcW w:w="20" w:type="dxa"/>
            <w:vAlign w:val="bottom"/>
            <w:shd w:val="clear" w:color="auto" w:fill="CCEEFF"/>
          </w:tcPr>
          <w:p>
            <w:pPr>
              <w:spacing w:after="0"/>
              <w:rPr>
                <w:sz w:val="17"/>
                <w:szCs w:val="17"/>
                <w:color w:val="auto"/>
              </w:rPr>
            </w:pPr>
          </w:p>
        </w:tc>
        <w:tc>
          <w:tcPr>
            <w:tcW w:w="24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183"/>
        </w:trPr>
        <w:tc>
          <w:tcPr>
            <w:tcW w:w="3520" w:type="dxa"/>
            <w:vAlign w:val="bottom"/>
            <w:gridSpan w:val="5"/>
          </w:tcPr>
          <w:p>
            <w:pPr>
              <w:ind w:left="20"/>
              <w:spacing w:after="0" w:line="176" w:lineRule="exact"/>
              <w:rPr>
                <w:sz w:val="20"/>
                <w:szCs w:val="20"/>
                <w:color w:val="auto"/>
              </w:rPr>
            </w:pPr>
            <w:r>
              <w:rPr>
                <w:rFonts w:ascii="Arial" w:cs="Arial" w:eastAsia="Arial" w:hAnsi="Arial"/>
                <w:sz w:val="18"/>
                <w:szCs w:val="18"/>
                <w:color w:val="auto"/>
              </w:rPr>
              <w:t>Tier 1 Capital (to Risk Weighted Assets)</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03"/>
        </w:trPr>
        <w:tc>
          <w:tcPr>
            <w:tcW w:w="20" w:type="dxa"/>
            <w:vAlign w:val="bottom"/>
            <w:shd w:val="clear" w:color="auto" w:fill="CCEEFF"/>
          </w:tcPr>
          <w:p>
            <w:pPr>
              <w:spacing w:after="0"/>
              <w:rPr>
                <w:sz w:val="17"/>
                <w:szCs w:val="17"/>
                <w:color w:val="auto"/>
              </w:rPr>
            </w:pPr>
          </w:p>
        </w:tc>
        <w:tc>
          <w:tcPr>
            <w:tcW w:w="2900" w:type="dxa"/>
            <w:vAlign w:val="bottom"/>
            <w:tcBorders>
              <w:top w:val="single" w:sz="8" w:color="auto"/>
            </w:tcBorders>
            <w:gridSpan w:val="3"/>
            <w:shd w:val="clear" w:color="auto" w:fill="CCEEFF"/>
          </w:tcPr>
          <w:p>
            <w:pPr>
              <w:ind w:left="200"/>
              <w:spacing w:after="0" w:line="202" w:lineRule="exact"/>
              <w:rPr>
                <w:sz w:val="20"/>
                <w:szCs w:val="20"/>
                <w:color w:val="auto"/>
              </w:rPr>
            </w:pPr>
            <w:r>
              <w:rPr>
                <w:rFonts w:ascii="Arial" w:cs="Arial" w:eastAsia="Arial" w:hAnsi="Arial"/>
                <w:sz w:val="18"/>
                <w:szCs w:val="18"/>
                <w:color w:val="auto"/>
              </w:rPr>
              <w:t>Consolidated</w:t>
            </w: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983,033</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w w:val="96"/>
              </w:rPr>
              <w:t>13.44 %</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438,761</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w w:val="99"/>
              </w:rPr>
              <w:t>6.00 %</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585,015</w:t>
            </w: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8.00 %</w:t>
            </w:r>
          </w:p>
        </w:tc>
      </w:tr>
      <w:tr>
        <w:trPr>
          <w:trHeight w:val="203"/>
        </w:trPr>
        <w:tc>
          <w:tcPr>
            <w:tcW w:w="20" w:type="dxa"/>
            <w:vAlign w:val="bottom"/>
          </w:tcPr>
          <w:p>
            <w:pPr>
              <w:spacing w:after="0"/>
              <w:rPr>
                <w:sz w:val="17"/>
                <w:szCs w:val="17"/>
                <w:color w:val="auto"/>
              </w:rPr>
            </w:pPr>
          </w:p>
        </w:tc>
        <w:tc>
          <w:tcPr>
            <w:tcW w:w="3500" w:type="dxa"/>
            <w:vAlign w:val="bottom"/>
            <w:gridSpan w:val="4"/>
          </w:tcPr>
          <w:p>
            <w:pPr>
              <w:ind w:left="200"/>
              <w:spacing w:after="0" w:line="202" w:lineRule="exact"/>
              <w:rPr>
                <w:sz w:val="20"/>
                <w:szCs w:val="20"/>
                <w:color w:val="auto"/>
              </w:rPr>
            </w:pPr>
            <w:r>
              <w:rPr>
                <w:rFonts w:ascii="Arial" w:cs="Arial" w:eastAsia="Arial" w:hAnsi="Arial"/>
                <w:sz w:val="18"/>
                <w:szCs w:val="18"/>
                <w:color w:val="auto"/>
              </w:rPr>
              <w:t>Busey Bank</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w w:val="89"/>
              </w:rPr>
              <w:t>1,053,910</w:t>
            </w:r>
          </w:p>
        </w:tc>
        <w:tc>
          <w:tcPr>
            <w:tcW w:w="140" w:type="dxa"/>
            <w:vAlign w:val="bottom"/>
          </w:tcPr>
          <w:p>
            <w:pPr>
              <w:spacing w:after="0"/>
              <w:rPr>
                <w:sz w:val="17"/>
                <w:szCs w:val="17"/>
                <w:color w:val="auto"/>
              </w:rPr>
            </w:pPr>
          </w:p>
        </w:tc>
        <w:tc>
          <w:tcPr>
            <w:tcW w:w="8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w w:val="96"/>
              </w:rPr>
              <w:t>14.44 %</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438,062</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w w:val="99"/>
              </w:rPr>
              <w:t>6.00 %</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584,082</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8.00 %</w:t>
            </w:r>
          </w:p>
        </w:tc>
      </w:tr>
      <w:tr>
        <w:trPr>
          <w:trHeight w:val="203"/>
        </w:trPr>
        <w:tc>
          <w:tcPr>
            <w:tcW w:w="20" w:type="dxa"/>
            <w:vAlign w:val="bottom"/>
            <w:shd w:val="clear" w:color="auto" w:fill="CCEEFF"/>
          </w:tcPr>
          <w:p>
            <w:pPr>
              <w:spacing w:after="0"/>
              <w:rPr>
                <w:sz w:val="17"/>
                <w:szCs w:val="17"/>
                <w:color w:val="auto"/>
              </w:rPr>
            </w:pPr>
          </w:p>
        </w:tc>
        <w:tc>
          <w:tcPr>
            <w:tcW w:w="24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40" w:type="dxa"/>
            <w:vAlign w:val="bottom"/>
            <w:gridSpan w:val="3"/>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175"/>
        </w:trPr>
        <w:tc>
          <w:tcPr>
            <w:tcW w:w="4580" w:type="dxa"/>
            <w:vAlign w:val="bottom"/>
            <w:gridSpan w:val="9"/>
          </w:tcPr>
          <w:p>
            <w:pPr>
              <w:ind w:left="20"/>
              <w:spacing w:after="0" w:line="176" w:lineRule="exact"/>
              <w:rPr>
                <w:sz w:val="20"/>
                <w:szCs w:val="20"/>
                <w:color w:val="auto"/>
              </w:rPr>
            </w:pPr>
            <w:r>
              <w:rPr>
                <w:rFonts w:ascii="Arial" w:cs="Arial" w:eastAsia="Arial" w:hAnsi="Arial"/>
                <w:sz w:val="18"/>
                <w:szCs w:val="18"/>
                <w:color w:val="auto"/>
              </w:rPr>
              <w:t>Common Equity Tier 1 Capital (to Risk Weighted Assets)</w:t>
            </w: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7"/>
        </w:trPr>
        <w:tc>
          <w:tcPr>
            <w:tcW w:w="20" w:type="dxa"/>
            <w:vAlign w:val="bottom"/>
          </w:tcPr>
          <w:p>
            <w:pPr>
              <w:spacing w:after="0"/>
              <w:rPr>
                <w:sz w:val="2"/>
                <w:szCs w:val="2"/>
                <w:color w:val="auto"/>
              </w:rPr>
            </w:pPr>
          </w:p>
        </w:tc>
        <w:tc>
          <w:tcPr>
            <w:tcW w:w="24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02"/>
        </w:trPr>
        <w:tc>
          <w:tcPr>
            <w:tcW w:w="20" w:type="dxa"/>
            <w:vAlign w:val="bottom"/>
            <w:shd w:val="clear" w:color="auto" w:fill="CCEEFF"/>
          </w:tcPr>
          <w:p>
            <w:pPr>
              <w:spacing w:after="0"/>
              <w:rPr>
                <w:sz w:val="17"/>
                <w:szCs w:val="17"/>
                <w:color w:val="auto"/>
              </w:rPr>
            </w:pPr>
          </w:p>
        </w:tc>
        <w:tc>
          <w:tcPr>
            <w:tcW w:w="3500" w:type="dxa"/>
            <w:vAlign w:val="bottom"/>
            <w:gridSpan w:val="4"/>
            <w:shd w:val="clear" w:color="auto" w:fill="CCEEFF"/>
          </w:tcPr>
          <w:p>
            <w:pPr>
              <w:ind w:left="200"/>
              <w:spacing w:after="0" w:line="202" w:lineRule="exact"/>
              <w:rPr>
                <w:sz w:val="20"/>
                <w:szCs w:val="20"/>
                <w:color w:val="auto"/>
              </w:rPr>
            </w:pPr>
            <w:r>
              <w:rPr>
                <w:rFonts w:ascii="Arial" w:cs="Arial" w:eastAsia="Arial" w:hAnsi="Arial"/>
                <w:sz w:val="18"/>
                <w:szCs w:val="18"/>
                <w:color w:val="auto"/>
              </w:rPr>
              <w:t>Consolidated</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909,033</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w w:val="96"/>
              </w:rPr>
              <w:t>12.43 %</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329,071</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w w:val="99"/>
              </w:rPr>
              <w:t>4.50 %</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475,325</w:t>
            </w: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6.50 %</w:t>
            </w:r>
          </w:p>
        </w:tc>
      </w:tr>
      <w:tr>
        <w:trPr>
          <w:trHeight w:val="203"/>
        </w:trPr>
        <w:tc>
          <w:tcPr>
            <w:tcW w:w="20" w:type="dxa"/>
            <w:vAlign w:val="bottom"/>
          </w:tcPr>
          <w:p>
            <w:pPr>
              <w:spacing w:after="0"/>
              <w:rPr>
                <w:sz w:val="17"/>
                <w:szCs w:val="17"/>
                <w:color w:val="auto"/>
              </w:rPr>
            </w:pPr>
          </w:p>
        </w:tc>
        <w:tc>
          <w:tcPr>
            <w:tcW w:w="3500" w:type="dxa"/>
            <w:vAlign w:val="bottom"/>
            <w:gridSpan w:val="4"/>
          </w:tcPr>
          <w:p>
            <w:pPr>
              <w:ind w:left="200"/>
              <w:spacing w:after="0" w:line="202" w:lineRule="exact"/>
              <w:rPr>
                <w:sz w:val="20"/>
                <w:szCs w:val="20"/>
                <w:color w:val="auto"/>
              </w:rPr>
            </w:pPr>
            <w:r>
              <w:rPr>
                <w:rFonts w:ascii="Arial" w:cs="Arial" w:eastAsia="Arial" w:hAnsi="Arial"/>
                <w:sz w:val="18"/>
                <w:szCs w:val="18"/>
                <w:color w:val="auto"/>
              </w:rPr>
              <w:t>Busey Bank</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w w:val="89"/>
              </w:rPr>
              <w:t>1,053,910</w:t>
            </w:r>
          </w:p>
        </w:tc>
        <w:tc>
          <w:tcPr>
            <w:tcW w:w="140" w:type="dxa"/>
            <w:vAlign w:val="bottom"/>
          </w:tcPr>
          <w:p>
            <w:pPr>
              <w:spacing w:after="0"/>
              <w:rPr>
                <w:sz w:val="17"/>
                <w:szCs w:val="17"/>
                <w:color w:val="auto"/>
              </w:rPr>
            </w:pPr>
          </w:p>
        </w:tc>
        <w:tc>
          <w:tcPr>
            <w:tcW w:w="8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w w:val="96"/>
              </w:rPr>
              <w:t>14.44 %</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328,546</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w w:val="99"/>
              </w:rPr>
              <w:t>4.50 %</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474,567</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6.50 %</w:t>
            </w:r>
          </w:p>
        </w:tc>
      </w:tr>
      <w:tr>
        <w:trPr>
          <w:trHeight w:val="203"/>
        </w:trPr>
        <w:tc>
          <w:tcPr>
            <w:tcW w:w="20" w:type="dxa"/>
            <w:vAlign w:val="bottom"/>
            <w:shd w:val="clear" w:color="auto" w:fill="CCEEFF"/>
          </w:tcPr>
          <w:p>
            <w:pPr>
              <w:spacing w:after="0"/>
              <w:rPr>
                <w:sz w:val="17"/>
                <w:szCs w:val="17"/>
                <w:color w:val="auto"/>
              </w:rPr>
            </w:pPr>
          </w:p>
        </w:tc>
        <w:tc>
          <w:tcPr>
            <w:tcW w:w="24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183"/>
        </w:trPr>
        <w:tc>
          <w:tcPr>
            <w:tcW w:w="3520" w:type="dxa"/>
            <w:vAlign w:val="bottom"/>
            <w:gridSpan w:val="5"/>
          </w:tcPr>
          <w:p>
            <w:pPr>
              <w:ind w:left="20"/>
              <w:spacing w:after="0" w:line="176" w:lineRule="exact"/>
              <w:rPr>
                <w:sz w:val="20"/>
                <w:szCs w:val="20"/>
                <w:color w:val="auto"/>
              </w:rPr>
            </w:pPr>
            <w:r>
              <w:rPr>
                <w:rFonts w:ascii="Arial" w:cs="Arial" w:eastAsia="Arial" w:hAnsi="Arial"/>
                <w:sz w:val="18"/>
                <w:szCs w:val="18"/>
                <w:color w:val="auto"/>
              </w:rPr>
              <w:t>Tier 1 Capital (to Average Assets)</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03"/>
        </w:trPr>
        <w:tc>
          <w:tcPr>
            <w:tcW w:w="20" w:type="dxa"/>
            <w:vAlign w:val="bottom"/>
            <w:shd w:val="clear" w:color="auto" w:fill="CCEEFF"/>
          </w:tcPr>
          <w:p>
            <w:pPr>
              <w:spacing w:after="0"/>
              <w:rPr>
                <w:sz w:val="17"/>
                <w:szCs w:val="17"/>
                <w:color w:val="auto"/>
              </w:rPr>
            </w:pPr>
          </w:p>
        </w:tc>
        <w:tc>
          <w:tcPr>
            <w:tcW w:w="2440" w:type="dxa"/>
            <w:vAlign w:val="bottom"/>
            <w:tcBorders>
              <w:top w:val="single" w:sz="8" w:color="auto"/>
            </w:tcBorders>
            <w:shd w:val="clear" w:color="auto" w:fill="CCEEFF"/>
          </w:tcPr>
          <w:p>
            <w:pPr>
              <w:ind w:left="200"/>
              <w:spacing w:after="0" w:line="202" w:lineRule="exact"/>
              <w:rPr>
                <w:sz w:val="20"/>
                <w:szCs w:val="20"/>
                <w:color w:val="auto"/>
              </w:rPr>
            </w:pPr>
            <w:r>
              <w:rPr>
                <w:rFonts w:ascii="Arial" w:cs="Arial" w:eastAsia="Arial" w:hAnsi="Arial"/>
                <w:sz w:val="18"/>
                <w:szCs w:val="18"/>
                <w:color w:val="auto"/>
              </w:rPr>
              <w:t>Consolidated</w:t>
            </w:r>
          </w:p>
        </w:tc>
        <w:tc>
          <w:tcPr>
            <w:tcW w:w="1060" w:type="dxa"/>
            <w:vAlign w:val="bottom"/>
            <w:gridSpan w:val="3"/>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983,033</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9.79 %</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401,717</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w w:val="99"/>
              </w:rPr>
              <w:t>4.00 %</w:t>
            </w:r>
          </w:p>
        </w:tc>
        <w:tc>
          <w:tcPr>
            <w:tcW w:w="14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N/A</w:t>
            </w:r>
          </w:p>
        </w:tc>
        <w:tc>
          <w:tcPr>
            <w:tcW w:w="6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N/A</w:t>
            </w:r>
          </w:p>
        </w:tc>
      </w:tr>
      <w:tr>
        <w:trPr>
          <w:trHeight w:val="230"/>
        </w:trPr>
        <w:tc>
          <w:tcPr>
            <w:tcW w:w="20" w:type="dxa"/>
            <w:vAlign w:val="bottom"/>
          </w:tcPr>
          <w:p>
            <w:pPr>
              <w:spacing w:after="0"/>
              <w:rPr>
                <w:sz w:val="20"/>
                <w:szCs w:val="20"/>
                <w:color w:val="auto"/>
              </w:rPr>
            </w:pPr>
          </w:p>
        </w:tc>
        <w:tc>
          <w:tcPr>
            <w:tcW w:w="3500" w:type="dxa"/>
            <w:vAlign w:val="bottom"/>
            <w:gridSpan w:val="4"/>
          </w:tcPr>
          <w:p>
            <w:pPr>
              <w:ind w:left="200"/>
              <w:spacing w:after="0"/>
              <w:rPr>
                <w:sz w:val="20"/>
                <w:szCs w:val="20"/>
                <w:color w:val="auto"/>
              </w:rPr>
            </w:pPr>
            <w:r>
              <w:rPr>
                <w:rFonts w:ascii="Arial" w:cs="Arial" w:eastAsia="Arial" w:hAnsi="Arial"/>
                <w:sz w:val="18"/>
                <w:szCs w:val="18"/>
                <w:color w:val="auto"/>
              </w:rPr>
              <w:t>Busey Bank</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1,053,910</w:t>
            </w:r>
          </w:p>
        </w:tc>
        <w:tc>
          <w:tcPr>
            <w:tcW w:w="14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w w:val="96"/>
              </w:rPr>
              <w:t>10.52 %</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400,581</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4.00 %</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500,727</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5.00 %</w:t>
            </w:r>
          </w:p>
        </w:tc>
      </w:tr>
    </w:tbl>
    <w:p>
      <w:pPr>
        <w:spacing w:after="0" w:line="160" w:lineRule="exact"/>
        <w:rPr>
          <w:sz w:val="20"/>
          <w:szCs w:val="20"/>
          <w:color w:val="auto"/>
        </w:rPr>
      </w:pPr>
    </w:p>
    <w:p>
      <w:pPr>
        <w:ind w:left="60" w:right="99"/>
        <w:spacing w:after="0" w:line="272" w:lineRule="auto"/>
        <w:rPr>
          <w:sz w:val="20"/>
          <w:szCs w:val="20"/>
          <w:color w:val="auto"/>
        </w:rPr>
      </w:pPr>
      <w:r>
        <w:rPr>
          <w:rFonts w:ascii="Arial" w:cs="Arial" w:eastAsia="Arial" w:hAnsi="Arial"/>
          <w:sz w:val="16"/>
          <w:szCs w:val="16"/>
          <w:color w:val="auto"/>
        </w:rPr>
        <w:t>In July 2013, U.S. federal banking authorities approved the Basel III Rule for strengthening international capital standards. The Basel III Rule introduced a capital conservation buffer, composed entirely of Common Equity Tier 1 Capital, which is added to the minimum risk-weighted asset ratios. The capital conservation buffer is not a minimum capital requirement; however, banking institutions with a ratio of Common Equity Tier 1 to risk-weighted assets below the capital conservation buffer will face constraints on dividends, equity repurchases, and discretionary bonus payments based on the amount of the shortfall. In order to refrain from restrictions on dividends, equity repurchases, and discretionary bonus payments, banking institutions must maintain minimum ratios of (i) total capital to risk-weighted assets of at least 10.50%, (ii) Tier 1 Capital to risk-weighted assets of at least 8.50%, and (iii) Common Equity Tier 1 to risk-weighted assets of at least 7.00%.</w:t>
      </w:r>
    </w:p>
    <w:p>
      <w:pPr>
        <w:spacing w:after="0" w:line="15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8: Stock-Based Compensation</w:t>
      </w:r>
    </w:p>
    <w:p>
      <w:pPr>
        <w:spacing w:after="0" w:line="202" w:lineRule="exact"/>
        <w:rPr>
          <w:sz w:val="20"/>
          <w:szCs w:val="20"/>
          <w:color w:val="auto"/>
        </w:rPr>
      </w:pPr>
    </w:p>
    <w:p>
      <w:pPr>
        <w:ind w:left="60" w:right="259"/>
        <w:spacing w:after="0" w:line="276" w:lineRule="auto"/>
        <w:rPr>
          <w:sz w:val="20"/>
          <w:szCs w:val="20"/>
          <w:color w:val="auto"/>
        </w:rPr>
      </w:pPr>
      <w:r>
        <w:rPr>
          <w:rFonts w:ascii="Arial" w:cs="Arial" w:eastAsia="Arial" w:hAnsi="Arial"/>
          <w:sz w:val="16"/>
          <w:szCs w:val="16"/>
          <w:color w:val="auto"/>
        </w:rPr>
        <w:t>Under the terms of the 2020 Equity Plan, the Company has granted restricted stock units, deferred stock units and performance-based restricted stock unit awards. The Company grants restricted stock units to members of management periodically throughout the year. Each restricted stock unit is equivalent to one share of the Company’s common stock. These units have requisite service periods ranging from one to five years, subject to accelerated vesting upon eligible retirement from the Company. Recipients earn quarterly dividend equivalents on their respective units which entitle the recipients to additional units. Therefore, dividends earned each quarter compound based upon the updated unit balances.</w:t>
      </w:r>
    </w:p>
    <w:p>
      <w:pPr>
        <w:spacing w:after="0" w:line="148" w:lineRule="exact"/>
        <w:rPr>
          <w:sz w:val="20"/>
          <w:szCs w:val="20"/>
          <w:color w:val="auto"/>
        </w:rPr>
      </w:pPr>
    </w:p>
    <w:p>
      <w:pPr>
        <w:ind w:left="60" w:right="279"/>
        <w:spacing w:after="0" w:line="257" w:lineRule="auto"/>
        <w:rPr>
          <w:sz w:val="20"/>
          <w:szCs w:val="20"/>
          <w:color w:val="auto"/>
        </w:rPr>
      </w:pPr>
      <w:r>
        <w:rPr>
          <w:rFonts w:ascii="Arial" w:cs="Arial" w:eastAsia="Arial" w:hAnsi="Arial"/>
          <w:sz w:val="17"/>
          <w:szCs w:val="17"/>
          <w:color w:val="auto"/>
        </w:rPr>
        <w:t>The Company grants deferred stock units, which are restricted stock units with a deferred settlement date, to its directors and advisory directors. Each deferred stock unit is equivalent to one share of the Company’s common stock. Deferred stock units vest over a one-year period following the grant date. These units generally are subject to the same terms as restricted stock units under the 2020 Equity Plan, except that, following vesting, settlement occurs within 30 days following the earlier of separation from the board or a change in control of the Company. After vesting and prior to delivery, these units will continue to earn dividend equivalents.</w:t>
      </w:r>
    </w:p>
    <w:p>
      <w:pPr>
        <w:spacing w:after="0" w:line="162" w:lineRule="exact"/>
        <w:rPr>
          <w:sz w:val="20"/>
          <w:szCs w:val="20"/>
          <w:color w:val="auto"/>
        </w:rPr>
      </w:pPr>
    </w:p>
    <w:p>
      <w:pPr>
        <w:ind w:left="60" w:right="319"/>
        <w:spacing w:after="0" w:line="284" w:lineRule="auto"/>
        <w:rPr>
          <w:sz w:val="20"/>
          <w:szCs w:val="20"/>
          <w:color w:val="auto"/>
        </w:rPr>
      </w:pPr>
      <w:r>
        <w:rPr>
          <w:rFonts w:ascii="Arial" w:cs="Arial" w:eastAsia="Arial" w:hAnsi="Arial"/>
          <w:sz w:val="16"/>
          <w:szCs w:val="16"/>
          <w:color w:val="auto"/>
        </w:rPr>
        <w:t>The Company also grants performance-based restricted stock unit awards to members of management periodically throughout the year. Each performance-based restricted stock unit is equivalent to one share of the Company’s common stock. The number of units that ultimately vest will be determined based on the achievement of the market or other performance goals, subject to accelerated service-based vesting conditions upon eligible retirement from the Company.</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Company has outstanding stock options assumed from acquisitions.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color w:val="auto"/>
        </w:rPr>
        <w:t>Upon vesting/delivery, shares are expected (though not required) to be issued from treasury.</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Stock Option Plan</w:t>
      </w:r>
    </w:p>
    <w:p>
      <w:pPr>
        <w:spacing w:after="0" w:line="198" w:lineRule="exact"/>
        <w:rPr>
          <w:sz w:val="20"/>
          <w:szCs w:val="20"/>
          <w:color w:val="auto"/>
        </w:rPr>
      </w:pPr>
    </w:p>
    <w:p>
      <w:pPr>
        <w:ind w:left="60" w:right="459"/>
        <w:spacing w:after="0" w:line="247" w:lineRule="auto"/>
        <w:rPr>
          <w:sz w:val="20"/>
          <w:szCs w:val="20"/>
          <w:color w:val="auto"/>
        </w:rPr>
      </w:pPr>
      <w:r>
        <w:rPr>
          <w:rFonts w:ascii="Arial" w:cs="Arial" w:eastAsia="Arial" w:hAnsi="Arial"/>
          <w:sz w:val="18"/>
          <w:szCs w:val="18"/>
          <w:color w:val="auto"/>
        </w:rPr>
        <w:t>A summary of the status of, and changes in, the Company's stock option awards for the three months ended March 31, 2021, follows:</w:t>
      </w:r>
    </w:p>
    <w:tbl>
      <w:tblPr>
        <w:tblLayout w:type="fixed"/>
        <w:tblInd w:w="60" w:type="dxa"/>
        <w:tblCellMar>
          <w:top w:w="0" w:type="dxa"/>
          <w:left w:w="0" w:type="dxa"/>
          <w:bottom w:w="0" w:type="dxa"/>
          <w:right w:w="0" w:type="dxa"/>
        </w:tblCellMar>
      </w:tblPr>
      <w:tr>
        <w:trPr>
          <w:trHeight w:val="146"/>
        </w:trPr>
        <w:tc>
          <w:tcPr>
            <w:tcW w:w="2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center"/>
              <w:spacing w:after="0" w:line="146"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Weighted-</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Average</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Exercise</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5"/>
              </w:rPr>
              <w:t>Contractual</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780" w:type="dxa"/>
            <w:vAlign w:val="bottom"/>
          </w:tcPr>
          <w:p>
            <w:pPr>
              <w:spacing w:after="0"/>
              <w:rPr>
                <w:sz w:val="16"/>
                <w:szCs w:val="16"/>
                <w:color w:val="auto"/>
              </w:rPr>
            </w:pPr>
          </w:p>
        </w:tc>
        <w:tc>
          <w:tcPr>
            <w:tcW w:w="920" w:type="dxa"/>
            <w:vAlign w:val="bottom"/>
          </w:tcPr>
          <w:p>
            <w:pPr>
              <w:jc w:val="right"/>
              <w:ind w:right="173"/>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Price</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Life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Outstanding at beginning of period</w:t>
            </w:r>
          </w:p>
        </w:tc>
        <w:tc>
          <w:tcPr>
            <w:tcW w:w="9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39,085</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23.53</w:t>
            </w:r>
          </w:p>
        </w:tc>
        <w:tc>
          <w:tcPr>
            <w:tcW w:w="1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80" w:type="dxa"/>
            <w:vAlign w:val="bottom"/>
          </w:tcPr>
          <w:p>
            <w:pPr>
              <w:ind w:left="200"/>
              <w:spacing w:after="0" w:line="202" w:lineRule="exact"/>
              <w:rPr>
                <w:sz w:val="20"/>
                <w:szCs w:val="20"/>
                <w:color w:val="auto"/>
              </w:rPr>
            </w:pPr>
            <w:r>
              <w:rPr>
                <w:rFonts w:ascii="Arial" w:cs="Arial" w:eastAsia="Arial" w:hAnsi="Arial"/>
                <w:sz w:val="18"/>
                <w:szCs w:val="18"/>
                <w:color w:val="auto"/>
              </w:rPr>
              <w:t>Exercised</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Forfeited</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80" w:type="dxa"/>
            <w:vAlign w:val="bottom"/>
            <w:tcBorders>
              <w:bottom w:val="single" w:sz="8" w:color="CCEEFF"/>
            </w:tcBorders>
          </w:tcPr>
          <w:p>
            <w:pPr>
              <w:ind w:left="200"/>
              <w:spacing w:after="0" w:line="202" w:lineRule="exact"/>
              <w:rPr>
                <w:sz w:val="20"/>
                <w:szCs w:val="20"/>
                <w:color w:val="auto"/>
              </w:rPr>
            </w:pPr>
            <w:r>
              <w:rPr>
                <w:rFonts w:ascii="Arial" w:cs="Arial" w:eastAsia="Arial" w:hAnsi="Arial"/>
                <w:sz w:val="18"/>
                <w:szCs w:val="18"/>
                <w:color w:val="auto"/>
              </w:rPr>
              <w:t>Expired</w:t>
            </w: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(5,279)</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23.53</w:t>
            </w:r>
          </w:p>
        </w:tc>
        <w:tc>
          <w:tcPr>
            <w:tcW w:w="160" w:type="dxa"/>
            <w:vAlign w:val="bottom"/>
            <w:tcBorders>
              <w:bottom w:val="single" w:sz="8" w:color="CCEEFF"/>
            </w:tcBorders>
          </w:tcPr>
          <w:p>
            <w:pPr>
              <w:spacing w:after="0"/>
              <w:rPr>
                <w:sz w:val="17"/>
                <w:szCs w:val="17"/>
                <w:color w:val="auto"/>
              </w:rPr>
            </w:pPr>
          </w:p>
        </w:tc>
        <w:tc>
          <w:tcPr>
            <w:tcW w:w="9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8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Outstanding at end of period</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33,806</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23.53</w:t>
            </w:r>
          </w:p>
        </w:tc>
        <w:tc>
          <w:tcPr>
            <w:tcW w:w="1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5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Exercisable at end of period</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33,806</w:t>
            </w:r>
          </w:p>
        </w:tc>
        <w:tc>
          <w:tcPr>
            <w:tcW w:w="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23.53</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The Company did not record any stock option compensation expense for the three months ended March 31, 2021, or 2020.</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As of March 31, 2021, the Company did not have any unrecognized stock option expense.</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Restricted Stock Unit, Deferred Stock Unit, and Performance-Based Restricted Stock Unit Awards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6"/>
          <w:szCs w:val="16"/>
          <w:color w:val="auto"/>
        </w:rPr>
        <w:t>A summary of changes in the Company’s restricted stock unit and deferred stock unit awards for the three months ended</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March 31, 2021, is as follows:</w:t>
      </w:r>
    </w:p>
    <w:p>
      <w:pPr>
        <w:spacing w:after="0" w:line="187"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Weighted-</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6"/>
              </w:rPr>
              <w:t>Director</w:t>
            </w:r>
          </w:p>
        </w:tc>
        <w:tc>
          <w:tcPr>
            <w:tcW w:w="160" w:type="dxa"/>
            <w:vAlign w:val="bottom"/>
          </w:tcPr>
          <w:p>
            <w:pPr>
              <w:spacing w:after="0"/>
              <w:rPr>
                <w:sz w:val="14"/>
                <w:szCs w:val="14"/>
                <w:color w:val="auto"/>
              </w:rPr>
            </w:pPr>
          </w:p>
        </w:tc>
        <w:tc>
          <w:tcPr>
            <w:tcW w:w="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0"/>
              </w:rPr>
              <w:t>Restricted</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Average</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3"/>
              </w:rPr>
              <w:t>Deferred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center"/>
              <w:ind w:right="52"/>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9"/>
              </w:rPr>
              <w:t>Stock</w:t>
            </w:r>
          </w:p>
        </w:tc>
        <w:tc>
          <w:tcPr>
            <w:tcW w:w="180" w:type="dxa"/>
            <w:vAlign w:val="bottom"/>
          </w:tcPr>
          <w:p>
            <w:pPr>
              <w:spacing w:after="0"/>
              <w:rPr>
                <w:sz w:val="14"/>
                <w:szCs w:val="14"/>
                <w:color w:val="auto"/>
              </w:rPr>
            </w:pPr>
          </w:p>
        </w:tc>
        <w:tc>
          <w:tcPr>
            <w:tcW w:w="9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7"/>
              </w:rPr>
              <w:t>Grant Date</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9"/>
              </w:rPr>
              <w:t>Stock</w:t>
            </w:r>
          </w:p>
        </w:tc>
        <w:tc>
          <w:tcPr>
            <w:tcW w:w="160" w:type="dxa"/>
            <w:vAlign w:val="bottom"/>
          </w:tcPr>
          <w:p>
            <w:pPr>
              <w:spacing w:after="0"/>
              <w:rPr>
                <w:sz w:val="14"/>
                <w:szCs w:val="14"/>
                <w:color w:val="auto"/>
              </w:rPr>
            </w:pPr>
          </w:p>
        </w:tc>
        <w:tc>
          <w:tcPr>
            <w:tcW w:w="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08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7"/>
              </w:rPr>
              <w:t>Units</w:t>
            </w:r>
          </w:p>
        </w:tc>
        <w:tc>
          <w:tcPr>
            <w:tcW w:w="180" w:type="dxa"/>
            <w:vAlign w:val="bottom"/>
          </w:tcPr>
          <w:p>
            <w:pPr>
              <w:spacing w:after="0"/>
              <w:rPr>
                <w:sz w:val="16"/>
                <w:szCs w:val="16"/>
                <w:color w:val="auto"/>
              </w:rPr>
            </w:pPr>
          </w:p>
        </w:tc>
        <w:tc>
          <w:tcPr>
            <w:tcW w:w="9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8"/>
              </w:rPr>
              <w:t>Fair Value</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1"/>
              </w:rPr>
              <w:t>Units</w:t>
            </w:r>
          </w:p>
        </w:tc>
        <w:tc>
          <w:tcPr>
            <w:tcW w:w="160" w:type="dxa"/>
            <w:vAlign w:val="bottom"/>
          </w:tcPr>
          <w:p>
            <w:pPr>
              <w:spacing w:after="0"/>
              <w:rPr>
                <w:sz w:val="16"/>
                <w:szCs w:val="16"/>
                <w:color w:val="auto"/>
              </w:rPr>
            </w:pPr>
          </w:p>
        </w:tc>
        <w:tc>
          <w:tcPr>
            <w:tcW w:w="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Non-vested at beginning of period</w:t>
            </w:r>
          </w:p>
        </w:tc>
        <w:tc>
          <w:tcPr>
            <w:tcW w:w="9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1,017,038</w:t>
            </w: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23.87</w:t>
            </w:r>
          </w:p>
        </w:tc>
        <w:tc>
          <w:tcPr>
            <w:tcW w:w="1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34,263</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17.18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80" w:type="dxa"/>
            <w:vAlign w:val="bottom"/>
          </w:tcPr>
          <w:p>
            <w:pPr>
              <w:ind w:left="200"/>
              <w:spacing w:after="0" w:line="202" w:lineRule="exact"/>
              <w:rPr>
                <w:sz w:val="20"/>
                <w:szCs w:val="20"/>
                <w:color w:val="auto"/>
              </w:rPr>
            </w:pPr>
            <w:r>
              <w:rPr>
                <w:rFonts w:ascii="Arial" w:cs="Arial" w:eastAsia="Arial" w:hAnsi="Arial"/>
                <w:sz w:val="18"/>
                <w:szCs w:val="18"/>
                <w:color w:val="auto"/>
              </w:rPr>
              <w:t>Granted</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212,426</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24.54</w:t>
            </w:r>
          </w:p>
        </w:tc>
        <w:tc>
          <w:tcPr>
            <w:tcW w:w="16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33,288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24.54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Dividend equivalents earned</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11,310</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20.67</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1,172</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20.67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80" w:type="dxa"/>
            <w:vAlign w:val="bottom"/>
          </w:tcPr>
          <w:p>
            <w:pPr>
              <w:ind w:left="200"/>
              <w:spacing w:after="0" w:line="202" w:lineRule="exact"/>
              <w:rPr>
                <w:sz w:val="20"/>
                <w:szCs w:val="20"/>
                <w:color w:val="auto"/>
              </w:rPr>
            </w:pPr>
            <w:r>
              <w:rPr>
                <w:rFonts w:ascii="Arial" w:cs="Arial" w:eastAsia="Arial" w:hAnsi="Arial"/>
                <w:sz w:val="18"/>
                <w:szCs w:val="18"/>
                <w:color w:val="auto"/>
              </w:rPr>
              <w:t>Vested</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(791)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20.67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Forfeited</w:t>
            </w: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(13,422)</w:t>
            </w:r>
          </w:p>
        </w:tc>
        <w:tc>
          <w:tcPr>
            <w:tcW w:w="1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26.98</w:t>
            </w:r>
          </w:p>
        </w:tc>
        <w:tc>
          <w:tcPr>
            <w:tcW w:w="160" w:type="dxa"/>
            <w:vAlign w:val="bottom"/>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5100" w:type="dxa"/>
            <w:vAlign w:val="bottom"/>
            <w:gridSpan w:val="2"/>
          </w:tcPr>
          <w:p>
            <w:pPr>
              <w:spacing w:after="0" w:line="196" w:lineRule="exact"/>
              <w:rPr>
                <w:sz w:val="20"/>
                <w:szCs w:val="20"/>
                <w:color w:val="auto"/>
              </w:rPr>
            </w:pPr>
            <w:r>
              <w:rPr>
                <w:rFonts w:ascii="Arial" w:cs="Arial" w:eastAsia="Arial" w:hAnsi="Arial"/>
                <w:sz w:val="18"/>
                <w:szCs w:val="18"/>
                <w:color w:val="auto"/>
              </w:rPr>
              <w:t>Non-vested at end of period</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1,227,352</w:t>
            </w:r>
          </w:p>
        </w:tc>
        <w:tc>
          <w:tcPr>
            <w:tcW w:w="180" w:type="dxa"/>
            <w:vAlign w:val="bottom"/>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w:t>
            </w:r>
            <w:r>
              <w:rPr>
                <w:rFonts w:ascii="Arial" w:cs="Arial" w:eastAsia="Arial" w:hAnsi="Arial"/>
                <w:sz w:val="18"/>
                <w:szCs w:val="18"/>
                <w:u w:val="single" w:color="auto"/>
                <w:color w:val="auto"/>
              </w:rPr>
              <w:t>93</w:t>
            </w:r>
          </w:p>
        </w:tc>
        <w:tc>
          <w:tcPr>
            <w:tcW w:w="160" w:type="dxa"/>
            <w:vAlign w:val="bottom"/>
          </w:tcPr>
          <w:p>
            <w:pPr>
              <w:spacing w:after="0"/>
              <w:rPr>
                <w:sz w:val="20"/>
                <w:szCs w:val="20"/>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67,932</w:t>
            </w:r>
          </w:p>
        </w:tc>
        <w:tc>
          <w:tcPr>
            <w:tcW w:w="16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w:t>
            </w:r>
            <w:r>
              <w:rPr>
                <w:rFonts w:ascii="Arial" w:cs="Arial" w:eastAsia="Arial" w:hAnsi="Arial"/>
                <w:sz w:val="18"/>
                <w:szCs w:val="18"/>
                <w:u w:val="single" w:color="auto"/>
                <w:color w:val="auto"/>
              </w:rPr>
              <w:t>81</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508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Outstanding at end of period</w:t>
            </w:r>
          </w:p>
        </w:tc>
        <w:tc>
          <w:tcPr>
            <w:tcW w:w="900" w:type="dxa"/>
            <w:vAlign w:val="bottom"/>
          </w:tcPr>
          <w:p>
            <w:pPr>
              <w:jc w:val="right"/>
              <w:spacing w:after="0"/>
              <w:rPr>
                <w:sz w:val="20"/>
                <w:szCs w:val="20"/>
                <w:color w:val="auto"/>
              </w:rPr>
            </w:pPr>
            <w:r>
              <w:rPr>
                <w:rFonts w:ascii="Arial" w:cs="Arial" w:eastAsia="Arial" w:hAnsi="Arial"/>
                <w:sz w:val="18"/>
                <w:szCs w:val="18"/>
                <w:color w:val="auto"/>
              </w:rPr>
              <w:t>1,227,352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23.93</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71,835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24.30</w:t>
            </w: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60" w:right="79"/>
        <w:spacing w:after="0" w:line="272" w:lineRule="auto"/>
        <w:rPr>
          <w:sz w:val="20"/>
          <w:szCs w:val="20"/>
          <w:color w:val="auto"/>
        </w:rPr>
      </w:pPr>
      <w:r>
        <w:rPr>
          <w:rFonts w:ascii="Arial" w:cs="Arial" w:eastAsia="Arial" w:hAnsi="Arial"/>
          <w:sz w:val="16"/>
          <w:szCs w:val="16"/>
          <w:color w:val="auto"/>
        </w:rPr>
        <w:t>On March 24, 2021, under the terms of the 2020 Equity Incentive Plan, the Company granted 212,426 restricted stock units to members of management, including the Vice-Chairman of the Board. The grant date fair value of the award totaled $5.2 million and will be recognized as compensation expense over the requisite service period ranging from one year to five years. The terms of these awards included an accelerated vesting provision upon eligible retirement from the Company, after a one-year minimum requisite service period. Subsequent to the requisite service period, the awards will become 100% vested. Further, the Company granted 33,288 deferred stock units to directors and advisory directors. The grant date fair value of the award totaled $0.8 million and will be recognized as compensation expense over the requisite service period of one year. Subsequent to the requisite service period, the awards will become 100% vested.</w:t>
      </w:r>
    </w:p>
    <w:p>
      <w:pPr>
        <w:spacing w:after="0" w:line="154"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During the first quarter of 2021, the Company also granted a target of 70,815 market-based performance stock units with a maximum award of 113,304 units. The actual number of units issued at the vesting date could range from 0% to 160% of the initial grant, depending on attaining the market-based total shareholder return performance goal. The grant date fair value of the award is estimated to be $1.7 million and will be recognized in compensation expense over the performance period ending December 31, 2023. The Company expects to finalize the grant date fair value of these awards in the second quarter of 2021.</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5" w:lineRule="exact"/>
        <w:rPr>
          <w:sz w:val="20"/>
          <w:szCs w:val="20"/>
          <w:color w:val="auto"/>
        </w:rPr>
      </w:pPr>
    </w:p>
    <w:p>
      <w:pPr>
        <w:ind w:left="60" w:right="79"/>
        <w:spacing w:after="0" w:line="279" w:lineRule="auto"/>
        <w:rPr>
          <w:sz w:val="20"/>
          <w:szCs w:val="20"/>
          <w:color w:val="auto"/>
        </w:rPr>
      </w:pPr>
      <w:r>
        <w:rPr>
          <w:rFonts w:ascii="Arial" w:cs="Arial" w:eastAsia="Arial" w:hAnsi="Arial"/>
          <w:sz w:val="16"/>
          <w:szCs w:val="16"/>
          <w:color w:val="auto"/>
        </w:rPr>
        <w:t>Further, during the first quarter of 2021, the Company granted a target of 28,344 performance-based stock units with a maximum award of 39,682 units. The actual number of units issued at the vest date could range from 0% to 140% of the initial grant, depending on attaining a performance goal based upon the compounded annual growth rate of the Remittance Processing segment. The grant date fair value of the award is $0.7 million and will be recognized in compensation expense over the performance period ending August 31, 2023, subject to achievement of the performance goal.</w:t>
      </w:r>
    </w:p>
    <w:p>
      <w:pPr>
        <w:spacing w:after="0" w:line="146" w:lineRule="exact"/>
        <w:rPr>
          <w:sz w:val="20"/>
          <w:szCs w:val="20"/>
          <w:color w:val="auto"/>
        </w:rPr>
      </w:pPr>
    </w:p>
    <w:p>
      <w:pPr>
        <w:ind w:left="60" w:right="59"/>
        <w:spacing w:after="0" w:line="284" w:lineRule="auto"/>
        <w:rPr>
          <w:sz w:val="20"/>
          <w:szCs w:val="20"/>
          <w:color w:val="auto"/>
        </w:rPr>
      </w:pPr>
      <w:r>
        <w:rPr>
          <w:rFonts w:ascii="Arial" w:cs="Arial" w:eastAsia="Arial" w:hAnsi="Arial"/>
          <w:sz w:val="16"/>
          <w:szCs w:val="16"/>
          <w:color w:val="auto"/>
        </w:rPr>
        <w:t>The Company recognized $1.4 million and $1.1 million of compensation expense related to non-vested restricted stock units, deferred stock units, and performance-based restricted stock awards for the three months ended March 31, 2021 and 2020, respectively. As of March 31, 2021, there was $17.5 million of total unrecognized compensation cost related to these non-vested stock awards. This cost is expected to be recognized over a weighted average period of 3.2 years.</w:t>
      </w:r>
    </w:p>
    <w:p>
      <w:pPr>
        <w:spacing w:after="0" w:line="142" w:lineRule="exact"/>
        <w:rPr>
          <w:sz w:val="20"/>
          <w:szCs w:val="20"/>
          <w:color w:val="auto"/>
        </w:rPr>
      </w:pPr>
    </w:p>
    <w:p>
      <w:pPr>
        <w:jc w:val="both"/>
        <w:ind w:left="60" w:right="219"/>
        <w:spacing w:after="0" w:line="294" w:lineRule="auto"/>
        <w:rPr>
          <w:sz w:val="20"/>
          <w:szCs w:val="20"/>
          <w:color w:val="auto"/>
        </w:rPr>
      </w:pPr>
      <w:r>
        <w:rPr>
          <w:rFonts w:ascii="Arial" w:cs="Arial" w:eastAsia="Arial" w:hAnsi="Arial"/>
          <w:sz w:val="16"/>
          <w:szCs w:val="16"/>
          <w:color w:val="auto"/>
        </w:rPr>
        <w:t>As of March 31, 2021, 1,094,149 shares remain available for issuance pursuant to the 2020 Equity Plan. The First Busey Corporation Employee Stock Purchase Plan expired as of December 31, 2020. The Company has included a proposal for approval of a new 2021 Employee Stock Purchase Plan within its Definitive Proxy Statement filed April 8, 2021.</w:t>
      </w:r>
    </w:p>
    <w:p>
      <w:pPr>
        <w:spacing w:after="0" w:line="13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9: Outstanding Commitments and Contingent Liabilities</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Legal Matters</w:t>
      </w:r>
    </w:p>
    <w:p>
      <w:pPr>
        <w:spacing w:after="0" w:line="198" w:lineRule="exact"/>
        <w:rPr>
          <w:sz w:val="20"/>
          <w:szCs w:val="20"/>
          <w:color w:val="auto"/>
        </w:rPr>
      </w:pPr>
    </w:p>
    <w:p>
      <w:pPr>
        <w:ind w:left="60" w:right="219"/>
        <w:spacing w:after="0" w:line="248" w:lineRule="auto"/>
        <w:rPr>
          <w:sz w:val="20"/>
          <w:szCs w:val="20"/>
          <w:color w:val="auto"/>
        </w:rPr>
      </w:pPr>
      <w:r>
        <w:rPr>
          <w:rFonts w:ascii="Arial" w:cs="Arial" w:eastAsia="Arial" w:hAnsi="Arial"/>
          <w:sz w:val="18"/>
          <w:szCs w:val="18"/>
          <w:color w:val="auto"/>
        </w:rPr>
        <w:t>The Company is a party to legal actions which arise in the normal course of its business activities. In the opinion of management, the ultimate resolution of these matters is not expected to have a material effect on the Company’s financial position or results of operations.</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Credit Commitments and Contingencies</w:t>
      </w:r>
    </w:p>
    <w:p>
      <w:pPr>
        <w:spacing w:after="0" w:line="198" w:lineRule="exact"/>
        <w:rPr>
          <w:sz w:val="20"/>
          <w:szCs w:val="20"/>
          <w:color w:val="auto"/>
        </w:rPr>
      </w:pPr>
    </w:p>
    <w:p>
      <w:pPr>
        <w:ind w:left="60" w:right="519"/>
        <w:spacing w:after="0" w:line="261" w:lineRule="auto"/>
        <w:rPr>
          <w:sz w:val="20"/>
          <w:szCs w:val="20"/>
          <w:color w:val="auto"/>
        </w:rPr>
      </w:pPr>
      <w:r>
        <w:rPr>
          <w:rFonts w:ascii="Arial" w:cs="Arial" w:eastAsia="Arial" w:hAnsi="Arial"/>
          <w:sz w:val="18"/>
          <w:szCs w:val="18"/>
          <w:color w:val="auto"/>
        </w:rPr>
        <w:t xml:space="preserve">A summary of the contractual amount of the Company’s exposure to off-balance-sheet risk relating to the Company’s commitments to extend credit and standby letters of credit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62" w:lineRule="exact"/>
        <w:rPr>
          <w:sz w:val="20"/>
          <w:szCs w:val="20"/>
          <w:color w:val="auto"/>
        </w:rPr>
      </w:pPr>
    </w:p>
    <w:tbl>
      <w:tblPr>
        <w:tblLayout w:type="fixed"/>
        <w:tblInd w:w="60" w:type="dxa"/>
        <w:tblCellMar>
          <w:top w:w="0" w:type="dxa"/>
          <w:left w:w="0" w:type="dxa"/>
          <w:bottom w:w="0" w:type="dxa"/>
          <w:right w:w="0" w:type="dxa"/>
        </w:tblCellMar>
      </w:tblPr>
      <w:tr>
        <w:trPr>
          <w:trHeight w:val="185"/>
        </w:trPr>
        <w:tc>
          <w:tcPr>
            <w:tcW w:w="57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948"/>
              <w:spacing w:after="0"/>
              <w:rPr>
                <w:sz w:val="20"/>
                <w:szCs w:val="20"/>
                <w:color w:val="auto"/>
              </w:rPr>
            </w:pPr>
            <w:r>
              <w:rPr>
                <w:rFonts w:ascii="Arial" w:cs="Arial" w:eastAsia="Arial" w:hAnsi="Arial"/>
                <w:sz w:val="14"/>
                <w:szCs w:val="14"/>
                <w:b w:val="1"/>
                <w:bCs w:val="1"/>
                <w:color w:val="auto"/>
                <w:w w:val="79"/>
              </w:rPr>
              <w:t>As of</w:t>
            </w:r>
          </w:p>
        </w:tc>
      </w:tr>
      <w:tr>
        <w:trPr>
          <w:trHeight w:val="133"/>
        </w:trPr>
        <w:tc>
          <w:tcPr>
            <w:tcW w:w="5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0" w:type="dxa"/>
            <w:vAlign w:val="bottom"/>
          </w:tcPr>
          <w:p>
            <w:pPr>
              <w:jc w:val="right"/>
              <w:ind w:right="108"/>
              <w:spacing w:after="0" w:line="133" w:lineRule="exact"/>
              <w:rPr>
                <w:sz w:val="20"/>
                <w:szCs w:val="20"/>
                <w:color w:val="auto"/>
              </w:rPr>
            </w:pPr>
            <w:r>
              <w:rPr>
                <w:rFonts w:ascii="Arial" w:cs="Arial" w:eastAsia="Arial" w:hAnsi="Arial"/>
                <w:sz w:val="14"/>
                <w:szCs w:val="14"/>
                <w:b w:val="1"/>
                <w:bCs w:val="1"/>
                <w:color w:val="auto"/>
              </w:rPr>
              <w:t>March 31,</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jc w:val="right"/>
              <w:ind w:right="68"/>
              <w:spacing w:after="0" w:line="133" w:lineRule="exact"/>
              <w:rPr>
                <w:sz w:val="20"/>
                <w:szCs w:val="20"/>
                <w:color w:val="auto"/>
              </w:rPr>
            </w:pPr>
            <w:r>
              <w:rPr>
                <w:rFonts w:ascii="Arial" w:cs="Arial" w:eastAsia="Arial" w:hAnsi="Arial"/>
                <w:sz w:val="14"/>
                <w:szCs w:val="14"/>
                <w:b w:val="1"/>
                <w:bCs w:val="1"/>
                <w:color w:val="auto"/>
              </w:rPr>
              <w:t>December 31,</w:t>
            </w:r>
          </w:p>
        </w:tc>
      </w:tr>
      <w:tr>
        <w:trPr>
          <w:trHeight w:val="185"/>
        </w:trPr>
        <w:tc>
          <w:tcPr>
            <w:tcW w:w="5720" w:type="dxa"/>
            <w:vAlign w:val="bottom"/>
          </w:tcPr>
          <w:p>
            <w:pPr>
              <w:spacing w:after="0"/>
              <w:rPr>
                <w:sz w:val="16"/>
                <w:szCs w:val="16"/>
                <w:color w:val="auto"/>
              </w:rPr>
            </w:pPr>
          </w:p>
        </w:tc>
        <w:tc>
          <w:tcPr>
            <w:tcW w:w="1860" w:type="dxa"/>
            <w:vAlign w:val="bottom"/>
            <w:gridSpan w:val="2"/>
          </w:tcPr>
          <w:p>
            <w:pPr>
              <w:jc w:val="right"/>
              <w:ind w:right="268"/>
              <w:spacing w:after="0"/>
              <w:rPr>
                <w:sz w:val="20"/>
                <w:szCs w:val="20"/>
                <w:color w:val="auto"/>
              </w:rPr>
            </w:pPr>
            <w:r>
              <w:rPr>
                <w:rFonts w:ascii="Arial" w:cs="Arial" w:eastAsia="Arial" w:hAnsi="Arial"/>
                <w:sz w:val="14"/>
                <w:szCs w:val="14"/>
                <w:b w:val="1"/>
                <w:bCs w:val="1"/>
                <w:color w:val="auto"/>
              </w:rPr>
              <w:t>2021</w:t>
            </w:r>
          </w:p>
        </w:tc>
        <w:tc>
          <w:tcPr>
            <w:tcW w:w="1320" w:type="dxa"/>
            <w:vAlign w:val="bottom"/>
            <w:gridSpan w:val="3"/>
          </w:tcPr>
          <w:p>
            <w:pPr>
              <w:jc w:val="right"/>
              <w:ind w:right="328"/>
              <w:spacing w:after="0"/>
              <w:rPr>
                <w:sz w:val="20"/>
                <w:szCs w:val="20"/>
                <w:color w:val="auto"/>
              </w:rPr>
            </w:pPr>
            <w:r>
              <w:rPr>
                <w:rFonts w:ascii="Arial" w:cs="Arial" w:eastAsia="Arial" w:hAnsi="Arial"/>
                <w:sz w:val="14"/>
                <w:szCs w:val="14"/>
                <w:b w:val="1"/>
                <w:bCs w:val="1"/>
                <w:color w:val="auto"/>
              </w:rPr>
              <w:t>2020</w:t>
            </w:r>
          </w:p>
        </w:tc>
      </w:tr>
      <w:tr>
        <w:trPr>
          <w:trHeight w:val="196"/>
        </w:trPr>
        <w:tc>
          <w:tcPr>
            <w:tcW w:w="57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Financial instruments whose contract amounts represent credit risk:</w:t>
            </w:r>
          </w:p>
        </w:tc>
        <w:tc>
          <w:tcPr>
            <w:tcW w:w="86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r>
      <w:tr>
        <w:trPr>
          <w:trHeight w:val="203"/>
        </w:trPr>
        <w:tc>
          <w:tcPr>
            <w:tcW w:w="5720" w:type="dxa"/>
            <w:vAlign w:val="bottom"/>
          </w:tcPr>
          <w:p>
            <w:pPr>
              <w:ind w:left="220"/>
              <w:spacing w:after="0" w:line="202" w:lineRule="exact"/>
              <w:rPr>
                <w:sz w:val="20"/>
                <w:szCs w:val="20"/>
                <w:color w:val="auto"/>
              </w:rPr>
            </w:pPr>
            <w:r>
              <w:rPr>
                <w:rFonts w:ascii="Arial" w:cs="Arial" w:eastAsia="Arial" w:hAnsi="Arial"/>
                <w:sz w:val="18"/>
                <w:szCs w:val="18"/>
                <w:color w:val="auto"/>
              </w:rPr>
              <w:t>Commitments to extend credit</w:t>
            </w:r>
          </w:p>
        </w:tc>
        <w:tc>
          <w:tcPr>
            <w:tcW w:w="18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1,759,035</w:t>
            </w:r>
          </w:p>
        </w:tc>
        <w:tc>
          <w:tcPr>
            <w:tcW w:w="13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   1,754,370</w:t>
            </w:r>
          </w:p>
        </w:tc>
      </w:tr>
      <w:tr>
        <w:trPr>
          <w:trHeight w:val="203"/>
        </w:trPr>
        <w:tc>
          <w:tcPr>
            <w:tcW w:w="57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Standby letters of credit</w:t>
            </w:r>
          </w:p>
        </w:tc>
        <w:tc>
          <w:tcPr>
            <w:tcW w:w="18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39,643</w:t>
            </w:r>
          </w:p>
        </w:tc>
        <w:tc>
          <w:tcPr>
            <w:tcW w:w="13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38,937</w:t>
            </w: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10: Derivative Financial Instruments</w:t>
      </w:r>
    </w:p>
    <w:p>
      <w:pPr>
        <w:spacing w:after="0" w:line="202" w:lineRule="exact"/>
        <w:rPr>
          <w:sz w:val="20"/>
          <w:szCs w:val="20"/>
          <w:color w:val="auto"/>
        </w:rPr>
      </w:pPr>
    </w:p>
    <w:p>
      <w:pPr>
        <w:jc w:val="both"/>
        <w:ind w:left="60" w:right="279"/>
        <w:spacing w:after="0" w:line="279" w:lineRule="auto"/>
        <w:rPr>
          <w:sz w:val="20"/>
          <w:szCs w:val="20"/>
          <w:color w:val="auto"/>
        </w:rPr>
      </w:pPr>
      <w:r>
        <w:rPr>
          <w:rFonts w:ascii="Arial" w:cs="Arial" w:eastAsia="Arial" w:hAnsi="Arial"/>
          <w:sz w:val="16"/>
          <w:szCs w:val="16"/>
          <w:color w:val="auto"/>
        </w:rPr>
        <w:t>The Company utilizes interest rate swap agreements as part of its asset liability management strategy to help manage its interest rate risk position. Additionally, the Company enters into derivative financial instruments, including interest rate lock commitments issued to residential loan customers for loans that will be held for sale, forward sales commitments to sell residential mortgage loans to investors, and interest rate swaps with customers and other third parties. See “</w:t>
      </w:r>
      <w:r>
        <w:rPr>
          <w:rFonts w:ascii="Arial" w:cs="Arial" w:eastAsia="Arial" w:hAnsi="Arial"/>
          <w:sz w:val="16"/>
          <w:szCs w:val="16"/>
          <w:i w:val="1"/>
          <w:iCs w:val="1"/>
          <w:color w:val="auto"/>
        </w:rPr>
        <w:t>Note 11:</w:t>
      </w:r>
      <w:r>
        <w:rPr>
          <w:rFonts w:ascii="Arial" w:cs="Arial" w:eastAsia="Arial" w:hAnsi="Arial"/>
          <w:sz w:val="16"/>
          <w:szCs w:val="16"/>
          <w:color w:val="auto"/>
        </w:rPr>
        <w:t xml:space="preserve"> </w:t>
      </w:r>
      <w:r>
        <w:rPr>
          <w:rFonts w:ascii="Arial" w:cs="Arial" w:eastAsia="Arial" w:hAnsi="Arial"/>
          <w:sz w:val="16"/>
          <w:szCs w:val="16"/>
          <w:i w:val="1"/>
          <w:iCs w:val="1"/>
          <w:color w:val="auto"/>
        </w:rPr>
        <w:t>Fair Value Measurements</w:t>
      </w:r>
      <w:r>
        <w:rPr>
          <w:rFonts w:ascii="Arial" w:cs="Arial" w:eastAsia="Arial" w:hAnsi="Arial"/>
          <w:sz w:val="16"/>
          <w:szCs w:val="16"/>
          <w:color w:val="auto"/>
        </w:rPr>
        <w:t>” for further discussion of the fair value measurement of such derivatives.</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Rate Swaps Designated as Cash Flow Hedges</w:t>
      </w:r>
    </w:p>
    <w:p>
      <w:pPr>
        <w:spacing w:after="0" w:line="198" w:lineRule="exact"/>
        <w:rPr>
          <w:sz w:val="20"/>
          <w:szCs w:val="20"/>
          <w:color w:val="auto"/>
        </w:rPr>
      </w:pPr>
    </w:p>
    <w:p>
      <w:pPr>
        <w:ind w:left="60" w:right="119"/>
        <w:spacing w:after="0" w:line="241" w:lineRule="auto"/>
        <w:rPr>
          <w:sz w:val="20"/>
          <w:szCs w:val="20"/>
          <w:color w:val="auto"/>
        </w:rPr>
      </w:pPr>
      <w:r>
        <w:rPr>
          <w:rFonts w:ascii="Arial" w:cs="Arial" w:eastAsia="Arial" w:hAnsi="Arial"/>
          <w:sz w:val="18"/>
          <w:szCs w:val="18"/>
          <w:color w:val="auto"/>
        </w:rPr>
        <w:t>The Company entered into derivative instruments designated as cash flow hedges. For a derivative instrument that is designated and qualifies as a cash flow hedge, the change in fair value of the derivative instrument is reported as a component of other comprehensive income (loss) and reclassified into earnings in the same period or periods during which the hedged transaction affects earnings. The change in fair value of components excluded from the assessment of effectiveness are recognized in current earnings.</w:t>
      </w:r>
    </w:p>
    <w:p>
      <w:pPr>
        <w:spacing w:after="0" w:line="176" w:lineRule="exact"/>
        <w:rPr>
          <w:sz w:val="20"/>
          <w:szCs w:val="20"/>
          <w:color w:val="auto"/>
        </w:rPr>
      </w:pPr>
    </w:p>
    <w:p>
      <w:pPr>
        <w:jc w:val="both"/>
        <w:ind w:left="60" w:right="499"/>
        <w:spacing w:after="0" w:line="294" w:lineRule="auto"/>
        <w:rPr>
          <w:sz w:val="20"/>
          <w:szCs w:val="20"/>
          <w:color w:val="auto"/>
        </w:rPr>
      </w:pPr>
      <w:r>
        <w:rPr>
          <w:rFonts w:ascii="Arial" w:cs="Arial" w:eastAsia="Arial" w:hAnsi="Arial"/>
          <w:sz w:val="16"/>
          <w:szCs w:val="16"/>
          <w:color w:val="auto"/>
        </w:rPr>
        <w:t>Interest rate swaps with notional amounts totaling $70.0 million as of March 31, 2021, and December 31, 2020, were designated as cash flow hedges to hedge the risk of variability in cash flows (future interest payments) attributable to changes in the contractually specified 3 month LIBOR benchmark interest rate on the Company’s junior subordinated</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5" w:lineRule="exact"/>
        <w:rPr>
          <w:sz w:val="20"/>
          <w:szCs w:val="20"/>
          <w:color w:val="auto"/>
        </w:rPr>
      </w:pPr>
    </w:p>
    <w:p>
      <w:pPr>
        <w:ind w:left="60" w:right="179"/>
        <w:spacing w:after="0" w:line="241" w:lineRule="auto"/>
        <w:rPr>
          <w:sz w:val="20"/>
          <w:szCs w:val="20"/>
          <w:color w:val="auto"/>
        </w:rPr>
      </w:pPr>
      <w:r>
        <w:rPr>
          <w:rFonts w:ascii="Arial" w:cs="Arial" w:eastAsia="Arial" w:hAnsi="Arial"/>
          <w:sz w:val="18"/>
          <w:szCs w:val="18"/>
          <w:color w:val="auto"/>
        </w:rPr>
        <w:t>debt owed to unconsolidated trusts and were determined to be highly effective during the period. The gross aggregate fair value of the swaps of $2.2 million and $3.1 million is recorded in other liabilities in the unaudited Consolidated Balance Sheets at March 31, 2021, and December 31, 2020, respectively, with changes in fair value recorded net of tax in other comprehensive income (loss). The Company expects the hedges to remain highly effective during the remaining terms of the swaps.</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7"/>
          <w:szCs w:val="17"/>
          <w:color w:val="auto"/>
        </w:rPr>
        <w:t xml:space="preserve">A summary of the interest-rate swaps designated as cash flow hedges is presented below </w:t>
      </w:r>
      <w:r>
        <w:rPr>
          <w:rFonts w:ascii="Arial" w:cs="Arial" w:eastAsia="Arial" w:hAnsi="Arial"/>
          <w:sz w:val="17"/>
          <w:szCs w:val="17"/>
          <w:i w:val="1"/>
          <w:iCs w:val="1"/>
          <w:color w:val="auto"/>
        </w:rPr>
        <w:t>(dollars in thousands)</w:t>
      </w:r>
      <w:r>
        <w:rPr>
          <w:rFonts w:ascii="Arial" w:cs="Arial" w:eastAsia="Arial" w:hAnsi="Arial"/>
          <w:sz w:val="17"/>
          <w:szCs w:val="17"/>
          <w:color w:val="auto"/>
        </w:rPr>
        <w:t>:</w:t>
      </w:r>
    </w:p>
    <w:p>
      <w:pPr>
        <w:spacing w:after="0" w:line="215" w:lineRule="exact"/>
        <w:rPr>
          <w:sz w:val="20"/>
          <w:szCs w:val="20"/>
          <w:color w:val="auto"/>
        </w:rPr>
      </w:pPr>
    </w:p>
    <w:tbl>
      <w:tblPr>
        <w:tblLayout w:type="fixed"/>
        <w:tblInd w:w="60" w:type="dxa"/>
        <w:tblCellMar>
          <w:top w:w="0" w:type="dxa"/>
          <w:left w:w="0" w:type="dxa"/>
          <w:bottom w:w="0" w:type="dxa"/>
          <w:right w:w="0" w:type="dxa"/>
        </w:tblCellMar>
      </w:tblPr>
      <w:tr>
        <w:trPr>
          <w:trHeight w:val="185"/>
        </w:trPr>
        <w:tc>
          <w:tcPr>
            <w:tcW w:w="5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4"/>
          </w:tcPr>
          <w:p>
            <w:pPr>
              <w:jc w:val="right"/>
              <w:ind w:right="127"/>
              <w:spacing w:after="0"/>
              <w:rPr>
                <w:sz w:val="20"/>
                <w:szCs w:val="20"/>
                <w:color w:val="auto"/>
              </w:rPr>
            </w:pPr>
            <w:r>
              <w:rPr>
                <w:rFonts w:ascii="Arial" w:cs="Arial" w:eastAsia="Arial" w:hAnsi="Arial"/>
                <w:sz w:val="14"/>
                <w:szCs w:val="14"/>
                <w:b w:val="1"/>
                <w:bCs w:val="1"/>
                <w:color w:val="auto"/>
              </w:rPr>
              <w:t>As of</w:t>
            </w:r>
          </w:p>
        </w:tc>
        <w:tc>
          <w:tcPr>
            <w:tcW w:w="7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r>
      <w:tr>
        <w:trPr>
          <w:trHeight w:val="133"/>
        </w:trPr>
        <w:tc>
          <w:tcPr>
            <w:tcW w:w="52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right"/>
              <w:ind w:right="440"/>
              <w:spacing w:after="0" w:line="133" w:lineRule="exact"/>
              <w:rPr>
                <w:sz w:val="20"/>
                <w:szCs w:val="20"/>
                <w:color w:val="auto"/>
              </w:rPr>
            </w:pPr>
            <w:r>
              <w:rPr>
                <w:rFonts w:ascii="Arial" w:cs="Arial" w:eastAsia="Arial" w:hAnsi="Arial"/>
                <w:sz w:val="14"/>
                <w:szCs w:val="14"/>
                <w:b w:val="1"/>
                <w:bCs w:val="1"/>
                <w:color w:val="auto"/>
              </w:rPr>
              <w:t>March 31,</w:t>
            </w:r>
          </w:p>
        </w:tc>
        <w:tc>
          <w:tcPr>
            <w:tcW w:w="40" w:type="dxa"/>
            <w:vAlign w:val="bottom"/>
          </w:tcPr>
          <w:p>
            <w:pPr>
              <w:spacing w:after="0"/>
              <w:rPr>
                <w:sz w:val="11"/>
                <w:szCs w:val="11"/>
                <w:color w:val="auto"/>
              </w:rPr>
            </w:pPr>
          </w:p>
        </w:tc>
        <w:tc>
          <w:tcPr>
            <w:tcW w:w="1000" w:type="dxa"/>
            <w:vAlign w:val="bottom"/>
            <w:gridSpan w:val="2"/>
          </w:tcPr>
          <w:p>
            <w:pPr>
              <w:jc w:val="right"/>
              <w:ind w:right="13"/>
              <w:spacing w:after="0" w:line="133" w:lineRule="exact"/>
              <w:rPr>
                <w:sz w:val="20"/>
                <w:szCs w:val="20"/>
                <w:color w:val="auto"/>
              </w:rPr>
            </w:pPr>
            <w:r>
              <w:rPr>
                <w:rFonts w:ascii="Arial" w:cs="Arial" w:eastAsia="Arial" w:hAnsi="Arial"/>
                <w:sz w:val="14"/>
                <w:szCs w:val="14"/>
                <w:b w:val="1"/>
                <w:bCs w:val="1"/>
                <w:color w:val="auto"/>
                <w:w w:val="96"/>
              </w:rPr>
              <w:t>December 31,</w:t>
            </w:r>
          </w:p>
        </w:tc>
        <w:tc>
          <w:tcPr>
            <w:tcW w:w="240" w:type="dxa"/>
            <w:vAlign w:val="bottom"/>
          </w:tcPr>
          <w:p>
            <w:pPr>
              <w:spacing w:after="0"/>
              <w:rPr>
                <w:sz w:val="11"/>
                <w:szCs w:val="11"/>
                <w:color w:val="auto"/>
              </w:rPr>
            </w:pPr>
          </w:p>
        </w:tc>
      </w:tr>
      <w:tr>
        <w:trPr>
          <w:trHeight w:val="185"/>
        </w:trPr>
        <w:tc>
          <w:tcPr>
            <w:tcW w:w="5240" w:type="dxa"/>
            <w:vAlign w:val="bottom"/>
            <w:tcBorders>
              <w:bottom w:val="single" w:sz="8" w:color="CCEEFF"/>
            </w:tcBorders>
          </w:tcPr>
          <w:p>
            <w:pPr>
              <w:spacing w:after="0"/>
              <w:rPr>
                <w:sz w:val="16"/>
                <w:szCs w:val="16"/>
                <w:color w:val="auto"/>
              </w:rPr>
            </w:pPr>
          </w:p>
        </w:tc>
        <w:tc>
          <w:tcPr>
            <w:tcW w:w="11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CEEFF"/>
            </w:tcBorders>
          </w:tcPr>
          <w:p>
            <w:pPr>
              <w:spacing w:after="0"/>
              <w:rPr>
                <w:sz w:val="16"/>
                <w:szCs w:val="16"/>
                <w:color w:val="auto"/>
              </w:rPr>
            </w:pPr>
          </w:p>
        </w:tc>
      </w:tr>
      <w:tr>
        <w:trPr>
          <w:trHeight w:val="196"/>
        </w:trPr>
        <w:tc>
          <w:tcPr>
            <w:tcW w:w="5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Notional amount</w:t>
            </w: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70,000</w:t>
            </w: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70,000</w:t>
            </w:r>
          </w:p>
        </w:tc>
        <w:tc>
          <w:tcPr>
            <w:tcW w:w="240" w:type="dxa"/>
            <w:vAlign w:val="bottom"/>
            <w:shd w:val="clear" w:color="auto" w:fill="CCEEFF"/>
          </w:tcPr>
          <w:p>
            <w:pPr>
              <w:spacing w:after="0"/>
              <w:rPr>
                <w:sz w:val="17"/>
                <w:szCs w:val="17"/>
                <w:color w:val="auto"/>
              </w:rPr>
            </w:pPr>
          </w:p>
        </w:tc>
      </w:tr>
      <w:tr>
        <w:trPr>
          <w:trHeight w:val="203"/>
        </w:trPr>
        <w:tc>
          <w:tcPr>
            <w:tcW w:w="5240" w:type="dxa"/>
            <w:vAlign w:val="bottom"/>
          </w:tcPr>
          <w:p>
            <w:pPr>
              <w:spacing w:after="0" w:line="202" w:lineRule="exact"/>
              <w:rPr>
                <w:sz w:val="20"/>
                <w:szCs w:val="20"/>
                <w:color w:val="auto"/>
              </w:rPr>
            </w:pPr>
            <w:r>
              <w:rPr>
                <w:rFonts w:ascii="Arial" w:cs="Arial" w:eastAsia="Arial" w:hAnsi="Arial"/>
                <w:sz w:val="18"/>
                <w:szCs w:val="18"/>
                <w:color w:val="auto"/>
              </w:rPr>
              <w:t>Weighted average fixed pay rates</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1.80 %</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1.80 %</w:t>
            </w:r>
          </w:p>
        </w:tc>
      </w:tr>
      <w:tr>
        <w:trPr>
          <w:trHeight w:val="203"/>
        </w:trPr>
        <w:tc>
          <w:tcPr>
            <w:tcW w:w="5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Weighted average variable 3-month LIBOR receive rates</w:t>
            </w: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0.18 %</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0.22 %</w:t>
            </w:r>
          </w:p>
        </w:tc>
      </w:tr>
      <w:tr>
        <w:trPr>
          <w:trHeight w:val="203"/>
        </w:trPr>
        <w:tc>
          <w:tcPr>
            <w:tcW w:w="5240" w:type="dxa"/>
            <w:vAlign w:val="bottom"/>
          </w:tcPr>
          <w:p>
            <w:pPr>
              <w:spacing w:after="0" w:line="202" w:lineRule="exact"/>
              <w:rPr>
                <w:sz w:val="20"/>
                <w:szCs w:val="20"/>
                <w:color w:val="auto"/>
              </w:rPr>
            </w:pPr>
            <w:r>
              <w:rPr>
                <w:rFonts w:ascii="Arial" w:cs="Arial" w:eastAsia="Arial" w:hAnsi="Arial"/>
                <w:sz w:val="18"/>
                <w:szCs w:val="18"/>
                <w:color w:val="auto"/>
              </w:rPr>
              <w:t>Weighted average maturity, in years</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2.61 yrs</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2.85 yrs</w:t>
            </w:r>
          </w:p>
        </w:tc>
      </w:tr>
      <w:tr>
        <w:trPr>
          <w:trHeight w:val="203"/>
        </w:trPr>
        <w:tc>
          <w:tcPr>
            <w:tcW w:w="5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Unrealized gains (losses), net of tax</w:t>
            </w:r>
          </w:p>
        </w:tc>
        <w:tc>
          <w:tcPr>
            <w:tcW w:w="1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(1,575)</w:t>
            </w:r>
          </w:p>
        </w:tc>
        <w:tc>
          <w:tcPr>
            <w:tcW w:w="24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ind w:right="67"/>
              <w:spacing w:after="0" w:line="202" w:lineRule="exact"/>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(2,184)</w:t>
            </w:r>
          </w:p>
        </w:tc>
        <w:tc>
          <w:tcPr>
            <w:tcW w:w="240" w:type="dxa"/>
            <w:vAlign w:val="bottom"/>
            <w:shd w:val="clear" w:color="auto" w:fill="CCEEFF"/>
          </w:tcPr>
          <w:p>
            <w:pPr>
              <w:spacing w:after="0"/>
              <w:rPr>
                <w:sz w:val="17"/>
                <w:szCs w:val="17"/>
                <w:color w:val="auto"/>
              </w:rPr>
            </w:pPr>
          </w:p>
        </w:tc>
      </w:tr>
    </w:tbl>
    <w:p>
      <w:pPr>
        <w:spacing w:after="0" w:line="188" w:lineRule="exact"/>
        <w:rPr>
          <w:sz w:val="20"/>
          <w:szCs w:val="20"/>
          <w:color w:val="auto"/>
        </w:rPr>
      </w:pPr>
    </w:p>
    <w:p>
      <w:pPr>
        <w:ind w:left="60" w:right="79"/>
        <w:spacing w:after="0" w:line="262" w:lineRule="auto"/>
        <w:rPr>
          <w:sz w:val="20"/>
          <w:szCs w:val="20"/>
          <w:color w:val="auto"/>
        </w:rPr>
      </w:pPr>
      <w:r>
        <w:rPr>
          <w:rFonts w:ascii="Arial" w:cs="Arial" w:eastAsia="Arial" w:hAnsi="Arial"/>
          <w:sz w:val="17"/>
          <w:szCs w:val="17"/>
          <w:color w:val="auto"/>
        </w:rPr>
        <w:t>Interest expense recorded on these swap transactions was $0.3 million during the three months ended March 31, 2021. The Company expects $0.3 million of the unrealized loss to be reclassified from OCI to interest expense during the next three months. This reclassified amount could differ from amounts actually recognized due to changes in interest rates, hedge de-designations, and the addition of other hedges subsequent to March 31, 2021.</w:t>
      </w:r>
    </w:p>
    <w:p>
      <w:pPr>
        <w:spacing w:after="0" w:line="159" w:lineRule="exact"/>
        <w:rPr>
          <w:sz w:val="20"/>
          <w:szCs w:val="20"/>
          <w:color w:val="auto"/>
        </w:rPr>
      </w:pPr>
    </w:p>
    <w:p>
      <w:pPr>
        <w:ind w:left="60" w:right="479"/>
        <w:spacing w:after="0" w:line="248" w:lineRule="auto"/>
        <w:rPr>
          <w:sz w:val="20"/>
          <w:szCs w:val="20"/>
          <w:color w:val="auto"/>
        </w:rPr>
      </w:pPr>
      <w:r>
        <w:rPr>
          <w:rFonts w:ascii="Arial" w:cs="Arial" w:eastAsia="Arial" w:hAnsi="Arial"/>
          <w:sz w:val="18"/>
          <w:szCs w:val="18"/>
          <w:color w:val="auto"/>
        </w:rPr>
        <w:t xml:space="preserve">The following table reflects the net gains (losses) recorded in accumulated other comprehensive income (loss) and the unaudited Consolidated Statements of Income relating to cash flow derivative instruments for the periods presented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73" w:lineRule="exact"/>
        <w:rPr>
          <w:sz w:val="20"/>
          <w:szCs w:val="20"/>
          <w:color w:val="auto"/>
        </w:rPr>
      </w:pPr>
    </w:p>
    <w:tbl>
      <w:tblPr>
        <w:tblLayout w:type="fixed"/>
        <w:tblInd w:w="60" w:type="dxa"/>
        <w:tblCellMar>
          <w:top w:w="0" w:type="dxa"/>
          <w:left w:w="0" w:type="dxa"/>
          <w:bottom w:w="0" w:type="dxa"/>
          <w:right w:w="0" w:type="dxa"/>
        </w:tblCellMar>
      </w:tblPr>
      <w:tr>
        <w:trPr>
          <w:trHeight w:val="185"/>
        </w:trPr>
        <w:tc>
          <w:tcPr>
            <w:tcW w:w="6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Interest rate contracts</w:t>
            </w:r>
          </w:p>
        </w:tc>
        <w:tc>
          <w:tcPr>
            <w:tcW w:w="12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jc w:val="right"/>
              <w:ind w:right="115"/>
              <w:spacing w:after="0"/>
              <w:rPr>
                <w:sz w:val="20"/>
                <w:szCs w:val="20"/>
                <w:color w:val="auto"/>
              </w:rPr>
            </w:pPr>
            <w:r>
              <w:rPr>
                <w:rFonts w:ascii="Arial" w:cs="Arial" w:eastAsia="Arial" w:hAnsi="Arial"/>
                <w:sz w:val="14"/>
                <w:szCs w:val="14"/>
                <w:b w:val="1"/>
                <w:bCs w:val="1"/>
                <w:color w:val="auto"/>
                <w:w w:val="95"/>
              </w:rPr>
              <w:t>Three Months Ended March 31,</w:t>
            </w:r>
          </w:p>
        </w:tc>
        <w:tc>
          <w:tcPr>
            <w:tcW w:w="0" w:type="dxa"/>
            <w:vAlign w:val="bottom"/>
          </w:tcPr>
          <w:p>
            <w:pPr>
              <w:spacing w:after="0"/>
              <w:rPr>
                <w:sz w:val="1"/>
                <w:szCs w:val="1"/>
                <w:color w:val="auto"/>
              </w:rPr>
            </w:pPr>
          </w:p>
        </w:tc>
      </w:tr>
      <w:tr>
        <w:trPr>
          <w:trHeight w:val="155"/>
        </w:trPr>
        <w:tc>
          <w:tcPr>
            <w:tcW w:w="65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right"/>
              <w:ind w:right="297"/>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ind w:right="315"/>
              <w:spacing w:after="0" w:line="155"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6"/>
        </w:trPr>
        <w:tc>
          <w:tcPr>
            <w:tcW w:w="63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Gain (loss) recognized in OCI, net of tax</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410</w:t>
            </w:r>
          </w:p>
        </w:tc>
        <w:tc>
          <w:tcPr>
            <w:tcW w:w="2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(2,237)</w:t>
            </w:r>
          </w:p>
        </w:tc>
        <w:tc>
          <w:tcPr>
            <w:tcW w:w="0" w:type="dxa"/>
            <w:vAlign w:val="bottom"/>
          </w:tcPr>
          <w:p>
            <w:pPr>
              <w:spacing w:after="0"/>
              <w:rPr>
                <w:sz w:val="1"/>
                <w:szCs w:val="1"/>
                <w:color w:val="auto"/>
              </w:rPr>
            </w:pPr>
          </w:p>
        </w:tc>
      </w:tr>
      <w:tr>
        <w:trPr>
          <w:trHeight w:val="203"/>
        </w:trPr>
        <w:tc>
          <w:tcPr>
            <w:tcW w:w="6580" w:type="dxa"/>
            <w:vAlign w:val="bottom"/>
            <w:tcBorders>
              <w:bottom w:val="single" w:sz="8" w:color="CCEEFF"/>
            </w:tcBorders>
            <w:gridSpan w:val="2"/>
          </w:tcPr>
          <w:p>
            <w:pPr>
              <w:spacing w:after="0" w:line="202" w:lineRule="exact"/>
              <w:rPr>
                <w:sz w:val="20"/>
                <w:szCs w:val="20"/>
                <w:color w:val="auto"/>
              </w:rPr>
            </w:pPr>
            <w:r>
              <w:rPr>
                <w:rFonts w:ascii="Arial" w:cs="Arial" w:eastAsia="Arial" w:hAnsi="Arial"/>
                <w:sz w:val="18"/>
                <w:szCs w:val="18"/>
                <w:color w:val="auto"/>
              </w:rPr>
              <w:t>(Gain) loss reclassified from OCI to interest expense, net of tax</w:t>
            </w: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199</w:t>
            </w:r>
          </w:p>
        </w:tc>
        <w:tc>
          <w:tcPr>
            <w:tcW w:w="2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6"/>
        </w:trPr>
        <w:tc>
          <w:tcPr>
            <w:tcW w:w="6580" w:type="dxa"/>
            <w:vAlign w:val="bottom"/>
            <w:tcBorders>
              <w:bottom w:val="single" w:sz="8" w:color="CCEEFF"/>
            </w:tcBorders>
            <w:gridSpan w:val="2"/>
            <w:shd w:val="clear" w:color="auto" w:fill="CCEEFF"/>
          </w:tcPr>
          <w:p>
            <w:pPr>
              <w:ind w:left="220"/>
              <w:spacing w:after="0" w:line="196" w:lineRule="exact"/>
              <w:rPr>
                <w:sz w:val="20"/>
                <w:szCs w:val="20"/>
                <w:color w:val="auto"/>
              </w:rPr>
            </w:pPr>
            <w:r>
              <w:rPr>
                <w:rFonts w:ascii="Arial" w:cs="Arial" w:eastAsia="Arial" w:hAnsi="Arial"/>
                <w:sz w:val="18"/>
                <w:szCs w:val="18"/>
                <w:color w:val="auto"/>
              </w:rPr>
              <w:t>Net change in unrealized gains (losses) on cash flow hedges</w:t>
            </w: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609</w:t>
            </w:r>
          </w:p>
        </w:tc>
        <w:tc>
          <w:tcPr>
            <w:tcW w:w="2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(2,248)</w:t>
            </w: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60" w:right="419"/>
        <w:spacing w:after="0" w:line="261" w:lineRule="auto"/>
        <w:rPr>
          <w:sz w:val="20"/>
          <w:szCs w:val="20"/>
          <w:color w:val="auto"/>
        </w:rPr>
      </w:pPr>
      <w:r>
        <w:rPr>
          <w:rFonts w:ascii="Arial" w:cs="Arial" w:eastAsia="Arial" w:hAnsi="Arial"/>
          <w:sz w:val="18"/>
          <w:szCs w:val="18"/>
          <w:color w:val="auto"/>
        </w:rPr>
        <w:t>The Company pledged $2.4 million and $3.2 million in cash to secure its obligation under these contracts at March 31, 2021, and December 31, 2020, respectively.</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Rate Lock Commitments</w:t>
      </w:r>
    </w:p>
    <w:p>
      <w:pPr>
        <w:spacing w:after="0" w:line="198" w:lineRule="exact"/>
        <w:rPr>
          <w:sz w:val="20"/>
          <w:szCs w:val="20"/>
          <w:color w:val="auto"/>
        </w:rPr>
      </w:pPr>
    </w:p>
    <w:p>
      <w:pPr>
        <w:ind w:left="60" w:right="239"/>
        <w:spacing w:after="0" w:line="262" w:lineRule="auto"/>
        <w:rPr>
          <w:sz w:val="20"/>
          <w:szCs w:val="20"/>
          <w:color w:val="auto"/>
        </w:rPr>
      </w:pPr>
      <w:r>
        <w:rPr>
          <w:rFonts w:ascii="Arial" w:cs="Arial" w:eastAsia="Arial" w:hAnsi="Arial"/>
          <w:sz w:val="17"/>
          <w:szCs w:val="17"/>
          <w:color w:val="auto"/>
        </w:rPr>
        <w:t xml:space="preserve">Interest rate lock commitments that meet the definition of derivative financial instruments under ASC Topic 815, </w:t>
      </w:r>
      <w:r>
        <w:rPr>
          <w:rFonts w:ascii="Arial" w:cs="Arial" w:eastAsia="Arial" w:hAnsi="Arial"/>
          <w:sz w:val="17"/>
          <w:szCs w:val="17"/>
          <w:i w:val="1"/>
          <w:iCs w:val="1"/>
          <w:color w:val="auto"/>
        </w:rPr>
        <w:t>Derivatives and Hedging</w:t>
      </w:r>
      <w:r>
        <w:rPr>
          <w:rFonts w:ascii="Arial" w:cs="Arial" w:eastAsia="Arial" w:hAnsi="Arial"/>
          <w:sz w:val="17"/>
          <w:szCs w:val="17"/>
          <w:color w:val="auto"/>
        </w:rPr>
        <w:t>, are carried at their fair values in other assets or other liabilities in the unaudited consolidated</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statements, with changes in the fair values of the corresponding derivative financial assets or liabilities recorded as either a charge or credit to current earnings during the period in which the changes occurred.</w:t>
      </w:r>
    </w:p>
    <w:p>
      <w:pPr>
        <w:spacing w:after="0" w:line="15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Forward Sales Commitments</w:t>
      </w:r>
    </w:p>
    <w:p>
      <w:pPr>
        <w:spacing w:after="0" w:line="198" w:lineRule="exact"/>
        <w:rPr>
          <w:sz w:val="20"/>
          <w:szCs w:val="20"/>
          <w:color w:val="auto"/>
        </w:rPr>
      </w:pPr>
    </w:p>
    <w:p>
      <w:pPr>
        <w:ind w:left="60" w:right="59"/>
        <w:spacing w:after="0" w:line="253" w:lineRule="auto"/>
        <w:rPr>
          <w:sz w:val="20"/>
          <w:szCs w:val="20"/>
          <w:color w:val="auto"/>
        </w:rPr>
      </w:pPr>
      <w:r>
        <w:rPr>
          <w:rFonts w:ascii="Arial" w:cs="Arial" w:eastAsia="Arial" w:hAnsi="Arial"/>
          <w:sz w:val="17"/>
          <w:szCs w:val="17"/>
          <w:color w:val="auto"/>
        </w:rPr>
        <w:t xml:space="preserve">The Company economically hedges mortgage loans held for sale and interest rate lock commitments issued to its residential loan customers related to loans that will be held for sale by obtaining corresponding best-efforts forward sales commitments with an investor to sell the loans at an agreed-upon price at the time the interest rate locks are issued to the customers. Forward sales commitments that meet the definition of derivative financial instruments under ASC Topic 815, </w:t>
      </w:r>
      <w:r>
        <w:rPr>
          <w:rFonts w:ascii="Arial" w:cs="Arial" w:eastAsia="Arial" w:hAnsi="Arial"/>
          <w:sz w:val="17"/>
          <w:szCs w:val="17"/>
          <w:i w:val="1"/>
          <w:iCs w:val="1"/>
          <w:color w:val="auto"/>
        </w:rPr>
        <w:t>Derivatives and Hedging</w:t>
      </w:r>
      <w:r>
        <w:rPr>
          <w:rFonts w:ascii="Arial" w:cs="Arial" w:eastAsia="Arial" w:hAnsi="Arial"/>
          <w:sz w:val="17"/>
          <w:szCs w:val="17"/>
          <w:color w:val="auto"/>
        </w:rPr>
        <w:t>, are carried at their fair values in other assets or other liabilities in the unaudited consolidated</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statements. While such forward sales commitments generally served as an economic hedge to mortgage loans held for sale and interest rate lock commitments, the Company did not designate them for hedge accounting treatment. Changes in fair value of the corresponding derivative financial asset or liability were recorded as either a charge or credit to current earnings during the period in which the changes occurred.</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9" w:name="page30"/>
    <w:bookmarkEnd w:id="29"/>
    <w:p>
      <w:pPr>
        <w:jc w:val="center"/>
        <w:ind w:right="19"/>
        <w:spacing w:after="0"/>
        <w:rPr>
          <w:sz w:val="20"/>
          <w:szCs w:val="20"/>
          <w:color w:val="auto"/>
        </w:rPr>
      </w:pPr>
      <w:r>
        <w:rPr>
          <w:rFonts w:ascii="Arial" w:cs="Arial" w:eastAsia="Arial" w:hAnsi="Arial"/>
          <w:sz w:val="18"/>
          <w:szCs w:val="18"/>
          <w:b w:val="1"/>
          <w:bCs w:val="1"/>
          <w:color w:val="auto"/>
        </w:rPr>
        <w:t>FIRST BUSEY CORPORATION</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w:t>
      </w:r>
    </w:p>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5" w:lineRule="exact"/>
        <w:rPr>
          <w:sz w:val="20"/>
          <w:szCs w:val="20"/>
          <w:color w:val="auto"/>
        </w:rPr>
      </w:pPr>
    </w:p>
    <w:p>
      <w:pPr>
        <w:ind w:left="60" w:right="559"/>
        <w:spacing w:after="0" w:line="261" w:lineRule="auto"/>
        <w:rPr>
          <w:sz w:val="20"/>
          <w:szCs w:val="20"/>
          <w:color w:val="auto"/>
        </w:rPr>
      </w:pPr>
      <w:r>
        <w:rPr>
          <w:rFonts w:ascii="Arial" w:cs="Arial" w:eastAsia="Arial" w:hAnsi="Arial"/>
          <w:sz w:val="18"/>
          <w:szCs w:val="18"/>
          <w:color w:val="auto"/>
        </w:rPr>
        <w:t xml:space="preserve">Amounts and fair values of mortgage banking derivatives included in the unaudited Consolidated Balance Sheets are summarized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62" w:lineRule="exact"/>
        <w:rPr>
          <w:sz w:val="20"/>
          <w:szCs w:val="20"/>
          <w:color w:val="auto"/>
        </w:rPr>
      </w:pPr>
    </w:p>
    <w:tbl>
      <w:tblPr>
        <w:tblLayout w:type="fixed"/>
        <w:tblInd w:w="60" w:type="dxa"/>
        <w:tblCellMar>
          <w:top w:w="0" w:type="dxa"/>
          <w:left w:w="0" w:type="dxa"/>
          <w:bottom w:w="0" w:type="dxa"/>
          <w:right w:w="0" w:type="dxa"/>
        </w:tblCellMar>
      </w:tblPr>
      <w:tr>
        <w:trPr>
          <w:trHeight w:val="185"/>
        </w:trPr>
        <w:tc>
          <w:tcPr>
            <w:tcW w:w="348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600" w:type="dxa"/>
            <w:vAlign w:val="bottom"/>
            <w:gridSpan w:val="3"/>
          </w:tcPr>
          <w:p>
            <w:pPr>
              <w:ind w:left="260"/>
              <w:spacing w:after="0"/>
              <w:rPr>
                <w:sz w:val="20"/>
                <w:szCs w:val="20"/>
                <w:color w:val="auto"/>
              </w:rPr>
            </w:pPr>
            <w:r>
              <w:rPr>
                <w:rFonts w:ascii="Arial" w:cs="Arial" w:eastAsia="Arial" w:hAnsi="Arial"/>
                <w:sz w:val="14"/>
                <w:szCs w:val="14"/>
                <w:b w:val="1"/>
                <w:bCs w:val="1"/>
                <w:color w:val="auto"/>
              </w:rPr>
              <w:t>March 31, 2021</w:t>
            </w:r>
          </w:p>
        </w:tc>
        <w:tc>
          <w:tcPr>
            <w:tcW w:w="1500" w:type="dxa"/>
            <w:vAlign w:val="bottom"/>
            <w:gridSpan w:val="2"/>
          </w:tcPr>
          <w:p>
            <w:pPr>
              <w:jc w:val="right"/>
              <w:ind w:right="88"/>
              <w:spacing w:after="0"/>
              <w:rPr>
                <w:sz w:val="20"/>
                <w:szCs w:val="20"/>
                <w:color w:val="auto"/>
              </w:rPr>
            </w:pPr>
            <w:r>
              <w:rPr>
                <w:rFonts w:ascii="Arial" w:cs="Arial" w:eastAsia="Arial" w:hAnsi="Arial"/>
                <w:sz w:val="14"/>
                <w:szCs w:val="14"/>
                <w:b w:val="1"/>
                <w:bCs w:val="1"/>
                <w:color w:val="auto"/>
              </w:rPr>
              <w:t>December 31, 2020</w:t>
            </w:r>
          </w:p>
        </w:tc>
      </w:tr>
      <w:tr>
        <w:trPr>
          <w:trHeight w:val="133"/>
        </w:trPr>
        <w:tc>
          <w:tcPr>
            <w:tcW w:w="348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780" w:type="dxa"/>
            <w:vAlign w:val="bottom"/>
            <w:tcBorders>
              <w:top w:val="single" w:sz="8" w:color="auto"/>
            </w:tcBorders>
          </w:tcPr>
          <w:p>
            <w:pPr>
              <w:ind w:left="80"/>
              <w:spacing w:after="0" w:line="133" w:lineRule="exact"/>
              <w:rPr>
                <w:sz w:val="20"/>
                <w:szCs w:val="20"/>
                <w:color w:val="auto"/>
              </w:rPr>
            </w:pPr>
            <w:r>
              <w:rPr>
                <w:rFonts w:ascii="Arial" w:cs="Arial" w:eastAsia="Arial" w:hAnsi="Arial"/>
                <w:sz w:val="14"/>
                <w:szCs w:val="14"/>
                <w:b w:val="1"/>
                <w:bCs w:val="1"/>
                <w:color w:val="auto"/>
              </w:rPr>
              <w:t>Notional</w:t>
            </w:r>
          </w:p>
        </w:tc>
        <w:tc>
          <w:tcPr>
            <w:tcW w:w="70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1"/>
                <w:szCs w:val="11"/>
                <w:color w:val="auto"/>
              </w:rPr>
            </w:pPr>
          </w:p>
        </w:tc>
        <w:tc>
          <w:tcPr>
            <w:tcW w:w="800" w:type="dxa"/>
            <w:vAlign w:val="bottom"/>
            <w:tcBorders>
              <w:top w:val="single" w:sz="8" w:color="auto"/>
            </w:tcBorders>
          </w:tcPr>
          <w:p>
            <w:pPr>
              <w:ind w:left="80"/>
              <w:spacing w:after="0" w:line="133" w:lineRule="exact"/>
              <w:rPr>
                <w:sz w:val="20"/>
                <w:szCs w:val="20"/>
                <w:color w:val="auto"/>
              </w:rPr>
            </w:pPr>
            <w:r>
              <w:rPr>
                <w:rFonts w:ascii="Arial" w:cs="Arial" w:eastAsia="Arial" w:hAnsi="Arial"/>
                <w:sz w:val="14"/>
                <w:szCs w:val="14"/>
                <w:b w:val="1"/>
                <w:bCs w:val="1"/>
                <w:color w:val="auto"/>
              </w:rPr>
              <w:t>Notional</w:t>
            </w:r>
          </w:p>
        </w:tc>
        <w:tc>
          <w:tcPr>
            <w:tcW w:w="700" w:type="dxa"/>
            <w:vAlign w:val="bottom"/>
            <w:tcBorders>
              <w:top w:val="single" w:sz="8" w:color="auto"/>
            </w:tcBorders>
          </w:tcPr>
          <w:p>
            <w:pPr>
              <w:jc w:val="right"/>
              <w:ind w:right="128"/>
              <w:spacing w:after="0" w:line="133" w:lineRule="exact"/>
              <w:rPr>
                <w:sz w:val="20"/>
                <w:szCs w:val="20"/>
                <w:color w:val="auto"/>
              </w:rPr>
            </w:pPr>
            <w:r>
              <w:rPr>
                <w:rFonts w:ascii="Arial" w:cs="Arial" w:eastAsia="Arial" w:hAnsi="Arial"/>
                <w:sz w:val="14"/>
                <w:szCs w:val="14"/>
                <w:b w:val="1"/>
                <w:bCs w:val="1"/>
                <w:color w:val="auto"/>
              </w:rPr>
              <w:t>Fair</w:t>
            </w:r>
          </w:p>
        </w:tc>
      </w:tr>
      <w:tr>
        <w:trPr>
          <w:trHeight w:val="185"/>
        </w:trPr>
        <w:tc>
          <w:tcPr>
            <w:tcW w:w="3480" w:type="dxa"/>
            <w:vAlign w:val="bottom"/>
          </w:tcPr>
          <w:p>
            <w:pPr>
              <w:spacing w:after="0"/>
              <w:rPr>
                <w:sz w:val="20"/>
                <w:szCs w:val="20"/>
                <w:color w:val="auto"/>
              </w:rPr>
            </w:pPr>
            <w:r>
              <w:rPr>
                <w:rFonts w:ascii="Arial" w:cs="Arial" w:eastAsia="Arial" w:hAnsi="Arial"/>
                <w:sz w:val="14"/>
                <w:szCs w:val="14"/>
                <w:b w:val="1"/>
                <w:bCs w:val="1"/>
                <w:color w:val="auto"/>
              </w:rPr>
              <w:t>Derivatives with positive fair value</w:t>
            </w:r>
          </w:p>
        </w:tc>
        <w:tc>
          <w:tcPr>
            <w:tcW w:w="2300" w:type="dxa"/>
            <w:vAlign w:val="bottom"/>
          </w:tcPr>
          <w:p>
            <w:pPr>
              <w:ind w:left="1340"/>
              <w:spacing w:after="0"/>
              <w:rPr>
                <w:sz w:val="20"/>
                <w:szCs w:val="20"/>
                <w:color w:val="auto"/>
              </w:rPr>
            </w:pPr>
            <w:r>
              <w:rPr>
                <w:rFonts w:ascii="Arial" w:cs="Arial" w:eastAsia="Arial" w:hAnsi="Arial"/>
                <w:sz w:val="14"/>
                <w:szCs w:val="14"/>
                <w:b w:val="1"/>
                <w:bCs w:val="1"/>
                <w:color w:val="auto"/>
              </w:rPr>
              <w:t>Location</w:t>
            </w:r>
          </w:p>
        </w:tc>
        <w:tc>
          <w:tcPr>
            <w:tcW w:w="780" w:type="dxa"/>
            <w:vAlign w:val="bottom"/>
          </w:tcPr>
          <w:p>
            <w:pPr>
              <w:ind w:left="100"/>
              <w:spacing w:after="0"/>
              <w:rPr>
                <w:sz w:val="20"/>
                <w:szCs w:val="20"/>
                <w:color w:val="auto"/>
              </w:rPr>
            </w:pPr>
            <w:r>
              <w:rPr>
                <w:rFonts w:ascii="Arial" w:cs="Arial" w:eastAsia="Arial" w:hAnsi="Arial"/>
                <w:sz w:val="14"/>
                <w:szCs w:val="14"/>
                <w:b w:val="1"/>
                <w:bCs w:val="1"/>
                <w:color w:val="auto"/>
              </w:rPr>
              <w:t>Amount</w:t>
            </w:r>
          </w:p>
        </w:tc>
        <w:tc>
          <w:tcPr>
            <w:tcW w:w="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Value</w:t>
            </w:r>
          </w:p>
        </w:tc>
        <w:tc>
          <w:tcPr>
            <w:tcW w:w="800" w:type="dxa"/>
            <w:vAlign w:val="bottom"/>
          </w:tcPr>
          <w:p>
            <w:pPr>
              <w:ind w:left="100"/>
              <w:spacing w:after="0"/>
              <w:rPr>
                <w:sz w:val="20"/>
                <w:szCs w:val="20"/>
                <w:color w:val="auto"/>
              </w:rPr>
            </w:pPr>
            <w:r>
              <w:rPr>
                <w:rFonts w:ascii="Arial" w:cs="Arial" w:eastAsia="Arial" w:hAnsi="Arial"/>
                <w:sz w:val="14"/>
                <w:szCs w:val="14"/>
                <w:b w:val="1"/>
                <w:bCs w:val="1"/>
                <w:color w:val="auto"/>
              </w:rPr>
              <w:t>Amount</w:t>
            </w:r>
          </w:p>
        </w:tc>
        <w:tc>
          <w:tcPr>
            <w:tcW w:w="700" w:type="dxa"/>
            <w:vAlign w:val="bottom"/>
          </w:tcPr>
          <w:p>
            <w:pPr>
              <w:jc w:val="right"/>
              <w:ind w:right="88"/>
              <w:spacing w:after="0"/>
              <w:rPr>
                <w:sz w:val="20"/>
                <w:szCs w:val="20"/>
                <w:color w:val="auto"/>
              </w:rPr>
            </w:pPr>
            <w:r>
              <w:rPr>
                <w:rFonts w:ascii="Arial" w:cs="Arial" w:eastAsia="Arial" w:hAnsi="Arial"/>
                <w:sz w:val="14"/>
                <w:szCs w:val="14"/>
                <w:b w:val="1"/>
                <w:bCs w:val="1"/>
                <w:color w:val="auto"/>
              </w:rPr>
              <w:t>Value</w:t>
            </w: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454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Interest rate lock commitments</w:t>
            </w:r>
          </w:p>
        </w:tc>
        <w:tc>
          <w:tcPr>
            <w:tcW w:w="11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Other assets</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0"/>
              </w:rPr>
              <w:t>24,142</w:t>
            </w: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474</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45,004</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1,201</w:t>
            </w:r>
          </w:p>
        </w:tc>
        <w:tc>
          <w:tcPr>
            <w:tcW w:w="0" w:type="dxa"/>
            <w:vAlign w:val="bottom"/>
          </w:tcPr>
          <w:p>
            <w:pPr>
              <w:spacing w:after="0"/>
              <w:rPr>
                <w:sz w:val="1"/>
                <w:szCs w:val="1"/>
                <w:color w:val="auto"/>
              </w:rPr>
            </w:pPr>
          </w:p>
        </w:tc>
      </w:tr>
      <w:tr>
        <w:trPr>
          <w:trHeight w:val="203"/>
        </w:trPr>
        <w:tc>
          <w:tcPr>
            <w:tcW w:w="454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Forward sales commitments</w:t>
            </w:r>
          </w:p>
        </w:tc>
        <w:tc>
          <w:tcPr>
            <w:tcW w:w="1260" w:type="dxa"/>
            <w:vAlign w:val="bottom"/>
            <w:tcBorders>
              <w:bottom w:val="single" w:sz="8" w:color="CCEEFF"/>
            </w:tcBorders>
            <w:gridSpan w:val="2"/>
          </w:tcPr>
          <w:p>
            <w:pPr>
              <w:spacing w:after="0" w:line="202" w:lineRule="exact"/>
              <w:rPr>
                <w:sz w:val="20"/>
                <w:szCs w:val="20"/>
                <w:color w:val="auto"/>
              </w:rPr>
            </w:pPr>
            <w:r>
              <w:rPr>
                <w:rFonts w:ascii="Arial" w:cs="Arial" w:eastAsia="Arial" w:hAnsi="Arial"/>
                <w:sz w:val="18"/>
                <w:szCs w:val="18"/>
                <w:color w:val="auto"/>
              </w:rPr>
              <w:t>Other assets</w:t>
            </w:r>
          </w:p>
        </w:tc>
        <w:tc>
          <w:tcPr>
            <w:tcW w:w="1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7,035</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978</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4540" w:type="dxa"/>
            <w:vAlign w:val="bottom"/>
            <w:tcBorders>
              <w:bottom w:val="single" w:sz="8" w:color="CCEEFF"/>
            </w:tcBorders>
            <w:shd w:val="clear" w:color="auto" w:fill="CCEEFF"/>
          </w:tcPr>
          <w:p>
            <w:pPr>
              <w:ind w:left="220"/>
              <w:spacing w:after="0" w:line="196" w:lineRule="exact"/>
              <w:rPr>
                <w:sz w:val="20"/>
                <w:szCs w:val="20"/>
                <w:color w:val="auto"/>
              </w:rPr>
            </w:pPr>
            <w:r>
              <w:rPr>
                <w:rFonts w:ascii="Arial" w:cs="Arial" w:eastAsia="Arial" w:hAnsi="Arial"/>
                <w:sz w:val="18"/>
                <w:szCs w:val="18"/>
                <w:color w:val="auto"/>
                <w:w w:val="99"/>
              </w:rPr>
              <w:t>Mortgage banking derivatives recorded in other assets</w:t>
            </w:r>
          </w:p>
        </w:tc>
        <w:tc>
          <w:tcPr>
            <w:tcW w:w="1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0"/>
              </w:rPr>
              <w:t>31,177</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533</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45,982</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1,233</w:t>
            </w:r>
          </w:p>
        </w:tc>
        <w:tc>
          <w:tcPr>
            <w:tcW w:w="0" w:type="dxa"/>
            <w:vAlign w:val="bottom"/>
          </w:tcPr>
          <w:p>
            <w:pPr>
              <w:spacing w:after="0"/>
              <w:rPr>
                <w:sz w:val="1"/>
                <w:szCs w:val="1"/>
                <w:color w:val="auto"/>
              </w:rPr>
            </w:pPr>
          </w:p>
        </w:tc>
      </w:tr>
      <w:tr>
        <w:trPr>
          <w:trHeight w:val="20"/>
        </w:trPr>
        <w:tc>
          <w:tcPr>
            <w:tcW w:w="45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Derivatives with negative fair value</w:t>
            </w: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454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5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Interest rate lock commitments</w:t>
            </w:r>
          </w:p>
        </w:tc>
        <w:tc>
          <w:tcPr>
            <w:tcW w:w="12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Other liabilities</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931</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118</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3"/>
        </w:trPr>
        <w:tc>
          <w:tcPr>
            <w:tcW w:w="454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Forward sales commitments</w:t>
            </w:r>
          </w:p>
        </w:tc>
        <w:tc>
          <w:tcPr>
            <w:tcW w:w="1260" w:type="dxa"/>
            <w:vAlign w:val="bottom"/>
            <w:tcBorders>
              <w:bottom w:val="single" w:sz="8" w:color="CCEEFF"/>
            </w:tcBorders>
            <w:gridSpan w:val="2"/>
          </w:tcPr>
          <w:p>
            <w:pPr>
              <w:spacing w:after="0" w:line="202" w:lineRule="exact"/>
              <w:rPr>
                <w:sz w:val="20"/>
                <w:szCs w:val="20"/>
                <w:color w:val="auto"/>
              </w:rPr>
            </w:pPr>
            <w:r>
              <w:rPr>
                <w:rFonts w:ascii="Arial" w:cs="Arial" w:eastAsia="Arial" w:hAnsi="Arial"/>
                <w:sz w:val="18"/>
                <w:szCs w:val="18"/>
                <w:color w:val="auto"/>
              </w:rPr>
              <w:t>Other liabilities</w:t>
            </w:r>
          </w:p>
        </w:tc>
        <w:tc>
          <w:tcPr>
            <w:tcW w:w="1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0"/>
              </w:rPr>
              <w:t>55,454</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879</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4"/>
              </w:rPr>
              <w:t>84,964</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2,662</w:t>
            </w:r>
          </w:p>
        </w:tc>
        <w:tc>
          <w:tcPr>
            <w:tcW w:w="0" w:type="dxa"/>
            <w:vAlign w:val="bottom"/>
          </w:tcPr>
          <w:p>
            <w:pPr>
              <w:spacing w:after="0"/>
              <w:rPr>
                <w:sz w:val="1"/>
                <w:szCs w:val="1"/>
                <w:color w:val="auto"/>
              </w:rPr>
            </w:pPr>
          </w:p>
        </w:tc>
      </w:tr>
      <w:tr>
        <w:trPr>
          <w:trHeight w:val="196"/>
        </w:trPr>
        <w:tc>
          <w:tcPr>
            <w:tcW w:w="4540" w:type="dxa"/>
            <w:vAlign w:val="bottom"/>
            <w:tcBorders>
              <w:bottom w:val="single" w:sz="8" w:color="CCEEFF"/>
            </w:tcBorders>
            <w:shd w:val="clear" w:color="auto" w:fill="CCEEFF"/>
          </w:tcPr>
          <w:p>
            <w:pPr>
              <w:ind w:left="220"/>
              <w:spacing w:after="0" w:line="196" w:lineRule="exact"/>
              <w:rPr>
                <w:sz w:val="20"/>
                <w:szCs w:val="20"/>
                <w:color w:val="auto"/>
              </w:rPr>
            </w:pPr>
            <w:r>
              <w:rPr>
                <w:rFonts w:ascii="Arial" w:cs="Arial" w:eastAsia="Arial" w:hAnsi="Arial"/>
                <w:sz w:val="18"/>
                <w:szCs w:val="18"/>
                <w:color w:val="auto"/>
                <w:w w:val="95"/>
              </w:rPr>
              <w:t>Mortgage banking derivatives recorded in other liabilities</w:t>
            </w:r>
          </w:p>
        </w:tc>
        <w:tc>
          <w:tcPr>
            <w:tcW w:w="1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0"/>
              </w:rPr>
              <w:t>56,385</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881</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85,082</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2,663</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60" w:right="79"/>
        <w:spacing w:after="0" w:line="261" w:lineRule="auto"/>
        <w:rPr>
          <w:sz w:val="20"/>
          <w:szCs w:val="20"/>
          <w:color w:val="auto"/>
        </w:rPr>
      </w:pPr>
      <w:r>
        <w:rPr>
          <w:rFonts w:ascii="Arial" w:cs="Arial" w:eastAsia="Arial" w:hAnsi="Arial"/>
          <w:sz w:val="18"/>
          <w:szCs w:val="18"/>
          <w:color w:val="auto"/>
        </w:rPr>
        <w:t xml:space="preserve">Net gains (losses) relating to these derivative instruments are summarized as follows for the periods presented </w:t>
      </w:r>
      <w:r>
        <w:rPr>
          <w:rFonts w:ascii="Arial" w:cs="Arial" w:eastAsia="Arial" w:hAnsi="Arial"/>
          <w:sz w:val="18"/>
          <w:szCs w:val="18"/>
          <w:i w:val="1"/>
          <w:iCs w:val="1"/>
          <w:color w:val="auto"/>
        </w:rPr>
        <w:t>(dollars 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5380" w:type="dxa"/>
            <w:vAlign w:val="bottom"/>
          </w:tcPr>
          <w:p>
            <w:pPr>
              <w:spacing w:after="0"/>
              <w:rPr>
                <w:sz w:val="16"/>
                <w:szCs w:val="16"/>
                <w:color w:val="auto"/>
              </w:rPr>
            </w:pPr>
          </w:p>
        </w:tc>
        <w:tc>
          <w:tcPr>
            <w:tcW w:w="14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2"/>
              </w:rPr>
              <w:t>Location</w:t>
            </w:r>
          </w:p>
        </w:tc>
        <w:tc>
          <w:tcPr>
            <w:tcW w:w="20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5"/>
              </w:rPr>
              <w:t>Three Months Ended March 31,</w:t>
            </w:r>
          </w:p>
        </w:tc>
        <w:tc>
          <w:tcPr>
            <w:tcW w:w="0" w:type="dxa"/>
            <w:vAlign w:val="bottom"/>
          </w:tcPr>
          <w:p>
            <w:pPr>
              <w:spacing w:after="0"/>
              <w:rPr>
                <w:sz w:val="1"/>
                <w:szCs w:val="1"/>
                <w:color w:val="auto"/>
              </w:rPr>
            </w:pPr>
          </w:p>
        </w:tc>
      </w:tr>
      <w:tr>
        <w:trPr>
          <w:trHeight w:val="156"/>
        </w:trPr>
        <w:tc>
          <w:tcPr>
            <w:tcW w:w="5380" w:type="dxa"/>
            <w:vAlign w:val="bottom"/>
          </w:tcPr>
          <w:p>
            <w:pPr>
              <w:spacing w:after="0"/>
              <w:rPr>
                <w:sz w:val="13"/>
                <w:szCs w:val="13"/>
                <w:color w:val="auto"/>
              </w:rPr>
            </w:pPr>
          </w:p>
        </w:tc>
        <w:tc>
          <w:tcPr>
            <w:tcW w:w="148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ind w:right="235"/>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ind w:right="235"/>
              <w:spacing w:after="0" w:line="155"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6"/>
        </w:trPr>
        <w:tc>
          <w:tcPr>
            <w:tcW w:w="538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Interest rate lock commitments</w:t>
            </w:r>
          </w:p>
        </w:tc>
        <w:tc>
          <w:tcPr>
            <w:tcW w:w="132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0"/>
              </w:rPr>
              <w:t>Mortgage revenue</w:t>
            </w: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472</w:t>
            </w: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4,849</w:t>
            </w:r>
          </w:p>
        </w:tc>
        <w:tc>
          <w:tcPr>
            <w:tcW w:w="0" w:type="dxa"/>
            <w:vAlign w:val="bottom"/>
          </w:tcPr>
          <w:p>
            <w:pPr>
              <w:spacing w:after="0"/>
              <w:rPr>
                <w:sz w:val="1"/>
                <w:szCs w:val="1"/>
                <w:color w:val="auto"/>
              </w:rPr>
            </w:pPr>
          </w:p>
        </w:tc>
      </w:tr>
      <w:tr>
        <w:trPr>
          <w:trHeight w:val="203"/>
        </w:trPr>
        <w:tc>
          <w:tcPr>
            <w:tcW w:w="5380" w:type="dxa"/>
            <w:vAlign w:val="bottom"/>
          </w:tcPr>
          <w:p>
            <w:pPr>
              <w:ind w:left="20"/>
              <w:spacing w:after="0" w:line="202" w:lineRule="exact"/>
              <w:rPr>
                <w:sz w:val="20"/>
                <w:szCs w:val="20"/>
                <w:color w:val="auto"/>
              </w:rPr>
            </w:pPr>
            <w:r>
              <w:rPr>
                <w:rFonts w:ascii="Arial" w:cs="Arial" w:eastAsia="Arial" w:hAnsi="Arial"/>
                <w:sz w:val="18"/>
                <w:szCs w:val="18"/>
                <w:color w:val="auto"/>
              </w:rPr>
              <w:t>Forward sales commitments</w:t>
            </w:r>
          </w:p>
        </w:tc>
        <w:tc>
          <w:tcPr>
            <w:tcW w:w="1480" w:type="dxa"/>
            <w:vAlign w:val="bottom"/>
            <w:gridSpan w:val="2"/>
          </w:tcPr>
          <w:p>
            <w:pPr>
              <w:jc w:val="center"/>
              <w:ind w:right="160"/>
              <w:spacing w:after="0" w:line="202" w:lineRule="exact"/>
              <w:rPr>
                <w:sz w:val="20"/>
                <w:szCs w:val="20"/>
                <w:color w:val="auto"/>
              </w:rPr>
            </w:pPr>
            <w:r>
              <w:rPr>
                <w:rFonts w:ascii="Arial" w:cs="Arial" w:eastAsia="Arial" w:hAnsi="Arial"/>
                <w:sz w:val="18"/>
                <w:szCs w:val="18"/>
                <w:color w:val="auto"/>
                <w:w w:val="90"/>
              </w:rPr>
              <w:t>Mortgage revenue</w:t>
            </w:r>
          </w:p>
        </w:tc>
        <w:tc>
          <w:tcPr>
            <w:tcW w:w="200" w:type="dxa"/>
            <w:vAlign w:val="bottom"/>
          </w:tcPr>
          <w:p>
            <w:pPr>
              <w:spacing w:after="0"/>
              <w:rPr>
                <w:sz w:val="17"/>
                <w:szCs w:val="17"/>
                <w:color w:val="auto"/>
              </w:rPr>
            </w:pPr>
          </w:p>
        </w:tc>
        <w:tc>
          <w:tcPr>
            <w:tcW w:w="9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(820)</w:t>
            </w:r>
          </w:p>
        </w:tc>
        <w:tc>
          <w:tcPr>
            <w:tcW w:w="2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(7,047)</w:t>
            </w:r>
          </w:p>
        </w:tc>
        <w:tc>
          <w:tcPr>
            <w:tcW w:w="0" w:type="dxa"/>
            <w:vAlign w:val="bottom"/>
          </w:tcPr>
          <w:p>
            <w:pPr>
              <w:spacing w:after="0"/>
              <w:rPr>
                <w:sz w:val="1"/>
                <w:szCs w:val="1"/>
                <w:color w:val="auto"/>
              </w:rPr>
            </w:pPr>
          </w:p>
        </w:tc>
      </w:tr>
      <w:tr>
        <w:trPr>
          <w:trHeight w:val="196"/>
        </w:trPr>
        <w:tc>
          <w:tcPr>
            <w:tcW w:w="5380" w:type="dxa"/>
            <w:vAlign w:val="bottom"/>
            <w:tcBorders>
              <w:top w:val="single" w:sz="8" w:color="CCEEFF"/>
              <w:bottom w:val="single" w:sz="8" w:color="CCEEFF"/>
            </w:tcBorders>
            <w:shd w:val="clear" w:color="auto" w:fill="CCEEFF"/>
          </w:tcPr>
          <w:p>
            <w:pPr>
              <w:ind w:left="220"/>
              <w:spacing w:after="0" w:line="196" w:lineRule="exact"/>
              <w:rPr>
                <w:sz w:val="20"/>
                <w:szCs w:val="20"/>
                <w:color w:val="auto"/>
              </w:rPr>
            </w:pPr>
            <w:r>
              <w:rPr>
                <w:rFonts w:ascii="Arial" w:cs="Arial" w:eastAsia="Arial" w:hAnsi="Arial"/>
                <w:sz w:val="18"/>
                <w:szCs w:val="18"/>
                <w:color w:val="auto"/>
              </w:rPr>
              <w:t>Net gains (losses)</w:t>
            </w:r>
          </w:p>
        </w:tc>
        <w:tc>
          <w:tcPr>
            <w:tcW w:w="13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(348)</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(2,198)</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60" w:right="119"/>
        <w:spacing w:after="0" w:line="294" w:lineRule="auto"/>
        <w:rPr>
          <w:sz w:val="20"/>
          <w:szCs w:val="20"/>
          <w:color w:val="auto"/>
        </w:rPr>
      </w:pPr>
      <w:r>
        <w:rPr>
          <w:rFonts w:ascii="Arial" w:cs="Arial" w:eastAsia="Arial" w:hAnsi="Arial"/>
          <w:sz w:val="16"/>
          <w:szCs w:val="16"/>
          <w:color w:val="auto"/>
        </w:rPr>
        <w:t>The impact of the net gains or losses on derivative financial instruments related to interest rate lock commitments issued to residential loan customers for loans that will be held for sale and forward sales commitments to sell residential mortgage loans to loan investors are almost entirely offset by a corresponding change in the fair value of loans held for sale.</w:t>
      </w:r>
    </w:p>
    <w:p>
      <w:pPr>
        <w:spacing w:after="0" w:line="13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Rate Swaps Not Designated as Hedges</w:t>
      </w:r>
    </w:p>
    <w:p>
      <w:pPr>
        <w:spacing w:after="0" w:line="198" w:lineRule="exact"/>
        <w:rPr>
          <w:sz w:val="20"/>
          <w:szCs w:val="20"/>
          <w:color w:val="auto"/>
        </w:rPr>
      </w:pPr>
    </w:p>
    <w:p>
      <w:pPr>
        <w:ind w:left="60" w:right="179"/>
        <w:spacing w:after="0" w:line="255" w:lineRule="auto"/>
        <w:rPr>
          <w:sz w:val="20"/>
          <w:szCs w:val="20"/>
          <w:color w:val="auto"/>
        </w:rPr>
      </w:pPr>
      <w:r>
        <w:rPr>
          <w:rFonts w:ascii="Arial" w:cs="Arial" w:eastAsia="Arial" w:hAnsi="Arial"/>
          <w:sz w:val="17"/>
          <w:szCs w:val="17"/>
          <w:color w:val="auto"/>
        </w:rPr>
        <w:t>The Company may offer derivative contracts to its customers in connection with their risk management needs. The Company manages the risk associated with these contracts by entering into an equal and offsetting derivative with a third-party dealer. These contracts support variable rate, commercial loan relationships totaling $401.2 million and</w:t>
      </w:r>
    </w:p>
    <w:p>
      <w:pPr>
        <w:ind w:left="60" w:right="99"/>
        <w:spacing w:after="0" w:line="238" w:lineRule="auto"/>
        <w:rPr>
          <w:sz w:val="20"/>
          <w:szCs w:val="20"/>
          <w:color w:val="auto"/>
        </w:rPr>
      </w:pPr>
      <w:r>
        <w:rPr>
          <w:rFonts w:ascii="Arial" w:cs="Arial" w:eastAsia="Arial" w:hAnsi="Arial"/>
          <w:sz w:val="18"/>
          <w:szCs w:val="18"/>
          <w:color w:val="auto"/>
        </w:rPr>
        <w:t>$395.0 million, at March 31, 2021, and December 31, 2020, respectively. These derivatives generally worked together as an economic interest rate hedge, but the Company did not designate them for hedge accounting treatment. Consequently, changes in fair value of the corresponding derivative financial asset or liability were recorded as either a charge or credit to current earnings during the period in which the changes occurred.</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6"/>
          <w:szCs w:val="16"/>
          <w:color w:val="auto"/>
        </w:rPr>
        <w:t>Amounts and fair values of derivative assets and liabilities related to customer interest rate swaps recorded in the unaudited</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Consolidated Balance Sheets are summarized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4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gridSpan w:val="5"/>
          </w:tcPr>
          <w:p>
            <w:pPr>
              <w:ind w:left="280"/>
              <w:spacing w:after="0"/>
              <w:rPr>
                <w:sz w:val="20"/>
                <w:szCs w:val="20"/>
                <w:color w:val="auto"/>
              </w:rPr>
            </w:pPr>
            <w:r>
              <w:rPr>
                <w:rFonts w:ascii="Arial" w:cs="Arial" w:eastAsia="Arial" w:hAnsi="Arial"/>
                <w:sz w:val="14"/>
                <w:szCs w:val="14"/>
                <w:b w:val="1"/>
                <w:bCs w:val="1"/>
                <w:color w:val="auto"/>
              </w:rPr>
              <w:t>Derivative Asset</w:t>
            </w:r>
          </w:p>
        </w:tc>
        <w:tc>
          <w:tcPr>
            <w:tcW w:w="120" w:type="dxa"/>
            <w:vAlign w:val="bottom"/>
          </w:tcPr>
          <w:p>
            <w:pPr>
              <w:spacing w:after="0"/>
              <w:rPr>
                <w:sz w:val="16"/>
                <w:szCs w:val="16"/>
                <w:color w:val="auto"/>
              </w:rPr>
            </w:pPr>
          </w:p>
        </w:tc>
        <w:tc>
          <w:tcPr>
            <w:tcW w:w="1720" w:type="dxa"/>
            <w:vAlign w:val="bottom"/>
            <w:gridSpan w:val="5"/>
          </w:tcPr>
          <w:p>
            <w:pPr>
              <w:ind w:left="200"/>
              <w:spacing w:after="0"/>
              <w:rPr>
                <w:sz w:val="20"/>
                <w:szCs w:val="20"/>
                <w:color w:val="auto"/>
              </w:rPr>
            </w:pPr>
            <w:r>
              <w:rPr>
                <w:rFonts w:ascii="Arial" w:cs="Arial" w:eastAsia="Arial" w:hAnsi="Arial"/>
                <w:sz w:val="14"/>
                <w:szCs w:val="14"/>
                <w:b w:val="1"/>
                <w:bCs w:val="1"/>
                <w:color w:val="auto"/>
              </w:rPr>
              <w:t>Derivative Liability</w:t>
            </w:r>
          </w:p>
        </w:tc>
        <w:tc>
          <w:tcPr>
            <w:tcW w:w="0" w:type="dxa"/>
            <w:vAlign w:val="bottom"/>
          </w:tcPr>
          <w:p>
            <w:pPr>
              <w:spacing w:after="0"/>
              <w:rPr>
                <w:sz w:val="1"/>
                <w:szCs w:val="1"/>
                <w:color w:val="auto"/>
              </w:rPr>
            </w:pPr>
          </w:p>
        </w:tc>
      </w:tr>
      <w:tr>
        <w:trPr>
          <w:trHeight w:val="133"/>
        </w:trPr>
        <w:tc>
          <w:tcPr>
            <w:tcW w:w="4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gridSpan w:val="2"/>
          </w:tcPr>
          <w:p>
            <w:pPr>
              <w:ind w:left="20"/>
              <w:spacing w:after="0" w:line="133" w:lineRule="exact"/>
              <w:rPr>
                <w:sz w:val="20"/>
                <w:szCs w:val="20"/>
                <w:color w:val="auto"/>
              </w:rPr>
            </w:pPr>
            <w:r>
              <w:rPr>
                <w:rFonts w:ascii="Arial" w:cs="Arial" w:eastAsia="Arial" w:hAnsi="Arial"/>
                <w:sz w:val="14"/>
                <w:szCs w:val="14"/>
                <w:b w:val="1"/>
                <w:bCs w:val="1"/>
                <w:color w:val="auto"/>
              </w:rPr>
              <w:t>Notional</w:t>
            </w:r>
          </w:p>
        </w:tc>
        <w:tc>
          <w:tcPr>
            <w:tcW w:w="1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center"/>
              <w:ind w:right="77"/>
              <w:spacing w:after="0" w:line="133" w:lineRule="exact"/>
              <w:rPr>
                <w:sz w:val="20"/>
                <w:szCs w:val="20"/>
                <w:color w:val="auto"/>
              </w:rPr>
            </w:pPr>
            <w:r>
              <w:rPr>
                <w:rFonts w:ascii="Arial" w:cs="Arial" w:eastAsia="Arial" w:hAnsi="Arial"/>
                <w:sz w:val="14"/>
                <w:szCs w:val="14"/>
                <w:b w:val="1"/>
                <w:bCs w:val="1"/>
                <w:color w:val="auto"/>
              </w:rPr>
              <w:t>Fair</w:t>
            </w:r>
          </w:p>
        </w:tc>
        <w:tc>
          <w:tcPr>
            <w:tcW w:w="1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gridSpan w:val="2"/>
          </w:tcPr>
          <w:p>
            <w:pPr>
              <w:ind w:left="40"/>
              <w:spacing w:after="0" w:line="133" w:lineRule="exact"/>
              <w:rPr>
                <w:sz w:val="20"/>
                <w:szCs w:val="20"/>
                <w:color w:val="auto"/>
              </w:rPr>
            </w:pPr>
            <w:r>
              <w:rPr>
                <w:rFonts w:ascii="Arial" w:cs="Arial" w:eastAsia="Arial" w:hAnsi="Arial"/>
                <w:sz w:val="14"/>
                <w:szCs w:val="14"/>
                <w:b w:val="1"/>
                <w:bCs w:val="1"/>
                <w:color w:val="auto"/>
              </w:rPr>
              <w:t>Notional</w:t>
            </w:r>
          </w:p>
        </w:tc>
        <w:tc>
          <w:tcPr>
            <w:tcW w:w="1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center"/>
              <w:ind w:right="77"/>
              <w:spacing w:after="0" w:line="133" w:lineRule="exact"/>
              <w:rPr>
                <w:sz w:val="20"/>
                <w:szCs w:val="20"/>
                <w:color w:val="auto"/>
              </w:rPr>
            </w:pPr>
            <w:r>
              <w:rPr>
                <w:rFonts w:ascii="Arial" w:cs="Arial" w:eastAsia="Arial" w:hAnsi="Arial"/>
                <w:sz w:val="14"/>
                <w:szCs w:val="14"/>
                <w:b w:val="1"/>
                <w:bCs w:val="1"/>
                <w:color w:val="auto"/>
              </w:rPr>
              <w:t>Fair</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4120" w:type="dxa"/>
            <w:vAlign w:val="bottom"/>
          </w:tcPr>
          <w:p>
            <w:pPr>
              <w:ind w:left="20"/>
              <w:spacing w:after="0"/>
              <w:rPr>
                <w:sz w:val="20"/>
                <w:szCs w:val="20"/>
                <w:color w:val="auto"/>
              </w:rPr>
            </w:pPr>
            <w:r>
              <w:rPr>
                <w:rFonts w:ascii="Arial" w:cs="Arial" w:eastAsia="Arial" w:hAnsi="Arial"/>
                <w:sz w:val="14"/>
                <w:szCs w:val="14"/>
                <w:b w:val="1"/>
                <w:bCs w:val="1"/>
                <w:color w:val="auto"/>
              </w:rPr>
              <w:t>March 31, 2021</w:t>
            </w: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6"/>
                <w:szCs w:val="16"/>
                <w:color w:val="auto"/>
              </w:rPr>
            </w:pPr>
          </w:p>
        </w:tc>
        <w:tc>
          <w:tcPr>
            <w:tcW w:w="8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tcPr>
          <w:p>
            <w:pPr>
              <w:spacing w:after="0"/>
              <w:rPr>
                <w:sz w:val="16"/>
                <w:szCs w:val="16"/>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6"/>
                <w:szCs w:val="16"/>
                <w:color w:val="auto"/>
              </w:rPr>
            </w:pPr>
          </w:p>
        </w:tc>
        <w:tc>
          <w:tcPr>
            <w:tcW w:w="6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96"/>
        </w:trPr>
        <w:tc>
          <w:tcPr>
            <w:tcW w:w="412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Interest rate swaps – pay floating, receive fixed</w:t>
            </w:r>
          </w:p>
        </w:tc>
        <w:tc>
          <w:tcPr>
            <w:tcW w:w="8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308,178</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18,881</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93,069</w:t>
            </w: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3,209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12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Interest rate swaps – pay fixed, receive floating</w:t>
            </w:r>
          </w:p>
        </w:tc>
        <w:tc>
          <w:tcPr>
            <w:tcW w:w="88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93,069</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3,209</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8"/>
              </w:rPr>
              <w:t>308,178</w:t>
            </w: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18,881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120" w:type="dxa"/>
            <w:vAlign w:val="bottom"/>
            <w:tcBorders>
              <w:bottom w:val="single" w:sz="8" w:color="CCEEFF"/>
            </w:tcBorders>
            <w:shd w:val="clear" w:color="auto" w:fill="CCEEFF"/>
          </w:tcPr>
          <w:p>
            <w:pPr>
              <w:ind w:left="220"/>
              <w:spacing w:after="0" w:line="196" w:lineRule="exact"/>
              <w:rPr>
                <w:sz w:val="20"/>
                <w:szCs w:val="20"/>
                <w:color w:val="auto"/>
              </w:rPr>
            </w:pPr>
            <w:r>
              <w:rPr>
                <w:rFonts w:ascii="Arial" w:cs="Arial" w:eastAsia="Arial" w:hAnsi="Arial"/>
                <w:sz w:val="18"/>
                <w:szCs w:val="18"/>
                <w:color w:val="auto"/>
                <w:w w:val="96"/>
              </w:rPr>
              <w:t>Derivatives not designated as hedging instruments</w:t>
            </w:r>
          </w:p>
        </w:tc>
        <w:tc>
          <w:tcPr>
            <w:tcW w:w="8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401,247</w:t>
            </w: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22,090</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401,247</w:t>
            </w:r>
          </w:p>
        </w:tc>
        <w:tc>
          <w:tcPr>
            <w:tcW w:w="1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22,090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880" w:type="dxa"/>
            <w:vAlign w:val="bottom"/>
            <w:vMerge w:val="restart"/>
          </w:tcPr>
          <w:p>
            <w:pPr>
              <w:jc w:val="right"/>
              <w:ind w:right="350"/>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4120" w:type="dxa"/>
            <w:vAlign w:val="bottom"/>
          </w:tcPr>
          <w:p>
            <w:pPr>
              <w:spacing w:after="0"/>
              <w:rPr>
                <w:sz w:val="24"/>
                <w:szCs w:val="24"/>
                <w:color w:val="auto"/>
              </w:rPr>
            </w:pPr>
          </w:p>
        </w:tc>
        <w:tc>
          <w:tcPr>
            <w:tcW w:w="8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4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30" w:name="page31"/>
    <w:bookmarkEnd w:id="30"/>
    <w:p>
      <w:pPr>
        <w:jc w:val="center"/>
        <w:ind w:right="19"/>
        <w:spacing w:after="0"/>
        <w:rPr>
          <w:sz w:val="20"/>
          <w:szCs w:val="20"/>
          <w:color w:val="auto"/>
        </w:rPr>
      </w:pPr>
      <w:r>
        <w:rPr>
          <w:rFonts w:ascii="Arial" w:cs="Arial" w:eastAsia="Arial" w:hAnsi="Arial"/>
          <w:sz w:val="18"/>
          <w:szCs w:val="18"/>
          <w:b w:val="1"/>
          <w:bCs w:val="1"/>
          <w:color w:val="auto"/>
        </w:rPr>
        <w:t>FIRST BUSEY CORPORATION</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w:t>
      </w:r>
    </w:p>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20"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5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gridSpan w:val="5"/>
          </w:tcPr>
          <w:p>
            <w:pPr>
              <w:ind w:left="280"/>
              <w:spacing w:after="0"/>
              <w:rPr>
                <w:sz w:val="20"/>
                <w:szCs w:val="20"/>
                <w:color w:val="auto"/>
              </w:rPr>
            </w:pPr>
            <w:r>
              <w:rPr>
                <w:rFonts w:ascii="Arial" w:cs="Arial" w:eastAsia="Arial" w:hAnsi="Arial"/>
                <w:sz w:val="14"/>
                <w:szCs w:val="14"/>
                <w:b w:val="1"/>
                <w:bCs w:val="1"/>
                <w:color w:val="auto"/>
              </w:rPr>
              <w:t>Derivative Asset</w:t>
            </w:r>
          </w:p>
        </w:tc>
        <w:tc>
          <w:tcPr>
            <w:tcW w:w="120" w:type="dxa"/>
            <w:vAlign w:val="bottom"/>
          </w:tcPr>
          <w:p>
            <w:pPr>
              <w:spacing w:after="0"/>
              <w:rPr>
                <w:sz w:val="16"/>
                <w:szCs w:val="16"/>
                <w:color w:val="auto"/>
              </w:rPr>
            </w:pPr>
          </w:p>
        </w:tc>
        <w:tc>
          <w:tcPr>
            <w:tcW w:w="1700" w:type="dxa"/>
            <w:vAlign w:val="bottom"/>
            <w:gridSpan w:val="4"/>
          </w:tcPr>
          <w:p>
            <w:pPr>
              <w:jc w:val="right"/>
              <w:ind w:right="217"/>
              <w:spacing w:after="0"/>
              <w:rPr>
                <w:sz w:val="20"/>
                <w:szCs w:val="20"/>
                <w:color w:val="auto"/>
              </w:rPr>
            </w:pPr>
            <w:r>
              <w:rPr>
                <w:rFonts w:ascii="Arial" w:cs="Arial" w:eastAsia="Arial" w:hAnsi="Arial"/>
                <w:sz w:val="14"/>
                <w:szCs w:val="14"/>
                <w:b w:val="1"/>
                <w:bCs w:val="1"/>
                <w:color w:val="auto"/>
              </w:rPr>
              <w:t>Derivative Liability</w:t>
            </w:r>
          </w:p>
        </w:tc>
      </w:tr>
      <w:tr>
        <w:trPr>
          <w:trHeight w:val="133"/>
        </w:trPr>
        <w:tc>
          <w:tcPr>
            <w:tcW w:w="5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gridSpan w:val="2"/>
          </w:tcPr>
          <w:p>
            <w:pPr>
              <w:ind w:left="20"/>
              <w:spacing w:after="0" w:line="133" w:lineRule="exact"/>
              <w:rPr>
                <w:sz w:val="20"/>
                <w:szCs w:val="20"/>
                <w:color w:val="auto"/>
              </w:rPr>
            </w:pPr>
            <w:r>
              <w:rPr>
                <w:rFonts w:ascii="Arial" w:cs="Arial" w:eastAsia="Arial" w:hAnsi="Arial"/>
                <w:sz w:val="14"/>
                <w:szCs w:val="14"/>
                <w:b w:val="1"/>
                <w:bCs w:val="1"/>
                <w:color w:val="auto"/>
              </w:rPr>
              <w:t>Notional</w:t>
            </w:r>
          </w:p>
        </w:tc>
        <w:tc>
          <w:tcPr>
            <w:tcW w:w="1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center"/>
              <w:ind w:right="77"/>
              <w:spacing w:after="0" w:line="133" w:lineRule="exact"/>
              <w:rPr>
                <w:sz w:val="20"/>
                <w:szCs w:val="20"/>
                <w:color w:val="auto"/>
              </w:rPr>
            </w:pPr>
            <w:r>
              <w:rPr>
                <w:rFonts w:ascii="Arial" w:cs="Arial" w:eastAsia="Arial" w:hAnsi="Arial"/>
                <w:sz w:val="14"/>
                <w:szCs w:val="14"/>
                <w:b w:val="1"/>
                <w:bCs w:val="1"/>
                <w:color w:val="auto"/>
              </w:rPr>
              <w:t>Fair</w:t>
            </w:r>
          </w:p>
        </w:tc>
        <w:tc>
          <w:tcPr>
            <w:tcW w:w="1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gridSpan w:val="2"/>
          </w:tcPr>
          <w:p>
            <w:pPr>
              <w:ind w:left="40"/>
              <w:spacing w:after="0" w:line="133" w:lineRule="exact"/>
              <w:rPr>
                <w:sz w:val="20"/>
                <w:szCs w:val="20"/>
                <w:color w:val="auto"/>
              </w:rPr>
            </w:pPr>
            <w:r>
              <w:rPr>
                <w:rFonts w:ascii="Arial" w:cs="Arial" w:eastAsia="Arial" w:hAnsi="Arial"/>
                <w:sz w:val="14"/>
                <w:szCs w:val="14"/>
                <w:b w:val="1"/>
                <w:bCs w:val="1"/>
                <w:color w:val="auto"/>
              </w:rPr>
              <w:t>Notional</w:t>
            </w:r>
          </w:p>
        </w:tc>
        <w:tc>
          <w:tcPr>
            <w:tcW w:w="1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ind w:right="197"/>
              <w:spacing w:after="0" w:line="133" w:lineRule="exact"/>
              <w:rPr>
                <w:sz w:val="20"/>
                <w:szCs w:val="20"/>
                <w:color w:val="auto"/>
              </w:rPr>
            </w:pPr>
            <w:r>
              <w:rPr>
                <w:rFonts w:ascii="Arial" w:cs="Arial" w:eastAsia="Arial" w:hAnsi="Arial"/>
                <w:sz w:val="14"/>
                <w:szCs w:val="14"/>
                <w:b w:val="1"/>
                <w:bCs w:val="1"/>
                <w:color w:val="auto"/>
              </w:rPr>
              <w:t>Fair</w:t>
            </w:r>
          </w:p>
        </w:tc>
      </w:tr>
      <w:tr>
        <w:trPr>
          <w:trHeight w:val="185"/>
        </w:trPr>
        <w:tc>
          <w:tcPr>
            <w:tcW w:w="514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2020</w:t>
            </w:r>
          </w:p>
        </w:tc>
        <w:tc>
          <w:tcPr>
            <w:tcW w:w="120" w:type="dxa"/>
            <w:vAlign w:val="bottom"/>
          </w:tcPr>
          <w:p>
            <w:pPr>
              <w:spacing w:after="0"/>
              <w:rPr>
                <w:sz w:val="16"/>
                <w:szCs w:val="16"/>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6"/>
                <w:szCs w:val="16"/>
                <w:color w:val="auto"/>
              </w:rPr>
            </w:pPr>
          </w:p>
        </w:tc>
        <w:tc>
          <w:tcPr>
            <w:tcW w:w="8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tcPr>
          <w:p>
            <w:pPr>
              <w:spacing w:after="0"/>
              <w:rPr>
                <w:sz w:val="16"/>
                <w:szCs w:val="16"/>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6"/>
                <w:szCs w:val="16"/>
                <w:color w:val="auto"/>
              </w:rPr>
            </w:pPr>
          </w:p>
        </w:tc>
        <w:tc>
          <w:tcPr>
            <w:tcW w:w="660" w:type="dxa"/>
            <w:vAlign w:val="bottom"/>
          </w:tcPr>
          <w:p>
            <w:pPr>
              <w:jc w:val="right"/>
              <w:ind w:right="157"/>
              <w:spacing w:after="0"/>
              <w:rPr>
                <w:sz w:val="20"/>
                <w:szCs w:val="20"/>
                <w:color w:val="auto"/>
              </w:rPr>
            </w:pPr>
            <w:r>
              <w:rPr>
                <w:rFonts w:ascii="Arial" w:cs="Arial" w:eastAsia="Arial" w:hAnsi="Arial"/>
                <w:sz w:val="14"/>
                <w:szCs w:val="14"/>
                <w:b w:val="1"/>
                <w:bCs w:val="1"/>
                <w:color w:val="auto"/>
              </w:rPr>
              <w:t>Value</w:t>
            </w:r>
          </w:p>
        </w:tc>
      </w:tr>
      <w:tr>
        <w:trPr>
          <w:trHeight w:val="196"/>
        </w:trPr>
        <w:tc>
          <w:tcPr>
            <w:tcW w:w="500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Interest rate swaps – pay floating, receive fixed</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394,954</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32,685</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r>
      <w:tr>
        <w:trPr>
          <w:trHeight w:val="203"/>
        </w:trPr>
        <w:tc>
          <w:tcPr>
            <w:tcW w:w="51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Interest rate swaps – pay fixed, receive floating</w:t>
            </w:r>
          </w:p>
        </w:tc>
        <w:tc>
          <w:tcPr>
            <w:tcW w:w="120" w:type="dxa"/>
            <w:vAlign w:val="bottom"/>
          </w:tcPr>
          <w:p>
            <w:pPr>
              <w:spacing w:after="0"/>
              <w:rPr>
                <w:sz w:val="17"/>
                <w:szCs w:val="17"/>
                <w:color w:val="auto"/>
              </w:rPr>
            </w:pPr>
          </w:p>
        </w:tc>
        <w:tc>
          <w:tcPr>
            <w:tcW w:w="8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8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w w:val="98"/>
              </w:rPr>
              <w:t>394,954</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32,685</w:t>
            </w:r>
          </w:p>
        </w:tc>
      </w:tr>
      <w:tr>
        <w:trPr>
          <w:trHeight w:val="196"/>
        </w:trPr>
        <w:tc>
          <w:tcPr>
            <w:tcW w:w="5140" w:type="dxa"/>
            <w:vAlign w:val="bottom"/>
            <w:tcBorders>
              <w:top w:val="single" w:sz="8" w:color="CCEEFF"/>
              <w:bottom w:val="single" w:sz="8" w:color="CCEEFF"/>
            </w:tcBorders>
            <w:gridSpan w:val="2"/>
            <w:shd w:val="clear" w:color="auto" w:fill="CCEEFF"/>
          </w:tcPr>
          <w:p>
            <w:pPr>
              <w:ind w:left="220"/>
              <w:spacing w:after="0" w:line="196" w:lineRule="exact"/>
              <w:rPr>
                <w:sz w:val="20"/>
                <w:szCs w:val="20"/>
                <w:color w:val="auto"/>
              </w:rPr>
            </w:pPr>
            <w:r>
              <w:rPr>
                <w:rFonts w:ascii="Arial" w:cs="Arial" w:eastAsia="Arial" w:hAnsi="Arial"/>
                <w:sz w:val="18"/>
                <w:szCs w:val="18"/>
                <w:color w:val="auto"/>
              </w:rPr>
              <w:t>Derivatives not designated as hedging instruments</w:t>
            </w: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394,954</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32,685</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394,954</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32,685</w:t>
            </w:r>
          </w:p>
        </w:tc>
      </w:tr>
      <w:tr>
        <w:trPr>
          <w:trHeight w:val="20"/>
        </w:trPr>
        <w:tc>
          <w:tcPr>
            <w:tcW w:w="5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60"/>
        <w:spacing w:after="0"/>
        <w:rPr>
          <w:sz w:val="20"/>
          <w:szCs w:val="20"/>
          <w:color w:val="auto"/>
        </w:rPr>
      </w:pPr>
      <w:r>
        <w:rPr>
          <w:rFonts w:ascii="Arial" w:cs="Arial" w:eastAsia="Arial" w:hAnsi="Arial"/>
          <w:sz w:val="17"/>
          <w:szCs w:val="17"/>
          <w:color w:val="auto"/>
        </w:rPr>
        <w:t>Changes in fair value of these derivative assets and liabilities are recorded in non-interest expense in the unaudited</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Consolidated Statements of Income and summarized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4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5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Location</w:t>
            </w:r>
          </w:p>
        </w:tc>
        <w:tc>
          <w:tcPr>
            <w:tcW w:w="100" w:type="dxa"/>
            <w:vAlign w:val="bottom"/>
          </w:tcPr>
          <w:p>
            <w:pPr>
              <w:spacing w:after="0"/>
              <w:rPr>
                <w:sz w:val="16"/>
                <w:szCs w:val="16"/>
                <w:color w:val="auto"/>
              </w:rPr>
            </w:pPr>
          </w:p>
        </w:tc>
        <w:tc>
          <w:tcPr>
            <w:tcW w:w="206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7"/>
              </w:rPr>
              <w:t>Three Months Ended March 31,</w:t>
            </w:r>
          </w:p>
        </w:tc>
        <w:tc>
          <w:tcPr>
            <w:tcW w:w="0" w:type="dxa"/>
            <w:vAlign w:val="bottom"/>
          </w:tcPr>
          <w:p>
            <w:pPr>
              <w:spacing w:after="0"/>
              <w:rPr>
                <w:sz w:val="1"/>
                <w:szCs w:val="1"/>
                <w:color w:val="auto"/>
              </w:rPr>
            </w:pPr>
          </w:p>
        </w:tc>
      </w:tr>
      <w:tr>
        <w:trPr>
          <w:trHeight w:val="155"/>
        </w:trPr>
        <w:tc>
          <w:tcPr>
            <w:tcW w:w="4360" w:type="dxa"/>
            <w:vAlign w:val="bottom"/>
            <w:tcBorders>
              <w:bottom w:val="single" w:sz="8" w:color="CCEEFF"/>
            </w:tcBorders>
          </w:tcPr>
          <w:p>
            <w:pPr>
              <w:spacing w:after="0"/>
              <w:rPr>
                <w:sz w:val="13"/>
                <w:szCs w:val="13"/>
                <w:color w:val="auto"/>
              </w:rPr>
            </w:pPr>
          </w:p>
        </w:tc>
        <w:tc>
          <w:tcPr>
            <w:tcW w:w="860" w:type="dxa"/>
            <w:vAlign w:val="bottom"/>
            <w:tcBorders>
              <w:bottom w:val="single" w:sz="8" w:color="CCEEFF"/>
            </w:tcBorders>
          </w:tcPr>
          <w:p>
            <w:pPr>
              <w:spacing w:after="0"/>
              <w:rPr>
                <w:sz w:val="13"/>
                <w:szCs w:val="13"/>
                <w:color w:val="auto"/>
              </w:rPr>
            </w:pPr>
          </w:p>
        </w:tc>
        <w:tc>
          <w:tcPr>
            <w:tcW w:w="154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35"/>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55"/>
              <w:spacing w:after="0" w:line="155"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6"/>
        </w:trPr>
        <w:tc>
          <w:tcPr>
            <w:tcW w:w="4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Interest rate swaps – pay floating, receive fixed</w:t>
            </w:r>
          </w:p>
        </w:tc>
        <w:tc>
          <w:tcPr>
            <w:tcW w:w="860" w:type="dxa"/>
            <w:vAlign w:val="bottom"/>
            <w:shd w:val="clear" w:color="auto" w:fill="CCEEFF"/>
          </w:tcPr>
          <w:p>
            <w:pPr>
              <w:spacing w:after="0"/>
              <w:rPr>
                <w:sz w:val="17"/>
                <w:szCs w:val="17"/>
                <w:color w:val="auto"/>
              </w:rPr>
            </w:pPr>
          </w:p>
        </w:tc>
        <w:tc>
          <w:tcPr>
            <w:tcW w:w="154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88"/>
              </w:rPr>
              <w:t>Non-interest expense</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(10,595)</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23,478</w:t>
            </w:r>
          </w:p>
        </w:tc>
        <w:tc>
          <w:tcPr>
            <w:tcW w:w="0" w:type="dxa"/>
            <w:vAlign w:val="bottom"/>
          </w:tcPr>
          <w:p>
            <w:pPr>
              <w:spacing w:after="0"/>
              <w:rPr>
                <w:sz w:val="1"/>
                <w:szCs w:val="1"/>
                <w:color w:val="auto"/>
              </w:rPr>
            </w:pPr>
          </w:p>
        </w:tc>
      </w:tr>
      <w:tr>
        <w:trPr>
          <w:trHeight w:val="202"/>
        </w:trPr>
        <w:tc>
          <w:tcPr>
            <w:tcW w:w="436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Interest rate swaps – pay fixed, receive floating</w:t>
            </w:r>
          </w:p>
        </w:tc>
        <w:tc>
          <w:tcPr>
            <w:tcW w:w="2400" w:type="dxa"/>
            <w:vAlign w:val="bottom"/>
            <w:tcBorders>
              <w:bottom w:val="single" w:sz="8" w:color="CCEEFF"/>
            </w:tcBorders>
            <w:gridSpan w:val="2"/>
          </w:tcPr>
          <w:p>
            <w:pPr>
              <w:jc w:val="center"/>
              <w:ind w:left="750"/>
              <w:spacing w:after="0" w:line="202" w:lineRule="exact"/>
              <w:rPr>
                <w:sz w:val="20"/>
                <w:szCs w:val="20"/>
                <w:color w:val="auto"/>
              </w:rPr>
            </w:pPr>
            <w:r>
              <w:rPr>
                <w:rFonts w:ascii="Arial" w:cs="Arial" w:eastAsia="Arial" w:hAnsi="Arial"/>
                <w:sz w:val="18"/>
                <w:szCs w:val="18"/>
                <w:color w:val="auto"/>
                <w:w w:val="88"/>
              </w:rPr>
              <w:t>Non-interest expense</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10,595</w:t>
            </w:r>
          </w:p>
        </w:tc>
        <w:tc>
          <w:tcPr>
            <w:tcW w:w="1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(23,478)</w:t>
            </w:r>
          </w:p>
        </w:tc>
        <w:tc>
          <w:tcPr>
            <w:tcW w:w="0" w:type="dxa"/>
            <w:vAlign w:val="bottom"/>
          </w:tcPr>
          <w:p>
            <w:pPr>
              <w:spacing w:after="0"/>
              <w:rPr>
                <w:sz w:val="1"/>
                <w:szCs w:val="1"/>
                <w:color w:val="auto"/>
              </w:rPr>
            </w:pPr>
          </w:p>
        </w:tc>
      </w:tr>
      <w:tr>
        <w:trPr>
          <w:trHeight w:val="196"/>
        </w:trPr>
        <w:tc>
          <w:tcPr>
            <w:tcW w:w="4360" w:type="dxa"/>
            <w:vAlign w:val="bottom"/>
            <w:tcBorders>
              <w:bottom w:val="single" w:sz="8" w:color="CCEEFF"/>
            </w:tcBorders>
            <w:shd w:val="clear" w:color="auto" w:fill="CCEEFF"/>
          </w:tcPr>
          <w:p>
            <w:pPr>
              <w:ind w:left="220"/>
              <w:spacing w:after="0" w:line="196" w:lineRule="exact"/>
              <w:rPr>
                <w:sz w:val="20"/>
                <w:szCs w:val="20"/>
                <w:color w:val="auto"/>
              </w:rPr>
            </w:pPr>
            <w:r>
              <w:rPr>
                <w:rFonts w:ascii="Arial" w:cs="Arial" w:eastAsia="Arial" w:hAnsi="Arial"/>
                <w:sz w:val="18"/>
                <w:szCs w:val="18"/>
                <w:color w:val="auto"/>
              </w:rPr>
              <w:t>Net change in fair value of interest rate swaps</w:t>
            </w:r>
          </w:p>
        </w:tc>
        <w:tc>
          <w:tcPr>
            <w:tcW w:w="86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60" w:right="239"/>
        <w:spacing w:after="0" w:line="261" w:lineRule="auto"/>
        <w:rPr>
          <w:sz w:val="20"/>
          <w:szCs w:val="20"/>
          <w:color w:val="auto"/>
        </w:rPr>
      </w:pPr>
      <w:r>
        <w:rPr>
          <w:rFonts w:ascii="Arial" w:cs="Arial" w:eastAsia="Arial" w:hAnsi="Arial"/>
          <w:sz w:val="18"/>
          <w:szCs w:val="18"/>
          <w:color w:val="auto"/>
        </w:rPr>
        <w:t>The Company pledged $25.6 million and $36.0 million in cash to secure its obligation under these contracts at March 31, 2021, and December 31, 2020, respectively.</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11: Fair Value Measurements</w:t>
      </w:r>
    </w:p>
    <w:p>
      <w:pPr>
        <w:spacing w:after="0" w:line="202" w:lineRule="exact"/>
        <w:rPr>
          <w:sz w:val="20"/>
          <w:szCs w:val="20"/>
          <w:color w:val="auto"/>
        </w:rPr>
      </w:pPr>
    </w:p>
    <w:p>
      <w:pPr>
        <w:ind w:left="60" w:right="79"/>
        <w:spacing w:after="0" w:line="259" w:lineRule="auto"/>
        <w:rPr>
          <w:sz w:val="20"/>
          <w:szCs w:val="20"/>
          <w:color w:val="auto"/>
        </w:rPr>
      </w:pPr>
      <w:r>
        <w:rPr>
          <w:rFonts w:ascii="Arial" w:cs="Arial" w:eastAsia="Arial" w:hAnsi="Arial"/>
          <w:sz w:val="17"/>
          <w:szCs w:val="17"/>
          <w:color w:val="auto"/>
        </w:rPr>
        <w:t xml:space="preserve">The fair value of an asset or liability is the price that would be received by selling that asset or paid in transferring that liability (exit price) in an orderly transaction occurring in the principal market (or most advantageous market in the absence of a principal market) for such asset or liability. ASC Topic 820, </w:t>
      </w:r>
      <w:r>
        <w:rPr>
          <w:rFonts w:ascii="Arial" w:cs="Arial" w:eastAsia="Arial" w:hAnsi="Arial"/>
          <w:sz w:val="17"/>
          <w:szCs w:val="17"/>
          <w:i w:val="1"/>
          <w:iCs w:val="1"/>
          <w:color w:val="auto"/>
        </w:rPr>
        <w:t>Fair Value Measurement</w:t>
      </w:r>
      <w:r>
        <w:rPr>
          <w:rFonts w:ascii="Arial" w:cs="Arial" w:eastAsia="Arial" w:hAnsi="Arial"/>
          <w:sz w:val="17"/>
          <w:szCs w:val="17"/>
          <w:color w:val="auto"/>
        </w:rPr>
        <w:t>, establishes a fair value hierarchy for valuation inputs that gives the highest priority to quoted prices in active markets for identical assets or liabilities and the lowest priority to unobservable inputs. The fair value hierarchy is as follows:</w:t>
      </w:r>
    </w:p>
    <w:p>
      <w:pPr>
        <w:spacing w:after="0" w:line="160" w:lineRule="exact"/>
        <w:rPr>
          <w:sz w:val="20"/>
          <w:szCs w:val="20"/>
          <w:color w:val="auto"/>
        </w:rPr>
      </w:pPr>
    </w:p>
    <w:p>
      <w:pPr>
        <w:ind w:left="720" w:right="79" w:hanging="319"/>
        <w:spacing w:after="0" w:line="261"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Level 1 Inputs </w:t>
      </w:r>
      <w:r>
        <w:rPr>
          <w:rFonts w:ascii="Arial" w:cs="Arial" w:eastAsia="Arial" w:hAnsi="Arial"/>
          <w:sz w:val="18"/>
          <w:szCs w:val="18"/>
          <w:color w:val="auto"/>
        </w:rPr>
        <w:t>– Unadjusted quoted prices in active markets for identical assets or liabilities that the Company has</w:t>
      </w:r>
      <w:r>
        <w:rPr>
          <w:rFonts w:ascii="Arial" w:cs="Arial" w:eastAsia="Arial" w:hAnsi="Arial"/>
          <w:sz w:val="18"/>
          <w:szCs w:val="18"/>
          <w:i w:val="1"/>
          <w:iCs w:val="1"/>
          <w:color w:val="auto"/>
        </w:rPr>
        <w:t xml:space="preserve"> </w:t>
      </w:r>
      <w:r>
        <w:rPr>
          <w:rFonts w:ascii="Arial" w:cs="Arial" w:eastAsia="Arial" w:hAnsi="Arial"/>
          <w:sz w:val="18"/>
          <w:szCs w:val="18"/>
          <w:color w:val="auto"/>
        </w:rPr>
        <w:t>the ability to access at the measurement date.</w:t>
      </w:r>
    </w:p>
    <w:p>
      <w:pPr>
        <w:spacing w:after="0" w:line="157" w:lineRule="exact"/>
        <w:rPr>
          <w:rFonts w:ascii="Arial" w:cs="Arial" w:eastAsia="Arial" w:hAnsi="Arial"/>
          <w:sz w:val="18"/>
          <w:szCs w:val="18"/>
          <w:color w:val="auto"/>
        </w:rPr>
      </w:pPr>
    </w:p>
    <w:p>
      <w:pPr>
        <w:ind w:left="720" w:right="259" w:hanging="319"/>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Level 2 Inputs </w:t>
      </w:r>
      <w:r>
        <w:rPr>
          <w:rFonts w:ascii="Arial" w:cs="Arial" w:eastAsia="Arial" w:hAnsi="Arial"/>
          <w:sz w:val="18"/>
          <w:szCs w:val="18"/>
          <w:color w:val="auto"/>
        </w:rPr>
        <w:t>– Inputs other than quoted prices included in Level 1 that are observable for the asset or liability,</w:t>
      </w:r>
      <w:r>
        <w:rPr>
          <w:rFonts w:ascii="Arial" w:cs="Arial" w:eastAsia="Arial" w:hAnsi="Arial"/>
          <w:sz w:val="18"/>
          <w:szCs w:val="18"/>
          <w:i w:val="1"/>
          <w:iCs w:val="1"/>
          <w:color w:val="auto"/>
        </w:rPr>
        <w:t xml:space="preserve"> </w:t>
      </w:r>
      <w:r>
        <w:rPr>
          <w:rFonts w:ascii="Arial" w:cs="Arial" w:eastAsia="Arial" w:hAnsi="Arial"/>
          <w:sz w:val="18"/>
          <w:szCs w:val="18"/>
          <w:color w:val="auto"/>
        </w:rPr>
        <w:t>either directly or indirectly. These might include quoted prices for similar assets or liabilities in active markets, quoted prices for identical or similar assets or liabilities in markets that are not active, inputs other than quoted prices that are observable for the asset or liability (such as interest rates, volatilities, prepayment speeds, credit risks, etc.) or inputs that are derived principally from or corroborated by market data by correlation or other means.</w:t>
      </w:r>
    </w:p>
    <w:p>
      <w:pPr>
        <w:spacing w:after="0" w:line="175" w:lineRule="exact"/>
        <w:rPr>
          <w:rFonts w:ascii="Arial" w:cs="Arial" w:eastAsia="Arial" w:hAnsi="Arial"/>
          <w:sz w:val="18"/>
          <w:szCs w:val="18"/>
          <w:color w:val="auto"/>
        </w:rPr>
      </w:pPr>
    </w:p>
    <w:p>
      <w:pPr>
        <w:ind w:left="720" w:right="359" w:hanging="319"/>
        <w:spacing w:after="0" w:line="248"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Level 3 Inputs </w:t>
      </w:r>
      <w:r>
        <w:rPr>
          <w:rFonts w:ascii="Arial" w:cs="Arial" w:eastAsia="Arial" w:hAnsi="Arial"/>
          <w:sz w:val="18"/>
          <w:szCs w:val="18"/>
          <w:color w:val="auto"/>
        </w:rPr>
        <w:t>– Unobservable inputs for determining the fair values of assets or liabilities that reflect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own assumptions about the assumptions that market participants would use in pricing the assets or liabilities.</w:t>
      </w:r>
    </w:p>
    <w:p>
      <w:pPr>
        <w:spacing w:after="0" w:line="168" w:lineRule="exact"/>
        <w:rPr>
          <w:sz w:val="20"/>
          <w:szCs w:val="20"/>
          <w:color w:val="auto"/>
        </w:rPr>
      </w:pPr>
    </w:p>
    <w:p>
      <w:pPr>
        <w:ind w:left="60" w:right="319"/>
        <w:spacing w:after="0" w:line="248" w:lineRule="auto"/>
        <w:rPr>
          <w:sz w:val="20"/>
          <w:szCs w:val="20"/>
          <w:color w:val="auto"/>
        </w:rPr>
      </w:pPr>
      <w:r>
        <w:rPr>
          <w:rFonts w:ascii="Arial" w:cs="Arial" w:eastAsia="Arial" w:hAnsi="Arial"/>
          <w:sz w:val="18"/>
          <w:szCs w:val="18"/>
          <w:color w:val="auto"/>
        </w:rPr>
        <w:t>A description of the valuation methodologies used for instruments measured at fair value, as well as the general classification of such instruments pursuant to the valuation hierarchy, is set forth below. These valuation methodologies were applied to those Company assets and liabilities that are carried at fair value.</w:t>
      </w:r>
    </w:p>
    <w:p>
      <w:pPr>
        <w:spacing w:after="0" w:line="168"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auto"/>
        </w:rPr>
        <w:t>In general, fair value is based upon quoted market prices, when available. If such quoted market prices are not available, fair values are measured utilizing independent valuation techniques of identical or similar securities for which significant assumptions are derived primarily from or corroborated by observable data. Valuation adjustments may be made to ensure that financial instruments are recorded at fair value. These adjustments may include amounts to reflect, among other things, counterparty credit quality and the company's creditworthiness as well as unobservable parameters. Any such valuation adjustments are applied consistently over time. While management believes the Company's valuation methodologies are appropriate and consistent with other market participants, the use of different methodologies or assumptions to determine the fair value of certain financial instruments could result in a different estimate of fair value at the reporting date.</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1" w:name="page32"/>
    <w:bookmarkEnd w:id="31"/>
    <w:p>
      <w:pPr>
        <w:jc w:val="center"/>
        <w:ind w:right="19"/>
        <w:spacing w:after="0"/>
        <w:rPr>
          <w:sz w:val="20"/>
          <w:szCs w:val="20"/>
          <w:color w:val="auto"/>
        </w:rPr>
      </w:pPr>
      <w:r>
        <w:rPr>
          <w:rFonts w:ascii="Arial" w:cs="Arial" w:eastAsia="Arial" w:hAnsi="Arial"/>
          <w:sz w:val="18"/>
          <w:szCs w:val="18"/>
          <w:b w:val="1"/>
          <w:bCs w:val="1"/>
          <w:color w:val="auto"/>
        </w:rPr>
        <w:t>FIRST BUSEY CORPORATION</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w:t>
      </w:r>
    </w:p>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Debt Securities Available for Sale</w:t>
      </w:r>
    </w:p>
    <w:p>
      <w:pPr>
        <w:spacing w:after="0" w:line="198" w:lineRule="exact"/>
        <w:rPr>
          <w:sz w:val="20"/>
          <w:szCs w:val="20"/>
          <w:color w:val="auto"/>
        </w:rPr>
      </w:pPr>
    </w:p>
    <w:p>
      <w:pPr>
        <w:ind w:left="60" w:right="239"/>
        <w:spacing w:after="0" w:line="257" w:lineRule="auto"/>
        <w:rPr>
          <w:sz w:val="20"/>
          <w:szCs w:val="20"/>
          <w:color w:val="auto"/>
        </w:rPr>
      </w:pPr>
      <w:r>
        <w:rPr>
          <w:rFonts w:ascii="Arial" w:cs="Arial" w:eastAsia="Arial" w:hAnsi="Arial"/>
          <w:sz w:val="17"/>
          <w:szCs w:val="17"/>
          <w:color w:val="auto"/>
        </w:rPr>
        <w:t>Debt securities classified as available for sale are reported at fair value utilizing Level 2 measurements. The Company obtains fair value measurements from an independent pricing service. The independent pricing service utilizes evaluated pricing models that vary by asset class and incorporate available trade, bid, and other market information. Because many fixed income securities do not trade on a daily basis, the independent pricing service applies available information, focusing on observable market data such as benchmark curves, benchmarking of like securities, sector groupings, and matrix pricing, to prepare evaluations.</w:t>
      </w:r>
    </w:p>
    <w:p>
      <w:pPr>
        <w:spacing w:after="0" w:line="162" w:lineRule="exact"/>
        <w:rPr>
          <w:sz w:val="20"/>
          <w:szCs w:val="20"/>
          <w:color w:val="auto"/>
        </w:rPr>
      </w:pPr>
    </w:p>
    <w:p>
      <w:pPr>
        <w:ind w:left="60" w:right="319"/>
        <w:spacing w:after="0" w:line="284" w:lineRule="auto"/>
        <w:rPr>
          <w:sz w:val="20"/>
          <w:szCs w:val="20"/>
          <w:color w:val="auto"/>
        </w:rPr>
      </w:pPr>
      <w:r>
        <w:rPr>
          <w:rFonts w:ascii="Arial" w:cs="Arial" w:eastAsia="Arial" w:hAnsi="Arial"/>
          <w:sz w:val="16"/>
          <w:szCs w:val="16"/>
          <w:color w:val="auto"/>
        </w:rPr>
        <w:t>The independent pricing service uses model processes, such as the Option Adjusted Spread model, to assess interest rate impact and develop prepayment scenarios. The models and processes take into account market conventions. For each asset class, a team of evaluators gathers information from market sources and integrates relevant credit information, perceived market movements, and sector news into the evaluated pricing applications and models.</w:t>
      </w:r>
    </w:p>
    <w:p>
      <w:pPr>
        <w:spacing w:after="0" w:line="142" w:lineRule="exact"/>
        <w:rPr>
          <w:sz w:val="20"/>
          <w:szCs w:val="20"/>
          <w:color w:val="auto"/>
        </w:rPr>
      </w:pPr>
    </w:p>
    <w:p>
      <w:pPr>
        <w:ind w:left="60" w:right="79"/>
        <w:spacing w:after="0" w:line="274" w:lineRule="auto"/>
        <w:rPr>
          <w:sz w:val="20"/>
          <w:szCs w:val="20"/>
          <w:color w:val="auto"/>
        </w:rPr>
      </w:pPr>
      <w:r>
        <w:rPr>
          <w:rFonts w:ascii="Arial" w:cs="Arial" w:eastAsia="Arial" w:hAnsi="Arial"/>
          <w:sz w:val="16"/>
          <w:szCs w:val="16"/>
          <w:color w:val="auto"/>
        </w:rPr>
        <w:t>Market inputs that the independent pricing service normally seeks for evaluations of securities, listed in approximate order of priority, include: benchmark yields, reported trades, broker/dealer quotes, issuer spreads, two-sided markets, benchmark securities, bids, offers, and reference data including market research publications. The independent pricing service also monitors market indicators, industry, and economic events. For certain security types, additional inputs may be used or some of the market inputs may not be applicable. Evaluators may prioritize inputs differently on any given day for any security based on market conditions, and not all inputs listed are available for use in the evaluation process for each security evaluation on a given day. Because the data utilized was observable, the securities have been classified as Level 2.</w:t>
      </w:r>
    </w:p>
    <w:p>
      <w:pPr>
        <w:spacing w:after="0" w:line="15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Equity Securities</w:t>
      </w:r>
    </w:p>
    <w:p>
      <w:pPr>
        <w:spacing w:after="0" w:line="198" w:lineRule="exact"/>
        <w:rPr>
          <w:sz w:val="20"/>
          <w:szCs w:val="20"/>
          <w:color w:val="auto"/>
        </w:rPr>
      </w:pPr>
    </w:p>
    <w:p>
      <w:pPr>
        <w:ind w:left="60" w:right="79"/>
        <w:spacing w:after="0" w:line="243" w:lineRule="auto"/>
        <w:rPr>
          <w:sz w:val="20"/>
          <w:szCs w:val="20"/>
          <w:color w:val="auto"/>
        </w:rPr>
      </w:pPr>
      <w:r>
        <w:rPr>
          <w:rFonts w:ascii="Arial" w:cs="Arial" w:eastAsia="Arial" w:hAnsi="Arial"/>
          <w:sz w:val="18"/>
          <w:szCs w:val="18"/>
          <w:color w:val="auto"/>
        </w:rPr>
        <w:t>Equity securities are reported at fair value utilizing Level 1 or Level 2 measurements. For mutual funds, unadjusted quoted prices in active markets for identical assets are utilized to determine fair value at the measurement date and have been classified as Level 1. For stock, quoted prices for identical or similar assets in markets that are not active are utilized and classified as Level 2.</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Loans Held for Sale</w:t>
      </w:r>
    </w:p>
    <w:p>
      <w:pPr>
        <w:spacing w:after="0" w:line="198" w:lineRule="exact"/>
        <w:rPr>
          <w:sz w:val="20"/>
          <w:szCs w:val="20"/>
          <w:color w:val="auto"/>
        </w:rPr>
      </w:pPr>
    </w:p>
    <w:p>
      <w:pPr>
        <w:ind w:left="60" w:right="119"/>
        <w:spacing w:after="0" w:line="248" w:lineRule="auto"/>
        <w:rPr>
          <w:sz w:val="20"/>
          <w:szCs w:val="20"/>
          <w:color w:val="auto"/>
        </w:rPr>
      </w:pPr>
      <w:r>
        <w:rPr>
          <w:rFonts w:ascii="Arial" w:cs="Arial" w:eastAsia="Arial" w:hAnsi="Arial"/>
          <w:sz w:val="18"/>
          <w:szCs w:val="18"/>
          <w:color w:val="auto"/>
        </w:rPr>
        <w:t>Loans held for sale are reported at fair value utilizing Level 2 measurements. The fair value of the mortgage loans held for sale are measured using observable quoted market or contract prices or market price equivalents and are classified as Level 2.</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Derivative Assets and Derivative Liabilities</w:t>
      </w:r>
    </w:p>
    <w:p>
      <w:pPr>
        <w:spacing w:after="0" w:line="198" w:lineRule="exact"/>
        <w:rPr>
          <w:sz w:val="20"/>
          <w:szCs w:val="20"/>
          <w:color w:val="auto"/>
        </w:rPr>
      </w:pPr>
    </w:p>
    <w:p>
      <w:pPr>
        <w:ind w:left="60" w:right="359"/>
        <w:spacing w:after="0" w:line="248" w:lineRule="auto"/>
        <w:rPr>
          <w:sz w:val="20"/>
          <w:szCs w:val="20"/>
          <w:color w:val="auto"/>
        </w:rPr>
      </w:pPr>
      <w:r>
        <w:rPr>
          <w:rFonts w:ascii="Arial" w:cs="Arial" w:eastAsia="Arial" w:hAnsi="Arial"/>
          <w:sz w:val="18"/>
          <w:szCs w:val="18"/>
          <w:color w:val="auto"/>
        </w:rPr>
        <w:t>Derivative assets and derivative liabilities are reported at fair value utilizing Level 2 measurements. The fair value of derivative assets and liabilities is determined based on prices that are obtained from a third-party which uses observable market inputs. Derivative assets and liabilities are classified as Level 2.</w:t>
      </w: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5" w:lineRule="exact"/>
        <w:rPr>
          <w:sz w:val="20"/>
          <w:szCs w:val="20"/>
          <w:color w:val="auto"/>
        </w:rPr>
      </w:pPr>
    </w:p>
    <w:p>
      <w:pPr>
        <w:jc w:val="both"/>
        <w:ind w:left="60" w:right="319"/>
        <w:spacing w:after="0" w:line="248" w:lineRule="auto"/>
        <w:rPr>
          <w:sz w:val="20"/>
          <w:szCs w:val="20"/>
          <w:color w:val="auto"/>
        </w:rPr>
      </w:pPr>
      <w:r>
        <w:rPr>
          <w:rFonts w:ascii="Arial" w:cs="Arial" w:eastAsia="Arial" w:hAnsi="Arial"/>
          <w:sz w:val="18"/>
          <w:szCs w:val="18"/>
          <w:color w:val="auto"/>
        </w:rPr>
        <w:t xml:space="preserve">The following tables summarize financial assets and financial liabilities measured at fair value on a recurring basis as of March 31, 2021, and December 31, 2020, segregated by the level of the valuation inputs within the fair value hierarchy utilized to measure fair value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73"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4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center"/>
              <w:ind w:right="53"/>
              <w:spacing w:after="0"/>
              <w:rPr>
                <w:sz w:val="20"/>
                <w:szCs w:val="20"/>
                <w:color w:val="auto"/>
              </w:rPr>
            </w:pPr>
            <w:r>
              <w:rPr>
                <w:rFonts w:ascii="Arial" w:cs="Arial" w:eastAsia="Arial" w:hAnsi="Arial"/>
                <w:sz w:val="14"/>
                <w:szCs w:val="14"/>
                <w:b w:val="1"/>
                <w:bCs w:val="1"/>
                <w:color w:val="auto"/>
                <w:w w:val="92"/>
              </w:rPr>
              <w:t>Level 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right="33"/>
              <w:spacing w:after="0"/>
              <w:rPr>
                <w:sz w:val="20"/>
                <w:szCs w:val="20"/>
                <w:color w:val="auto"/>
              </w:rPr>
            </w:pPr>
            <w:r>
              <w:rPr>
                <w:rFonts w:ascii="Arial" w:cs="Arial" w:eastAsia="Arial" w:hAnsi="Arial"/>
                <w:sz w:val="14"/>
                <w:szCs w:val="14"/>
                <w:b w:val="1"/>
                <w:bCs w:val="1"/>
                <w:color w:val="auto"/>
                <w:w w:val="96"/>
              </w:rPr>
              <w:t>Level 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center"/>
              <w:ind w:right="73"/>
              <w:spacing w:after="0"/>
              <w:rPr>
                <w:sz w:val="20"/>
                <w:szCs w:val="20"/>
                <w:color w:val="auto"/>
              </w:rPr>
            </w:pPr>
            <w:r>
              <w:rPr>
                <w:rFonts w:ascii="Arial" w:cs="Arial" w:eastAsia="Arial" w:hAnsi="Arial"/>
                <w:sz w:val="14"/>
                <w:szCs w:val="14"/>
                <w:b w:val="1"/>
                <w:bCs w:val="1"/>
                <w:color w:val="auto"/>
                <w:w w:val="92"/>
              </w:rPr>
              <w:t>Level 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center"/>
              <w:ind w:right="53"/>
              <w:spacing w:after="0"/>
              <w:rPr>
                <w:sz w:val="20"/>
                <w:szCs w:val="20"/>
                <w:color w:val="auto"/>
              </w:rPr>
            </w:pPr>
            <w:r>
              <w:rPr>
                <w:rFonts w:ascii="Arial" w:cs="Arial" w:eastAsia="Arial" w:hAnsi="Arial"/>
                <w:sz w:val="14"/>
                <w:szCs w:val="14"/>
                <w:b w:val="1"/>
                <w:bCs w:val="1"/>
                <w:color w:val="auto"/>
                <w:w w:val="95"/>
              </w:rPr>
              <w:t>Total</w:t>
            </w:r>
          </w:p>
        </w:tc>
      </w:tr>
      <w:tr>
        <w:trPr>
          <w:trHeight w:val="185"/>
        </w:trPr>
        <w:tc>
          <w:tcPr>
            <w:tcW w:w="4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March 31, 2021</w:t>
            </w:r>
          </w:p>
        </w:tc>
        <w:tc>
          <w:tcPr>
            <w:tcW w:w="1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5"/>
              </w:rPr>
              <w:t>Inputs</w:t>
            </w:r>
          </w:p>
        </w:tc>
        <w:tc>
          <w:tcPr>
            <w:tcW w:w="1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5"/>
              </w:rPr>
              <w:t>Inputs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95"/>
              </w:rPr>
              <w:t>Inputs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5"/>
              </w:rPr>
              <w:t>Fair Value</w:t>
            </w:r>
          </w:p>
        </w:tc>
      </w:tr>
      <w:tr>
        <w:trPr>
          <w:trHeight w:val="196"/>
        </w:trPr>
        <w:tc>
          <w:tcPr>
            <w:tcW w:w="49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Debt securities available for sale:</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03"/>
        </w:trPr>
        <w:tc>
          <w:tcPr>
            <w:tcW w:w="4940" w:type="dxa"/>
            <w:vAlign w:val="bottom"/>
          </w:tcPr>
          <w:p>
            <w:pPr>
              <w:ind w:left="220"/>
              <w:spacing w:after="0" w:line="202" w:lineRule="exact"/>
              <w:rPr>
                <w:sz w:val="20"/>
                <w:szCs w:val="20"/>
                <w:color w:val="auto"/>
              </w:rPr>
            </w:pPr>
            <w:r>
              <w:rPr>
                <w:rFonts w:ascii="Arial" w:cs="Arial" w:eastAsia="Arial" w:hAnsi="Arial"/>
                <w:sz w:val="18"/>
                <w:szCs w:val="18"/>
                <w:color w:val="auto"/>
              </w:rPr>
              <w:t>U.S. Treasury securities</w:t>
            </w:r>
          </w:p>
        </w:tc>
        <w:tc>
          <w:tcPr>
            <w:tcW w:w="2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ind w:left="420"/>
              <w:spacing w:after="0" w:line="202" w:lineRule="exact"/>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23,757</w:t>
            </w:r>
          </w:p>
        </w:tc>
        <w:tc>
          <w:tcPr>
            <w:tcW w:w="2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ind w:left="440"/>
              <w:spacing w:after="0" w:line="202" w:lineRule="exact"/>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23,757</w:t>
            </w:r>
          </w:p>
        </w:tc>
      </w:tr>
      <w:tr>
        <w:trPr>
          <w:trHeight w:val="203"/>
        </w:trPr>
        <w:tc>
          <w:tcPr>
            <w:tcW w:w="49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Obligations of U.S. government corporations and agencies</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66,578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66,578</w:t>
            </w:r>
          </w:p>
        </w:tc>
      </w:tr>
      <w:tr>
        <w:trPr>
          <w:trHeight w:val="203"/>
        </w:trPr>
        <w:tc>
          <w:tcPr>
            <w:tcW w:w="4940" w:type="dxa"/>
            <w:vAlign w:val="bottom"/>
          </w:tcPr>
          <w:p>
            <w:pPr>
              <w:ind w:left="220"/>
              <w:spacing w:after="0" w:line="202" w:lineRule="exact"/>
              <w:rPr>
                <w:sz w:val="20"/>
                <w:szCs w:val="20"/>
                <w:color w:val="auto"/>
              </w:rPr>
            </w:pPr>
            <w:r>
              <w:rPr>
                <w:rFonts w:ascii="Arial" w:cs="Arial" w:eastAsia="Arial" w:hAnsi="Arial"/>
                <w:sz w:val="18"/>
                <w:szCs w:val="18"/>
                <w:color w:val="auto"/>
              </w:rPr>
              <w:t>Obligations of states and political subdivisions</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ind w:left="42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287,462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ind w:left="44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287,462</w:t>
            </w:r>
          </w:p>
        </w:tc>
      </w:tr>
      <w:tr>
        <w:trPr>
          <w:trHeight w:val="203"/>
        </w:trPr>
        <w:tc>
          <w:tcPr>
            <w:tcW w:w="49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Commercial mortgage-backed securities</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498,518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498,518</w:t>
            </w:r>
          </w:p>
        </w:tc>
      </w:tr>
      <w:tr>
        <w:trPr>
          <w:trHeight w:val="203"/>
        </w:trPr>
        <w:tc>
          <w:tcPr>
            <w:tcW w:w="4940" w:type="dxa"/>
            <w:vAlign w:val="bottom"/>
          </w:tcPr>
          <w:p>
            <w:pPr>
              <w:ind w:left="220"/>
              <w:spacing w:after="0" w:line="202" w:lineRule="exact"/>
              <w:rPr>
                <w:sz w:val="20"/>
                <w:szCs w:val="20"/>
                <w:color w:val="auto"/>
              </w:rPr>
            </w:pPr>
            <w:r>
              <w:rPr>
                <w:rFonts w:ascii="Arial" w:cs="Arial" w:eastAsia="Arial" w:hAnsi="Arial"/>
                <w:sz w:val="18"/>
                <w:szCs w:val="18"/>
                <w:color w:val="auto"/>
              </w:rPr>
              <w:t>Residential mortgage-backed securities</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ind w:left="42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w w:val="92"/>
              </w:rPr>
              <w:t>1,786,320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ind w:left="44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w w:val="92"/>
              </w:rPr>
              <w:t>1,786,320</w:t>
            </w:r>
          </w:p>
        </w:tc>
      </w:tr>
      <w:tr>
        <w:trPr>
          <w:trHeight w:val="203"/>
        </w:trPr>
        <w:tc>
          <w:tcPr>
            <w:tcW w:w="49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Corporate debt securities</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134,320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134,320</w:t>
            </w:r>
          </w:p>
        </w:tc>
      </w:tr>
      <w:tr>
        <w:trPr>
          <w:trHeight w:val="203"/>
        </w:trPr>
        <w:tc>
          <w:tcPr>
            <w:tcW w:w="4940" w:type="dxa"/>
            <w:vAlign w:val="bottom"/>
          </w:tcPr>
          <w:p>
            <w:pPr>
              <w:spacing w:after="0" w:line="202" w:lineRule="exact"/>
              <w:rPr>
                <w:sz w:val="20"/>
                <w:szCs w:val="20"/>
                <w:color w:val="auto"/>
              </w:rPr>
            </w:pPr>
            <w:r>
              <w:rPr>
                <w:rFonts w:ascii="Arial" w:cs="Arial" w:eastAsia="Arial" w:hAnsi="Arial"/>
                <w:sz w:val="18"/>
                <w:szCs w:val="18"/>
                <w:color w:val="auto"/>
              </w:rPr>
              <w:t>Equity securities</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ind w:left="42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7,146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ind w:left="44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7,146</w:t>
            </w:r>
          </w:p>
        </w:tc>
      </w:tr>
      <w:tr>
        <w:trPr>
          <w:trHeight w:val="203"/>
        </w:trPr>
        <w:tc>
          <w:tcPr>
            <w:tcW w:w="4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Loans held for sale</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38,272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38,272</w:t>
            </w:r>
          </w:p>
        </w:tc>
      </w:tr>
      <w:tr>
        <w:trPr>
          <w:trHeight w:val="203"/>
        </w:trPr>
        <w:tc>
          <w:tcPr>
            <w:tcW w:w="4940" w:type="dxa"/>
            <w:vAlign w:val="bottom"/>
          </w:tcPr>
          <w:p>
            <w:pPr>
              <w:spacing w:after="0" w:line="202" w:lineRule="exact"/>
              <w:rPr>
                <w:sz w:val="20"/>
                <w:szCs w:val="20"/>
                <w:color w:val="auto"/>
              </w:rPr>
            </w:pPr>
            <w:r>
              <w:rPr>
                <w:rFonts w:ascii="Arial" w:cs="Arial" w:eastAsia="Arial" w:hAnsi="Arial"/>
                <w:sz w:val="18"/>
                <w:szCs w:val="18"/>
                <w:color w:val="auto"/>
              </w:rPr>
              <w:t>Derivative assets</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ind w:left="42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22,623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ind w:left="44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22,623</w:t>
            </w:r>
          </w:p>
        </w:tc>
      </w:tr>
      <w:tr>
        <w:trPr>
          <w:trHeight w:val="203"/>
        </w:trPr>
        <w:tc>
          <w:tcPr>
            <w:tcW w:w="4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Derivative liabilities</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25,173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25,173</w:t>
            </w:r>
          </w:p>
        </w:tc>
      </w:tr>
      <w:tr>
        <w:trPr>
          <w:trHeight w:val="355"/>
        </w:trPr>
        <w:tc>
          <w:tcPr>
            <w:tcW w:w="4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jc w:val="center"/>
              <w:ind w:right="53"/>
              <w:spacing w:after="0"/>
              <w:rPr>
                <w:sz w:val="20"/>
                <w:szCs w:val="20"/>
                <w:color w:val="auto"/>
              </w:rPr>
            </w:pPr>
            <w:r>
              <w:rPr>
                <w:rFonts w:ascii="Arial" w:cs="Arial" w:eastAsia="Arial" w:hAnsi="Arial"/>
                <w:sz w:val="14"/>
                <w:szCs w:val="14"/>
                <w:b w:val="1"/>
                <w:bCs w:val="1"/>
                <w:color w:val="auto"/>
                <w:w w:val="92"/>
              </w:rPr>
              <w:t>Level 1</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center"/>
              <w:ind w:right="33"/>
              <w:spacing w:after="0"/>
              <w:rPr>
                <w:sz w:val="20"/>
                <w:szCs w:val="20"/>
                <w:color w:val="auto"/>
              </w:rPr>
            </w:pPr>
            <w:r>
              <w:rPr>
                <w:rFonts w:ascii="Arial" w:cs="Arial" w:eastAsia="Arial" w:hAnsi="Arial"/>
                <w:sz w:val="14"/>
                <w:szCs w:val="14"/>
                <w:b w:val="1"/>
                <w:bCs w:val="1"/>
                <w:color w:val="auto"/>
                <w:w w:val="96"/>
              </w:rPr>
              <w:t>Level 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center"/>
              <w:ind w:right="73"/>
              <w:spacing w:after="0"/>
              <w:rPr>
                <w:sz w:val="20"/>
                <w:szCs w:val="20"/>
                <w:color w:val="auto"/>
              </w:rPr>
            </w:pPr>
            <w:r>
              <w:rPr>
                <w:rFonts w:ascii="Arial" w:cs="Arial" w:eastAsia="Arial" w:hAnsi="Arial"/>
                <w:sz w:val="14"/>
                <w:szCs w:val="14"/>
                <w:b w:val="1"/>
                <w:bCs w:val="1"/>
                <w:color w:val="auto"/>
                <w:w w:val="92"/>
              </w:rPr>
              <w:t>Level 3</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center"/>
              <w:ind w:right="53"/>
              <w:spacing w:after="0"/>
              <w:rPr>
                <w:sz w:val="20"/>
                <w:szCs w:val="20"/>
                <w:color w:val="auto"/>
              </w:rPr>
            </w:pPr>
            <w:r>
              <w:rPr>
                <w:rFonts w:ascii="Arial" w:cs="Arial" w:eastAsia="Arial" w:hAnsi="Arial"/>
                <w:sz w:val="14"/>
                <w:szCs w:val="14"/>
                <w:b w:val="1"/>
                <w:bCs w:val="1"/>
                <w:color w:val="auto"/>
                <w:w w:val="95"/>
              </w:rPr>
              <w:t>Total</w:t>
            </w:r>
          </w:p>
        </w:tc>
      </w:tr>
      <w:tr>
        <w:trPr>
          <w:trHeight w:val="185"/>
        </w:trPr>
        <w:tc>
          <w:tcPr>
            <w:tcW w:w="4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December 31, 2020</w:t>
            </w:r>
          </w:p>
        </w:tc>
        <w:tc>
          <w:tcPr>
            <w:tcW w:w="1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5"/>
              </w:rPr>
              <w:t>Inputs</w:t>
            </w:r>
          </w:p>
        </w:tc>
        <w:tc>
          <w:tcPr>
            <w:tcW w:w="1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5"/>
              </w:rPr>
              <w:t>Inputs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95"/>
              </w:rPr>
              <w:t>Inputs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5"/>
              </w:rPr>
              <w:t>Fair Value</w:t>
            </w:r>
          </w:p>
        </w:tc>
      </w:tr>
      <w:tr>
        <w:trPr>
          <w:trHeight w:val="196"/>
        </w:trPr>
        <w:tc>
          <w:tcPr>
            <w:tcW w:w="49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Debt securities available for sale:</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03"/>
        </w:trPr>
        <w:tc>
          <w:tcPr>
            <w:tcW w:w="4940" w:type="dxa"/>
            <w:vAlign w:val="bottom"/>
          </w:tcPr>
          <w:p>
            <w:pPr>
              <w:ind w:left="220"/>
              <w:spacing w:after="0" w:line="202" w:lineRule="exact"/>
              <w:rPr>
                <w:sz w:val="20"/>
                <w:szCs w:val="20"/>
                <w:color w:val="auto"/>
              </w:rPr>
            </w:pPr>
            <w:r>
              <w:rPr>
                <w:rFonts w:ascii="Arial" w:cs="Arial" w:eastAsia="Arial" w:hAnsi="Arial"/>
                <w:sz w:val="18"/>
                <w:szCs w:val="18"/>
                <w:color w:val="auto"/>
              </w:rPr>
              <w:t>U.S. Treasury securities</w:t>
            </w:r>
          </w:p>
        </w:tc>
        <w:tc>
          <w:tcPr>
            <w:tcW w:w="2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ind w:left="420"/>
              <w:spacing w:after="0" w:line="202" w:lineRule="exact"/>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27,837</w:t>
            </w:r>
          </w:p>
        </w:tc>
        <w:tc>
          <w:tcPr>
            <w:tcW w:w="2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ind w:left="440"/>
              <w:spacing w:after="0" w:line="202" w:lineRule="exact"/>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27,837</w:t>
            </w:r>
          </w:p>
        </w:tc>
      </w:tr>
      <w:tr>
        <w:trPr>
          <w:trHeight w:val="203"/>
        </w:trPr>
        <w:tc>
          <w:tcPr>
            <w:tcW w:w="49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Obligations of U.S. government corporations and agencies</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69,519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69,519</w:t>
            </w:r>
          </w:p>
        </w:tc>
      </w:tr>
      <w:tr>
        <w:trPr>
          <w:trHeight w:val="203"/>
        </w:trPr>
        <w:tc>
          <w:tcPr>
            <w:tcW w:w="4940" w:type="dxa"/>
            <w:vAlign w:val="bottom"/>
          </w:tcPr>
          <w:p>
            <w:pPr>
              <w:ind w:left="220"/>
              <w:spacing w:after="0" w:line="202" w:lineRule="exact"/>
              <w:rPr>
                <w:sz w:val="20"/>
                <w:szCs w:val="20"/>
                <w:color w:val="auto"/>
              </w:rPr>
            </w:pPr>
            <w:r>
              <w:rPr>
                <w:rFonts w:ascii="Arial" w:cs="Arial" w:eastAsia="Arial" w:hAnsi="Arial"/>
                <w:sz w:val="18"/>
                <w:szCs w:val="18"/>
                <w:color w:val="auto"/>
              </w:rPr>
              <w:t>Obligations of states and political subdivisions</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ind w:left="42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304,711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ind w:left="44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304,711</w:t>
            </w:r>
          </w:p>
        </w:tc>
      </w:tr>
      <w:tr>
        <w:trPr>
          <w:trHeight w:val="203"/>
        </w:trPr>
        <w:tc>
          <w:tcPr>
            <w:tcW w:w="49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Commercial mortgage-backed securities</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418,616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418,616</w:t>
            </w:r>
          </w:p>
        </w:tc>
      </w:tr>
      <w:tr>
        <w:trPr>
          <w:trHeight w:val="203"/>
        </w:trPr>
        <w:tc>
          <w:tcPr>
            <w:tcW w:w="4940" w:type="dxa"/>
            <w:vAlign w:val="bottom"/>
          </w:tcPr>
          <w:p>
            <w:pPr>
              <w:ind w:left="220"/>
              <w:spacing w:after="0" w:line="202" w:lineRule="exact"/>
              <w:rPr>
                <w:sz w:val="20"/>
                <w:szCs w:val="20"/>
                <w:color w:val="auto"/>
              </w:rPr>
            </w:pPr>
            <w:r>
              <w:rPr>
                <w:rFonts w:ascii="Arial" w:cs="Arial" w:eastAsia="Arial" w:hAnsi="Arial"/>
                <w:sz w:val="18"/>
                <w:szCs w:val="18"/>
                <w:color w:val="auto"/>
              </w:rPr>
              <w:t>Residential mortgage-backed securities</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ind w:left="42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w w:val="92"/>
              </w:rPr>
              <w:t>1,368,315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ind w:left="44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w w:val="92"/>
              </w:rPr>
              <w:t>1,368,315</w:t>
            </w:r>
          </w:p>
        </w:tc>
      </w:tr>
      <w:tr>
        <w:trPr>
          <w:trHeight w:val="202"/>
        </w:trPr>
        <w:tc>
          <w:tcPr>
            <w:tcW w:w="49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Corporate debt securities</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72,189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72,189</w:t>
            </w:r>
          </w:p>
        </w:tc>
      </w:tr>
      <w:tr>
        <w:trPr>
          <w:trHeight w:val="203"/>
        </w:trPr>
        <w:tc>
          <w:tcPr>
            <w:tcW w:w="4940" w:type="dxa"/>
            <w:vAlign w:val="bottom"/>
          </w:tcPr>
          <w:p>
            <w:pPr>
              <w:spacing w:after="0" w:line="202" w:lineRule="exact"/>
              <w:rPr>
                <w:sz w:val="20"/>
                <w:szCs w:val="20"/>
                <w:color w:val="auto"/>
              </w:rPr>
            </w:pPr>
            <w:r>
              <w:rPr>
                <w:rFonts w:ascii="Arial" w:cs="Arial" w:eastAsia="Arial" w:hAnsi="Arial"/>
                <w:sz w:val="18"/>
                <w:szCs w:val="18"/>
                <w:color w:val="auto"/>
              </w:rPr>
              <w:t>Equity securities</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ind w:left="42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5,530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ind w:left="44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5,530</w:t>
            </w:r>
          </w:p>
        </w:tc>
      </w:tr>
      <w:tr>
        <w:trPr>
          <w:trHeight w:val="203"/>
        </w:trPr>
        <w:tc>
          <w:tcPr>
            <w:tcW w:w="4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Loans held for sale</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42,813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42,813</w:t>
            </w:r>
          </w:p>
        </w:tc>
      </w:tr>
      <w:tr>
        <w:trPr>
          <w:trHeight w:val="203"/>
        </w:trPr>
        <w:tc>
          <w:tcPr>
            <w:tcW w:w="4940" w:type="dxa"/>
            <w:vAlign w:val="bottom"/>
          </w:tcPr>
          <w:p>
            <w:pPr>
              <w:spacing w:after="0" w:line="202" w:lineRule="exact"/>
              <w:rPr>
                <w:sz w:val="20"/>
                <w:szCs w:val="20"/>
                <w:color w:val="auto"/>
              </w:rPr>
            </w:pPr>
            <w:r>
              <w:rPr>
                <w:rFonts w:ascii="Arial" w:cs="Arial" w:eastAsia="Arial" w:hAnsi="Arial"/>
                <w:sz w:val="18"/>
                <w:szCs w:val="18"/>
                <w:color w:val="auto"/>
              </w:rPr>
              <w:t>Derivative assets</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ind w:left="42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33,918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ind w:left="44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33,918</w:t>
            </w:r>
          </w:p>
        </w:tc>
      </w:tr>
      <w:tr>
        <w:trPr>
          <w:trHeight w:val="203"/>
        </w:trPr>
        <w:tc>
          <w:tcPr>
            <w:tcW w:w="4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Derivative liabilities</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38,403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38,403</w:t>
            </w:r>
          </w:p>
        </w:tc>
      </w:tr>
    </w:tbl>
    <w:p>
      <w:pPr>
        <w:spacing w:after="0" w:line="188" w:lineRule="exact"/>
        <w:rPr>
          <w:sz w:val="20"/>
          <w:szCs w:val="20"/>
          <w:color w:val="auto"/>
        </w:rPr>
      </w:pPr>
    </w:p>
    <w:p>
      <w:pPr>
        <w:ind w:left="60" w:right="199"/>
        <w:spacing w:after="0" w:line="248" w:lineRule="auto"/>
        <w:rPr>
          <w:sz w:val="20"/>
          <w:szCs w:val="20"/>
          <w:color w:val="auto"/>
        </w:rPr>
      </w:pPr>
      <w:r>
        <w:rPr>
          <w:rFonts w:ascii="Arial" w:cs="Arial" w:eastAsia="Arial" w:hAnsi="Arial"/>
          <w:sz w:val="18"/>
          <w:szCs w:val="18"/>
          <w:color w:val="auto"/>
        </w:rPr>
        <w:t>Certain financial assets and financial liabilities are measured at fair value on a non-recurring basis; that is, the instruments are not measured at fair value on an ongoing basis but are subject to fair value adjustments in certain circumstances (for example, when there is evidence of impairment).</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Loans Evaluated Individually</w:t>
      </w:r>
    </w:p>
    <w:p>
      <w:pPr>
        <w:spacing w:after="0" w:line="198" w:lineRule="exact"/>
        <w:rPr>
          <w:sz w:val="20"/>
          <w:szCs w:val="20"/>
          <w:color w:val="auto"/>
        </w:rPr>
      </w:pPr>
    </w:p>
    <w:p>
      <w:pPr>
        <w:ind w:left="60" w:right="119"/>
        <w:spacing w:after="0" w:line="257" w:lineRule="auto"/>
        <w:rPr>
          <w:sz w:val="20"/>
          <w:szCs w:val="20"/>
          <w:color w:val="auto"/>
        </w:rPr>
      </w:pPr>
      <w:r>
        <w:rPr>
          <w:rFonts w:ascii="Arial" w:cs="Arial" w:eastAsia="Arial" w:hAnsi="Arial"/>
          <w:sz w:val="17"/>
          <w:szCs w:val="17"/>
          <w:color w:val="auto"/>
        </w:rPr>
        <w:t>The Company does not record portfolio loans at fair value on a recurring basis. However, periodically, a loan is evaluated individually and is reported at the fair value of the underlying collateral, less estimated costs to sell, if repayment is expected solely from the collateral. If the collateral value is not sufficient, a specific reserve is recorded. Collateral values are estimated using a combination of observable inputs, including recent appraisals, and unobservable inputs based on customized discounting criteria. Due to the significance of unobservable inputs, fair values of individually evaluated collateral dependent loans have been classified as Level 3.</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OREO</w:t>
      </w:r>
    </w:p>
    <w:p>
      <w:pPr>
        <w:spacing w:after="0" w:line="198" w:lineRule="exact"/>
        <w:rPr>
          <w:sz w:val="20"/>
          <w:szCs w:val="20"/>
          <w:color w:val="auto"/>
        </w:rPr>
      </w:pPr>
    </w:p>
    <w:p>
      <w:pPr>
        <w:jc w:val="both"/>
        <w:ind w:left="60" w:right="339"/>
        <w:spacing w:after="0" w:line="294" w:lineRule="auto"/>
        <w:rPr>
          <w:sz w:val="20"/>
          <w:szCs w:val="20"/>
          <w:color w:val="auto"/>
        </w:rPr>
      </w:pPr>
      <w:r>
        <w:rPr>
          <w:rFonts w:ascii="Arial" w:cs="Arial" w:eastAsia="Arial" w:hAnsi="Arial"/>
          <w:sz w:val="16"/>
          <w:szCs w:val="16"/>
          <w:color w:val="auto"/>
        </w:rPr>
        <w:t>Non-financial assets measured at fair value include OREO (upon initial recognition or subsequent impairment). OREO properties are measured using a combination of observable inputs, including recent appraisals, and unobservable inputs. Due to the significance of unobservable inputs, all OREO fair values have been classified as Level 3.</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3" w:name="page34"/>
    <w:bookmarkEnd w:id="33"/>
    <w:p>
      <w:pPr>
        <w:jc w:val="center"/>
        <w:ind w:right="19"/>
        <w:spacing w:after="0"/>
        <w:rPr>
          <w:sz w:val="20"/>
          <w:szCs w:val="20"/>
          <w:color w:val="auto"/>
        </w:rPr>
      </w:pPr>
      <w:r>
        <w:rPr>
          <w:rFonts w:ascii="Arial" w:cs="Arial" w:eastAsia="Arial" w:hAnsi="Arial"/>
          <w:sz w:val="18"/>
          <w:szCs w:val="18"/>
          <w:b w:val="1"/>
          <w:bCs w:val="1"/>
          <w:color w:val="auto"/>
        </w:rPr>
        <w:t>FIRST BUSEY CORPORATION</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w:t>
      </w:r>
    </w:p>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Bank Property Held for Sale</w:t>
      </w:r>
    </w:p>
    <w:p>
      <w:pPr>
        <w:spacing w:after="0" w:line="198" w:lineRule="exact"/>
        <w:rPr>
          <w:sz w:val="20"/>
          <w:szCs w:val="20"/>
          <w:color w:val="auto"/>
        </w:rPr>
      </w:pPr>
    </w:p>
    <w:p>
      <w:pPr>
        <w:ind w:left="60" w:right="99"/>
        <w:spacing w:after="0" w:line="284" w:lineRule="auto"/>
        <w:rPr>
          <w:sz w:val="20"/>
          <w:szCs w:val="20"/>
          <w:color w:val="auto"/>
        </w:rPr>
      </w:pPr>
      <w:r>
        <w:rPr>
          <w:rFonts w:ascii="Arial" w:cs="Arial" w:eastAsia="Arial" w:hAnsi="Arial"/>
          <w:sz w:val="16"/>
          <w:szCs w:val="16"/>
          <w:color w:val="auto"/>
        </w:rPr>
        <w:t>Bank property held for sale represents certain banking center office buildings which the Company has closed and consolidated with other existing banking centers. Bank property held for sale is measured at the lower of amortized cost or fair value less estimated costs to sell. Fair values were based upon discounted appraisals or real estate listing prices. Due to the significance of unobservable inputs, fair values of all bank property held for sale have been classified as Level 3.</w:t>
      </w:r>
    </w:p>
    <w:p>
      <w:pPr>
        <w:spacing w:after="0" w:line="142" w:lineRule="exact"/>
        <w:rPr>
          <w:sz w:val="20"/>
          <w:szCs w:val="20"/>
          <w:color w:val="auto"/>
        </w:rPr>
      </w:pPr>
    </w:p>
    <w:p>
      <w:pPr>
        <w:ind w:left="60" w:right="119"/>
        <w:spacing w:after="0" w:line="248" w:lineRule="auto"/>
        <w:rPr>
          <w:sz w:val="20"/>
          <w:szCs w:val="20"/>
          <w:color w:val="auto"/>
        </w:rPr>
      </w:pPr>
      <w:r>
        <w:rPr>
          <w:rFonts w:ascii="Arial" w:cs="Arial" w:eastAsia="Arial" w:hAnsi="Arial"/>
          <w:sz w:val="18"/>
          <w:szCs w:val="18"/>
          <w:color w:val="auto"/>
        </w:rPr>
        <w:t xml:space="preserve">The following tables summarize assets and liabilities measured at fair value on a non-recurring basis as of March 31, 2021, and December 31, 2020, segregated by the level of the valuation inputs within the fair value hierarchy utilized to measure fair value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ectPr>
          <w:pgSz w:w="11900" w:h="16838" w:orient="portrait"/>
          <w:cols w:equalWidth="0" w:num="1">
            <w:col w:w="9019"/>
          </w:cols>
          <w:pgMar w:left="1440" w:top="513" w:right="1440" w:bottom="1440" w:gutter="0" w:footer="0" w:header="0"/>
        </w:sectPr>
      </w:pPr>
    </w:p>
    <w:p>
      <w:pPr>
        <w:spacing w:after="0" w:line="335" w:lineRule="exact"/>
        <w:rPr>
          <w:sz w:val="20"/>
          <w:szCs w:val="20"/>
          <w:color w:val="auto"/>
        </w:rPr>
      </w:pPr>
    </w:p>
    <w:p>
      <w:pPr>
        <w:ind w:left="60"/>
        <w:spacing w:after="0"/>
        <w:rPr>
          <w:sz w:val="20"/>
          <w:szCs w:val="20"/>
          <w:color w:val="auto"/>
        </w:rPr>
      </w:pPr>
      <w:r>
        <w:rPr>
          <w:rFonts w:ascii="Arial" w:cs="Arial" w:eastAsia="Arial" w:hAnsi="Arial"/>
          <w:sz w:val="13"/>
          <w:szCs w:val="13"/>
          <w:b w:val="1"/>
          <w:bCs w:val="1"/>
          <w:color w:val="auto"/>
        </w:rPr>
        <w:t>March 31, 2021</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Level 1</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Inputs</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Level 2</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Inputs</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Level 3</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Inputs</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center"/>
        <w:ind w:right="179"/>
        <w:spacing w:after="0"/>
        <w:rPr>
          <w:sz w:val="20"/>
          <w:szCs w:val="20"/>
          <w:color w:val="auto"/>
        </w:rPr>
      </w:pPr>
      <w:r>
        <w:rPr>
          <w:rFonts w:ascii="Arial" w:cs="Arial" w:eastAsia="Arial" w:hAnsi="Arial"/>
          <w:sz w:val="14"/>
          <w:szCs w:val="14"/>
          <w:b w:val="1"/>
          <w:bCs w:val="1"/>
          <w:color w:val="auto"/>
        </w:rPr>
        <w:t>Total</w:t>
      </w:r>
    </w:p>
    <w:p>
      <w:pPr>
        <w:spacing w:after="0" w:line="17" w:lineRule="exact"/>
        <w:rPr>
          <w:sz w:val="20"/>
          <w:szCs w:val="20"/>
          <w:color w:val="auto"/>
        </w:rPr>
      </w:pPr>
    </w:p>
    <w:p>
      <w:pPr>
        <w:jc w:val="center"/>
        <w:ind w:right="179"/>
        <w:spacing w:after="0"/>
        <w:rPr>
          <w:sz w:val="20"/>
          <w:szCs w:val="20"/>
          <w:color w:val="auto"/>
        </w:rPr>
      </w:pPr>
      <w:r>
        <w:rPr>
          <w:rFonts w:ascii="Arial" w:cs="Arial" w:eastAsia="Arial" w:hAnsi="Arial"/>
          <w:sz w:val="13"/>
          <w:szCs w:val="13"/>
          <w:b w:val="1"/>
          <w:bCs w:val="1"/>
          <w:color w:val="auto"/>
        </w:rPr>
        <w:t>Fair Value</w:t>
      </w:r>
    </w:p>
    <w:p>
      <w:pPr>
        <w:spacing w:after="0" w:line="20" w:lineRule="exact"/>
        <w:rPr>
          <w:sz w:val="20"/>
          <w:szCs w:val="20"/>
          <w:color w:val="auto"/>
        </w:rPr>
      </w:pPr>
    </w:p>
    <w:p>
      <w:pPr>
        <w:sectPr>
          <w:pgSz w:w="11900" w:h="16838" w:orient="portrait"/>
          <w:cols w:equalWidth="0" w:num="5">
            <w:col w:w="4660" w:space="720"/>
            <w:col w:w="440" w:space="520"/>
            <w:col w:w="440" w:space="540"/>
            <w:col w:w="440" w:space="440"/>
            <w:col w:w="819"/>
          </w:cols>
          <w:pgMar w:left="1440" w:top="513" w:right="1440" w:bottom="1440" w:gutter="0" w:footer="0" w:header="0"/>
          <w:type w:val="continuous"/>
        </w:sectPr>
      </w:pPr>
    </w:p>
    <w:tbl>
      <w:tblPr>
        <w:tblLayout w:type="fixed"/>
        <w:tblInd w:w="40" w:type="dxa"/>
        <w:tblCellMar>
          <w:top w:w="0" w:type="dxa"/>
          <w:left w:w="0" w:type="dxa"/>
          <w:bottom w:w="0" w:type="dxa"/>
          <w:right w:w="0" w:type="dxa"/>
        </w:tblCellMar>
      </w:tblPr>
      <w:tr>
        <w:trPr>
          <w:trHeight w:val="195"/>
        </w:trPr>
        <w:tc>
          <w:tcPr>
            <w:tcW w:w="5000" w:type="dxa"/>
            <w:vAlign w:val="bottom"/>
            <w:tcBorders>
              <w:top w:val="single" w:sz="8" w:color="auto"/>
            </w:tcBorders>
            <w:shd w:val="clear" w:color="auto" w:fill="CCEEFF"/>
          </w:tcPr>
          <w:p>
            <w:pPr>
              <w:ind w:left="20"/>
              <w:spacing w:after="0" w:line="195" w:lineRule="exact"/>
              <w:rPr>
                <w:sz w:val="20"/>
                <w:szCs w:val="20"/>
                <w:color w:val="auto"/>
              </w:rPr>
            </w:pPr>
            <w:r>
              <w:rPr>
                <w:rFonts w:ascii="Arial" w:cs="Arial" w:eastAsia="Arial" w:hAnsi="Arial"/>
                <w:sz w:val="18"/>
                <w:szCs w:val="18"/>
                <w:color w:val="auto"/>
              </w:rPr>
              <w:t>Loans evaluated individually</w:t>
            </w: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ind w:left="460"/>
              <w:spacing w:after="0" w:line="195"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ind w:left="440"/>
              <w:spacing w:after="0" w:line="195" w:lineRule="exact"/>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2,334</w:t>
            </w: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2,334</w:t>
            </w:r>
          </w:p>
        </w:tc>
      </w:tr>
      <w:tr>
        <w:trPr>
          <w:trHeight w:val="203"/>
        </w:trPr>
        <w:tc>
          <w:tcPr>
            <w:tcW w:w="51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OREO</w:t>
            </w:r>
          </w:p>
        </w:tc>
        <w:tc>
          <w:tcPr>
            <w:tcW w:w="140" w:type="dxa"/>
            <w:vAlign w:val="bottom"/>
          </w:tcPr>
          <w:p>
            <w:pPr>
              <w:spacing w:after="0"/>
              <w:rPr>
                <w:sz w:val="17"/>
                <w:szCs w:val="17"/>
                <w:color w:val="auto"/>
              </w:rPr>
            </w:pPr>
          </w:p>
        </w:tc>
        <w:tc>
          <w:tcPr>
            <w:tcW w:w="840" w:type="dxa"/>
            <w:vAlign w:val="bottom"/>
            <w:gridSpan w:val="2"/>
          </w:tcPr>
          <w:p>
            <w:pPr>
              <w:ind w:left="46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82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51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51</w:t>
            </w:r>
          </w:p>
        </w:tc>
      </w:tr>
      <w:tr>
        <w:trPr>
          <w:trHeight w:val="203"/>
        </w:trPr>
        <w:tc>
          <w:tcPr>
            <w:tcW w:w="514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Bank property held for sale</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46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44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9,101</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9,101</w:t>
            </w:r>
          </w:p>
        </w:tc>
      </w:tr>
      <w:tr>
        <w:trPr>
          <w:trHeight w:val="396"/>
        </w:trPr>
        <w:tc>
          <w:tcPr>
            <w:tcW w:w="5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24"/>
                <w:szCs w:val="24"/>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24"/>
                <w:szCs w:val="24"/>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24"/>
                <w:szCs w:val="24"/>
                <w:color w:val="auto"/>
              </w:rPr>
            </w:pPr>
          </w:p>
        </w:tc>
        <w:tc>
          <w:tcPr>
            <w:tcW w:w="740" w:type="dxa"/>
            <w:vAlign w:val="bottom"/>
          </w:tcPr>
          <w:p>
            <w:pPr>
              <w:jc w:val="right"/>
              <w:ind w:right="175"/>
              <w:spacing w:after="0"/>
              <w:rPr>
                <w:sz w:val="20"/>
                <w:szCs w:val="20"/>
                <w:color w:val="auto"/>
              </w:rPr>
            </w:pPr>
            <w:r>
              <w:rPr>
                <w:rFonts w:ascii="Arial" w:cs="Arial" w:eastAsia="Arial" w:hAnsi="Arial"/>
                <w:sz w:val="14"/>
                <w:szCs w:val="14"/>
                <w:b w:val="1"/>
                <w:bCs w:val="1"/>
                <w:color w:val="auto"/>
              </w:rPr>
              <w:t>Total</w:t>
            </w:r>
          </w:p>
        </w:tc>
      </w:tr>
      <w:tr>
        <w:trPr>
          <w:trHeight w:val="185"/>
        </w:trPr>
        <w:tc>
          <w:tcPr>
            <w:tcW w:w="514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2020</w:t>
            </w:r>
          </w:p>
        </w:tc>
        <w:tc>
          <w:tcPr>
            <w:tcW w:w="140" w:type="dxa"/>
            <w:vAlign w:val="bottom"/>
          </w:tcPr>
          <w:p>
            <w:pPr>
              <w:spacing w:after="0"/>
              <w:rPr>
                <w:sz w:val="16"/>
                <w:szCs w:val="16"/>
                <w:color w:val="auto"/>
              </w:rPr>
            </w:pPr>
          </w:p>
        </w:tc>
        <w:tc>
          <w:tcPr>
            <w:tcW w:w="840" w:type="dxa"/>
            <w:vAlign w:val="bottom"/>
            <w:gridSpan w:val="2"/>
          </w:tcPr>
          <w:p>
            <w:pPr>
              <w:ind w:left="80"/>
              <w:spacing w:after="0"/>
              <w:rPr>
                <w:sz w:val="20"/>
                <w:szCs w:val="20"/>
                <w:color w:val="auto"/>
              </w:rPr>
            </w:pPr>
            <w:r>
              <w:rPr>
                <w:rFonts w:ascii="Arial" w:cs="Arial" w:eastAsia="Arial" w:hAnsi="Arial"/>
                <w:sz w:val="14"/>
                <w:szCs w:val="14"/>
                <w:b w:val="1"/>
                <w:bCs w:val="1"/>
                <w:color w:val="auto"/>
              </w:rPr>
              <w:t>Inputs</w:t>
            </w:r>
          </w:p>
        </w:tc>
        <w:tc>
          <w:tcPr>
            <w:tcW w:w="140" w:type="dxa"/>
            <w:vAlign w:val="bottom"/>
          </w:tcPr>
          <w:p>
            <w:pPr>
              <w:spacing w:after="0"/>
              <w:rPr>
                <w:sz w:val="16"/>
                <w:szCs w:val="16"/>
                <w:color w:val="auto"/>
              </w:rPr>
            </w:pPr>
          </w:p>
        </w:tc>
        <w:tc>
          <w:tcPr>
            <w:tcW w:w="820" w:type="dxa"/>
            <w:vAlign w:val="bottom"/>
            <w:gridSpan w:val="2"/>
          </w:tcPr>
          <w:p>
            <w:pPr>
              <w:ind w:left="60"/>
              <w:spacing w:after="0"/>
              <w:rPr>
                <w:sz w:val="20"/>
                <w:szCs w:val="20"/>
                <w:color w:val="auto"/>
              </w:rPr>
            </w:pPr>
            <w:r>
              <w:rPr>
                <w:rFonts w:ascii="Arial" w:cs="Arial" w:eastAsia="Arial" w:hAnsi="Arial"/>
                <w:sz w:val="14"/>
                <w:szCs w:val="14"/>
                <w:b w:val="1"/>
                <w:bCs w:val="1"/>
                <w:color w:val="auto"/>
              </w:rPr>
              <w:t>Inputs</w:t>
            </w:r>
          </w:p>
        </w:tc>
        <w:tc>
          <w:tcPr>
            <w:tcW w:w="140" w:type="dxa"/>
            <w:vAlign w:val="bottom"/>
          </w:tcPr>
          <w:p>
            <w:pPr>
              <w:spacing w:after="0"/>
              <w:rPr>
                <w:sz w:val="16"/>
                <w:szCs w:val="16"/>
                <w:color w:val="auto"/>
              </w:rPr>
            </w:pPr>
          </w:p>
        </w:tc>
        <w:tc>
          <w:tcPr>
            <w:tcW w:w="840" w:type="dxa"/>
            <w:vAlign w:val="bottom"/>
            <w:gridSpan w:val="2"/>
          </w:tcPr>
          <w:p>
            <w:pPr>
              <w:ind w:left="80"/>
              <w:spacing w:after="0"/>
              <w:rPr>
                <w:sz w:val="20"/>
                <w:szCs w:val="20"/>
                <w:color w:val="auto"/>
              </w:rPr>
            </w:pPr>
            <w:r>
              <w:rPr>
                <w:rFonts w:ascii="Arial" w:cs="Arial" w:eastAsia="Arial" w:hAnsi="Arial"/>
                <w:sz w:val="14"/>
                <w:szCs w:val="14"/>
                <w:b w:val="1"/>
                <w:bCs w:val="1"/>
                <w:color w:val="auto"/>
              </w:rPr>
              <w:t>Inputs</w:t>
            </w:r>
          </w:p>
        </w:tc>
        <w:tc>
          <w:tcPr>
            <w:tcW w:w="100" w:type="dxa"/>
            <w:vAlign w:val="bottom"/>
          </w:tcPr>
          <w:p>
            <w:pPr>
              <w:spacing w:after="0"/>
              <w:rPr>
                <w:sz w:val="16"/>
                <w:szCs w:val="16"/>
                <w:color w:val="auto"/>
              </w:rPr>
            </w:pPr>
          </w:p>
        </w:tc>
        <w:tc>
          <w:tcPr>
            <w:tcW w:w="740" w:type="dxa"/>
            <w:vAlign w:val="bottom"/>
          </w:tcPr>
          <w:p>
            <w:pPr>
              <w:jc w:val="right"/>
              <w:ind w:right="15"/>
              <w:spacing w:after="0"/>
              <w:rPr>
                <w:sz w:val="20"/>
                <w:szCs w:val="20"/>
                <w:color w:val="auto"/>
              </w:rPr>
            </w:pPr>
            <w:r>
              <w:rPr>
                <w:rFonts w:ascii="Arial" w:cs="Arial" w:eastAsia="Arial" w:hAnsi="Arial"/>
                <w:sz w:val="14"/>
                <w:szCs w:val="14"/>
                <w:b w:val="1"/>
                <w:bCs w:val="1"/>
                <w:color w:val="auto"/>
                <w:w w:val="92"/>
              </w:rPr>
              <w:t>Fair Value</w:t>
            </w:r>
          </w:p>
        </w:tc>
      </w:tr>
      <w:tr>
        <w:trPr>
          <w:trHeight w:val="196"/>
        </w:trPr>
        <w:tc>
          <w:tcPr>
            <w:tcW w:w="500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Loans evaluated individually</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ind w:left="460"/>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ind w:left="440"/>
              <w:spacing w:after="0" w:line="196" w:lineRule="exact"/>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2,771</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2,771</w:t>
            </w:r>
          </w:p>
        </w:tc>
      </w:tr>
      <w:tr>
        <w:trPr>
          <w:trHeight w:val="203"/>
        </w:trPr>
        <w:tc>
          <w:tcPr>
            <w:tcW w:w="51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OREO</w:t>
            </w:r>
          </w:p>
        </w:tc>
        <w:tc>
          <w:tcPr>
            <w:tcW w:w="140" w:type="dxa"/>
            <w:vAlign w:val="bottom"/>
          </w:tcPr>
          <w:p>
            <w:pPr>
              <w:spacing w:after="0"/>
              <w:rPr>
                <w:sz w:val="17"/>
                <w:szCs w:val="17"/>
                <w:color w:val="auto"/>
              </w:rPr>
            </w:pPr>
          </w:p>
        </w:tc>
        <w:tc>
          <w:tcPr>
            <w:tcW w:w="840" w:type="dxa"/>
            <w:vAlign w:val="bottom"/>
            <w:gridSpan w:val="2"/>
          </w:tcPr>
          <w:p>
            <w:pPr>
              <w:ind w:left="46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82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106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106</w:t>
            </w:r>
          </w:p>
        </w:tc>
      </w:tr>
      <w:tr>
        <w:trPr>
          <w:trHeight w:val="203"/>
        </w:trPr>
        <w:tc>
          <w:tcPr>
            <w:tcW w:w="514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Bank property held for sale</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46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44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10,676</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10,676</w:t>
            </w:r>
          </w:p>
        </w:tc>
      </w:tr>
    </w:tbl>
    <w:p>
      <w:pPr>
        <w:spacing w:after="0" w:line="188" w:lineRule="exact"/>
        <w:rPr>
          <w:sz w:val="20"/>
          <w:szCs w:val="20"/>
          <w:color w:val="auto"/>
        </w:rPr>
      </w:pPr>
    </w:p>
    <w:p>
      <w:pPr>
        <w:ind w:left="60" w:right="439"/>
        <w:spacing w:after="0" w:line="291" w:lineRule="auto"/>
        <w:rPr>
          <w:sz w:val="20"/>
          <w:szCs w:val="20"/>
          <w:color w:val="auto"/>
        </w:rPr>
      </w:pPr>
      <w:r>
        <w:rPr>
          <w:rFonts w:ascii="Arial" w:cs="Arial" w:eastAsia="Arial" w:hAnsi="Arial"/>
          <w:sz w:val="17"/>
          <w:szCs w:val="17"/>
          <w:color w:val="auto"/>
        </w:rPr>
        <w:t xml:space="preserve">The following table presents additional quantitative information about assets measured at fair value on a non-recurring basis for which the Company has utilized Level 3 inputs to determine fair value </w:t>
      </w:r>
      <w:r>
        <w:rPr>
          <w:rFonts w:ascii="Arial" w:cs="Arial" w:eastAsia="Arial" w:hAnsi="Arial"/>
          <w:sz w:val="17"/>
          <w:szCs w:val="17"/>
          <w:i w:val="1"/>
          <w:iCs w:val="1"/>
          <w:color w:val="auto"/>
        </w:rPr>
        <w:t>(dollars in thousands)</w:t>
      </w:r>
      <w:r>
        <w:rPr>
          <w:rFonts w:ascii="Arial" w:cs="Arial" w:eastAsia="Arial" w:hAnsi="Arial"/>
          <w:sz w:val="17"/>
          <w:szCs w:val="17"/>
          <w:color w:val="auto"/>
        </w:rPr>
        <w:t>:</w:t>
      </w:r>
    </w:p>
    <w:p>
      <w:pPr>
        <w:spacing w:after="0" w:line="139"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226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568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rPr>
              <w:t>Quantitative Information about Level 3 Fair Value Measurements</w:t>
            </w:r>
          </w:p>
        </w:tc>
      </w:tr>
      <w:tr>
        <w:trPr>
          <w:trHeight w:val="133"/>
        </w:trPr>
        <w:tc>
          <w:tcPr>
            <w:tcW w:w="2260" w:type="dxa"/>
            <w:vAlign w:val="bottom"/>
          </w:tcPr>
          <w:p>
            <w:pPr>
              <w:spacing w:after="0"/>
              <w:rPr>
                <w:sz w:val="11"/>
                <w:szCs w:val="11"/>
                <w:color w:val="auto"/>
              </w:rPr>
            </w:pPr>
          </w:p>
        </w:tc>
        <w:tc>
          <w:tcPr>
            <w:tcW w:w="980" w:type="dxa"/>
            <w:vAlign w:val="bottom"/>
          </w:tcPr>
          <w:p>
            <w:pPr>
              <w:jc w:val="center"/>
              <w:ind w:right="228"/>
              <w:spacing w:after="0" w:line="133" w:lineRule="exact"/>
              <w:rPr>
                <w:sz w:val="20"/>
                <w:szCs w:val="20"/>
                <w:color w:val="auto"/>
              </w:rPr>
            </w:pPr>
            <w:r>
              <w:rPr>
                <w:rFonts w:ascii="Arial" w:cs="Arial" w:eastAsia="Arial" w:hAnsi="Arial"/>
                <w:sz w:val="14"/>
                <w:szCs w:val="14"/>
                <w:b w:val="1"/>
                <w:bCs w:val="1"/>
                <w:color w:val="auto"/>
                <w:w w:val="95"/>
              </w:rPr>
              <w:t>Fair Value</w:t>
            </w:r>
          </w:p>
        </w:tc>
        <w:tc>
          <w:tcPr>
            <w:tcW w:w="1640" w:type="dxa"/>
            <w:vAlign w:val="bottom"/>
          </w:tcPr>
          <w:p>
            <w:pPr>
              <w:jc w:val="center"/>
              <w:ind w:right="88"/>
              <w:spacing w:after="0" w:line="133" w:lineRule="exact"/>
              <w:rPr>
                <w:sz w:val="20"/>
                <w:szCs w:val="20"/>
                <w:color w:val="auto"/>
              </w:rPr>
            </w:pPr>
            <w:r>
              <w:rPr>
                <w:rFonts w:ascii="Arial" w:cs="Arial" w:eastAsia="Arial" w:hAnsi="Arial"/>
                <w:sz w:val="14"/>
                <w:szCs w:val="14"/>
                <w:b w:val="1"/>
                <w:bCs w:val="1"/>
                <w:color w:val="auto"/>
                <w:w w:val="95"/>
              </w:rPr>
              <w:t>Valuation</w:t>
            </w:r>
          </w:p>
        </w:tc>
        <w:tc>
          <w:tcPr>
            <w:tcW w:w="18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2"/>
              </w:rPr>
              <w:t>Unobservable</w:t>
            </w:r>
          </w:p>
        </w:tc>
        <w:tc>
          <w:tcPr>
            <w:tcW w:w="21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3"/>
              </w:rPr>
              <w:t>Range</w:t>
            </w:r>
          </w:p>
        </w:tc>
      </w:tr>
      <w:tr>
        <w:trPr>
          <w:trHeight w:val="185"/>
        </w:trPr>
        <w:tc>
          <w:tcPr>
            <w:tcW w:w="2260" w:type="dxa"/>
            <w:vAlign w:val="bottom"/>
          </w:tcPr>
          <w:p>
            <w:pPr>
              <w:spacing w:after="0"/>
              <w:rPr>
                <w:sz w:val="20"/>
                <w:szCs w:val="20"/>
                <w:color w:val="auto"/>
              </w:rPr>
            </w:pPr>
            <w:r>
              <w:rPr>
                <w:rFonts w:ascii="Arial" w:cs="Arial" w:eastAsia="Arial" w:hAnsi="Arial"/>
                <w:sz w:val="14"/>
                <w:szCs w:val="14"/>
                <w:b w:val="1"/>
                <w:bCs w:val="1"/>
                <w:color w:val="auto"/>
              </w:rPr>
              <w:t>March 31, 2021</w:t>
            </w:r>
          </w:p>
        </w:tc>
        <w:tc>
          <w:tcPr>
            <w:tcW w:w="980" w:type="dxa"/>
            <w:vAlign w:val="bottom"/>
          </w:tcPr>
          <w:p>
            <w:pPr>
              <w:jc w:val="center"/>
              <w:ind w:right="208"/>
              <w:spacing w:after="0"/>
              <w:rPr>
                <w:sz w:val="20"/>
                <w:szCs w:val="20"/>
                <w:color w:val="auto"/>
              </w:rPr>
            </w:pPr>
            <w:r>
              <w:rPr>
                <w:rFonts w:ascii="Arial" w:cs="Arial" w:eastAsia="Arial" w:hAnsi="Arial"/>
                <w:sz w:val="14"/>
                <w:szCs w:val="14"/>
                <w:b w:val="1"/>
                <w:bCs w:val="1"/>
                <w:color w:val="auto"/>
                <w:w w:val="92"/>
              </w:rPr>
              <w:t>Estimate</w:t>
            </w:r>
          </w:p>
        </w:tc>
        <w:tc>
          <w:tcPr>
            <w:tcW w:w="1640" w:type="dxa"/>
            <w:vAlign w:val="bottom"/>
          </w:tcPr>
          <w:p>
            <w:pPr>
              <w:jc w:val="center"/>
              <w:ind w:right="68"/>
              <w:spacing w:after="0"/>
              <w:rPr>
                <w:sz w:val="20"/>
                <w:szCs w:val="20"/>
                <w:color w:val="auto"/>
              </w:rPr>
            </w:pPr>
            <w:r>
              <w:rPr>
                <w:rFonts w:ascii="Arial" w:cs="Arial" w:eastAsia="Arial" w:hAnsi="Arial"/>
                <w:sz w:val="14"/>
                <w:szCs w:val="14"/>
                <w:b w:val="1"/>
                <w:bCs w:val="1"/>
                <w:color w:val="auto"/>
                <w:w w:val="89"/>
              </w:rPr>
              <w:t>Techniques</w:t>
            </w: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w w:val="99"/>
              </w:rPr>
              <w:t>Input</w:t>
            </w: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r>
    </w:tbl>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0"/>
        </w:trPr>
        <w:tc>
          <w:tcPr>
            <w:tcW w:w="2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r>
      <w:tr>
        <w:trPr>
          <w:trHeight w:val="176"/>
        </w:trPr>
        <w:tc>
          <w:tcPr>
            <w:tcW w:w="2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4"/>
                <w:shd w:val="clear" w:color="auto" w:fill="CCEEFF"/>
              </w:rPr>
              <w:t>Loans evaluated individually</w:t>
            </w:r>
          </w:p>
        </w:tc>
        <w:tc>
          <w:tcPr>
            <w:tcW w:w="240" w:type="dxa"/>
            <w:vAlign w:val="bottom"/>
            <w:gridSpan w:val="2"/>
            <w:shd w:val="clear" w:color="auto" w:fill="CCEEFF"/>
          </w:tcPr>
          <w:p>
            <w:pPr>
              <w:jc w:val="right"/>
              <w:ind w:right="40"/>
              <w:spacing w:after="0" w:line="176" w:lineRule="exact"/>
              <w:rPr>
                <w:sz w:val="20"/>
                <w:szCs w:val="20"/>
                <w:color w:val="auto"/>
              </w:rPr>
            </w:pPr>
            <w:r>
              <w:rPr>
                <w:rFonts w:ascii="Arial" w:cs="Arial" w:eastAsia="Arial" w:hAnsi="Arial"/>
                <w:sz w:val="18"/>
                <w:szCs w:val="18"/>
                <w:color w:val="auto"/>
                <w:shd w:val="clear" w:color="auto" w:fill="CCEEFF"/>
              </w:rPr>
              <w:t>$</w:t>
            </w:r>
          </w:p>
        </w:tc>
        <w:tc>
          <w:tcPr>
            <w:tcW w:w="5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shd w:val="clear" w:color="auto" w:fill="CCEEFF"/>
              </w:rPr>
              <w:t>2,334</w:t>
            </w:r>
          </w:p>
        </w:tc>
        <w:tc>
          <w:tcPr>
            <w:tcW w:w="120" w:type="dxa"/>
            <w:vAlign w:val="bottom"/>
            <w:shd w:val="clear" w:color="auto" w:fill="CCEEFF"/>
          </w:tcPr>
          <w:p>
            <w:pPr>
              <w:spacing w:after="0"/>
              <w:rPr>
                <w:sz w:val="15"/>
                <w:szCs w:val="15"/>
                <w:color w:val="auto"/>
              </w:rPr>
            </w:pPr>
          </w:p>
        </w:tc>
        <w:tc>
          <w:tcPr>
            <w:tcW w:w="1960" w:type="dxa"/>
            <w:vAlign w:val="bottom"/>
            <w:gridSpan w:val="2"/>
            <w:shd w:val="clear" w:color="auto" w:fill="CCEEFF"/>
          </w:tcPr>
          <w:p>
            <w:pPr>
              <w:jc w:val="center"/>
              <w:ind w:right="140"/>
              <w:spacing w:after="0" w:line="176" w:lineRule="exact"/>
              <w:rPr>
                <w:sz w:val="20"/>
                <w:szCs w:val="20"/>
                <w:color w:val="auto"/>
              </w:rPr>
            </w:pPr>
            <w:r>
              <w:rPr>
                <w:rFonts w:ascii="Arial" w:cs="Arial" w:eastAsia="Arial" w:hAnsi="Arial"/>
                <w:sz w:val="18"/>
                <w:szCs w:val="18"/>
                <w:color w:val="auto"/>
                <w:w w:val="94"/>
                <w:shd w:val="clear" w:color="auto" w:fill="CCEEFF"/>
              </w:rPr>
              <w:t>Appraisal of collateral</w:t>
            </w:r>
          </w:p>
        </w:tc>
        <w:tc>
          <w:tcPr>
            <w:tcW w:w="16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1"/>
                <w:shd w:val="clear" w:color="auto" w:fill="CCEEFF"/>
              </w:rPr>
              <w:t>Appraisal adjustments</w:t>
            </w:r>
          </w:p>
        </w:tc>
        <w:tc>
          <w:tcPr>
            <w:tcW w:w="86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shd w:val="clear" w:color="auto" w:fill="CCEEFF"/>
              </w:rPr>
              <w:t>-42.8%to</w:t>
            </w:r>
          </w:p>
        </w:tc>
        <w:tc>
          <w:tcPr>
            <w:tcW w:w="13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w w:val="93"/>
                <w:shd w:val="clear" w:color="auto" w:fill="CCEEFF"/>
              </w:rPr>
              <w:t>-100.0% (-51.8)%</w:t>
            </w:r>
          </w:p>
        </w:tc>
      </w:tr>
      <w:tr>
        <w:trPr>
          <w:trHeight w:val="203"/>
        </w:trPr>
        <w:tc>
          <w:tcPr>
            <w:tcW w:w="2140" w:type="dxa"/>
            <w:vAlign w:val="bottom"/>
          </w:tcPr>
          <w:p>
            <w:pPr>
              <w:spacing w:after="0" w:line="202" w:lineRule="exact"/>
              <w:rPr>
                <w:sz w:val="20"/>
                <w:szCs w:val="20"/>
                <w:color w:val="auto"/>
              </w:rPr>
            </w:pPr>
            <w:r>
              <w:rPr>
                <w:rFonts w:ascii="Arial" w:cs="Arial" w:eastAsia="Arial" w:hAnsi="Arial"/>
                <w:sz w:val="18"/>
                <w:szCs w:val="18"/>
                <w:color w:val="auto"/>
              </w:rPr>
              <w:t>OREO</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51</w:t>
            </w:r>
          </w:p>
        </w:tc>
        <w:tc>
          <w:tcPr>
            <w:tcW w:w="120" w:type="dxa"/>
            <w:vAlign w:val="bottom"/>
          </w:tcPr>
          <w:p>
            <w:pPr>
              <w:spacing w:after="0"/>
              <w:rPr>
                <w:sz w:val="17"/>
                <w:szCs w:val="17"/>
                <w:color w:val="auto"/>
              </w:rPr>
            </w:pPr>
          </w:p>
        </w:tc>
        <w:tc>
          <w:tcPr>
            <w:tcW w:w="1960" w:type="dxa"/>
            <w:vAlign w:val="bottom"/>
            <w:gridSpan w:val="2"/>
          </w:tcPr>
          <w:p>
            <w:pPr>
              <w:jc w:val="center"/>
              <w:ind w:right="140"/>
              <w:spacing w:after="0" w:line="202" w:lineRule="exact"/>
              <w:rPr>
                <w:sz w:val="20"/>
                <w:szCs w:val="20"/>
                <w:color w:val="auto"/>
              </w:rPr>
            </w:pPr>
            <w:r>
              <w:rPr>
                <w:rFonts w:ascii="Arial" w:cs="Arial" w:eastAsia="Arial" w:hAnsi="Arial"/>
                <w:sz w:val="18"/>
                <w:szCs w:val="18"/>
                <w:color w:val="auto"/>
                <w:w w:val="94"/>
              </w:rPr>
              <w:t>Appraisal of collateral</w:t>
            </w:r>
          </w:p>
        </w:tc>
        <w:tc>
          <w:tcPr>
            <w:tcW w:w="1640" w:type="dxa"/>
            <w:vAlign w:val="bottom"/>
          </w:tcPr>
          <w:p>
            <w:pPr>
              <w:spacing w:after="0" w:line="202" w:lineRule="exact"/>
              <w:rPr>
                <w:sz w:val="20"/>
                <w:szCs w:val="20"/>
                <w:color w:val="auto"/>
              </w:rPr>
            </w:pPr>
            <w:r>
              <w:rPr>
                <w:rFonts w:ascii="Arial" w:cs="Arial" w:eastAsia="Arial" w:hAnsi="Arial"/>
                <w:sz w:val="18"/>
                <w:szCs w:val="18"/>
                <w:color w:val="auto"/>
                <w:w w:val="91"/>
              </w:rPr>
              <w:t>Appraisal adjustments</w:t>
            </w:r>
          </w:p>
        </w:tc>
        <w:tc>
          <w:tcPr>
            <w:tcW w:w="8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-33.0%to</w:t>
            </w:r>
          </w:p>
        </w:tc>
        <w:tc>
          <w:tcPr>
            <w:tcW w:w="138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3"/>
              </w:rPr>
              <w:t>-100.0% (-67.9)%</w:t>
            </w:r>
          </w:p>
        </w:tc>
      </w:tr>
      <w:tr>
        <w:trPr>
          <w:trHeight w:val="188"/>
        </w:trPr>
        <w:tc>
          <w:tcPr>
            <w:tcW w:w="21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98"/>
              </w:rPr>
              <w:t>Bank property held for sale</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9,101</w:t>
            </w:r>
          </w:p>
        </w:tc>
        <w:tc>
          <w:tcPr>
            <w:tcW w:w="2080" w:type="dxa"/>
            <w:vAlign w:val="bottom"/>
            <w:gridSpan w:val="3"/>
            <w:shd w:val="clear" w:color="auto" w:fill="CCEEFF"/>
          </w:tcPr>
          <w:p>
            <w:pPr>
              <w:jc w:val="center"/>
              <w:ind w:right="40"/>
              <w:spacing w:after="0" w:line="189" w:lineRule="exact"/>
              <w:rPr>
                <w:sz w:val="20"/>
                <w:szCs w:val="20"/>
                <w:color w:val="auto"/>
              </w:rPr>
            </w:pPr>
            <w:r>
              <w:rPr>
                <w:rFonts w:ascii="Arial" w:cs="Arial" w:eastAsia="Arial" w:hAnsi="Arial"/>
                <w:sz w:val="18"/>
                <w:szCs w:val="18"/>
                <w:color w:val="auto"/>
                <w:w w:val="93"/>
              </w:rPr>
              <w:t>Appraisal of collateral or</w:t>
            </w:r>
          </w:p>
        </w:tc>
        <w:tc>
          <w:tcPr>
            <w:tcW w:w="16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91"/>
              </w:rPr>
              <w:t>Appraisal adjustments</w:t>
            </w: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-6.2%to</w:t>
            </w:r>
          </w:p>
        </w:tc>
        <w:tc>
          <w:tcPr>
            <w:tcW w:w="6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-64.9%</w:t>
            </w: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92"/>
              </w:rPr>
              <w:t>(-41.3)%</w:t>
            </w:r>
          </w:p>
        </w:tc>
      </w:tr>
      <w:tr>
        <w:trPr>
          <w:trHeight w:val="217"/>
        </w:trPr>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0"/>
              </w:rPr>
              <w:t>real estate listing price</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324"/>
        </w:trPr>
        <w:tc>
          <w:tcPr>
            <w:tcW w:w="21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December 31, 2020</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64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720" w:type="dxa"/>
            <w:vAlign w:val="bottom"/>
            <w:tcBorders>
              <w:bottom w:val="single" w:sz="8" w:color="CCEEFF"/>
            </w:tcBorders>
          </w:tcPr>
          <w:p>
            <w:pPr>
              <w:spacing w:after="0"/>
              <w:rPr>
                <w:sz w:val="24"/>
                <w:szCs w:val="24"/>
                <w:color w:val="auto"/>
              </w:rPr>
            </w:pPr>
          </w:p>
        </w:tc>
        <w:tc>
          <w:tcPr>
            <w:tcW w:w="680" w:type="dxa"/>
            <w:vAlign w:val="bottom"/>
            <w:tcBorders>
              <w:bottom w:val="single" w:sz="8" w:color="CCEEFF"/>
            </w:tcBorders>
          </w:tcPr>
          <w:p>
            <w:pPr>
              <w:spacing w:after="0"/>
              <w:rPr>
                <w:sz w:val="24"/>
                <w:szCs w:val="24"/>
                <w:color w:val="auto"/>
              </w:rPr>
            </w:pPr>
          </w:p>
        </w:tc>
        <w:tc>
          <w:tcPr>
            <w:tcW w:w="700" w:type="dxa"/>
            <w:vAlign w:val="bottom"/>
            <w:tcBorders>
              <w:bottom w:val="single" w:sz="8" w:color="CCEEFF"/>
            </w:tcBorders>
          </w:tcPr>
          <w:p>
            <w:pPr>
              <w:spacing w:after="0"/>
              <w:rPr>
                <w:sz w:val="24"/>
                <w:szCs w:val="24"/>
                <w:color w:val="auto"/>
              </w:rPr>
            </w:pPr>
          </w:p>
        </w:tc>
      </w:tr>
      <w:tr>
        <w:trPr>
          <w:trHeight w:val="196"/>
        </w:trPr>
        <w:tc>
          <w:tcPr>
            <w:tcW w:w="2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4"/>
                <w:shd w:val="clear" w:color="auto" w:fill="CCEEFF"/>
              </w:rPr>
              <w:t>Loans evaluated individually</w:t>
            </w:r>
          </w:p>
        </w:tc>
        <w:tc>
          <w:tcPr>
            <w:tcW w:w="24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shd w:val="clear" w:color="auto" w:fill="CCEEFF"/>
              </w:rPr>
              <w:t>$</w:t>
            </w:r>
          </w:p>
        </w:tc>
        <w:tc>
          <w:tcPr>
            <w:tcW w:w="5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shd w:val="clear" w:color="auto" w:fill="CCEEFF"/>
              </w:rPr>
              <w:t>2,771</w:t>
            </w:r>
          </w:p>
        </w:tc>
        <w:tc>
          <w:tcPr>
            <w:tcW w:w="120" w:type="dxa"/>
            <w:vAlign w:val="bottom"/>
            <w:shd w:val="clear" w:color="auto" w:fill="CCEEFF"/>
          </w:tcPr>
          <w:p>
            <w:pPr>
              <w:spacing w:after="0"/>
              <w:rPr>
                <w:sz w:val="17"/>
                <w:szCs w:val="17"/>
                <w:color w:val="auto"/>
              </w:rPr>
            </w:pPr>
          </w:p>
        </w:tc>
        <w:tc>
          <w:tcPr>
            <w:tcW w:w="1960" w:type="dxa"/>
            <w:vAlign w:val="bottom"/>
            <w:gridSpan w:val="2"/>
            <w:shd w:val="clear" w:color="auto" w:fill="CCEEFF"/>
          </w:tcPr>
          <w:p>
            <w:pPr>
              <w:jc w:val="center"/>
              <w:ind w:right="140"/>
              <w:spacing w:after="0" w:line="196" w:lineRule="exact"/>
              <w:rPr>
                <w:sz w:val="20"/>
                <w:szCs w:val="20"/>
                <w:color w:val="auto"/>
              </w:rPr>
            </w:pPr>
            <w:r>
              <w:rPr>
                <w:rFonts w:ascii="Arial" w:cs="Arial" w:eastAsia="Arial" w:hAnsi="Arial"/>
                <w:sz w:val="18"/>
                <w:szCs w:val="18"/>
                <w:color w:val="auto"/>
                <w:w w:val="94"/>
                <w:shd w:val="clear" w:color="auto" w:fill="CCEEFF"/>
              </w:rPr>
              <w:t>Appraisal of collateral</w:t>
            </w:r>
          </w:p>
        </w:tc>
        <w:tc>
          <w:tcPr>
            <w:tcW w:w="16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1"/>
                <w:shd w:val="clear" w:color="auto" w:fill="CCEEFF"/>
              </w:rPr>
              <w:t>Appraisal adjustments</w:t>
            </w:r>
          </w:p>
        </w:tc>
        <w:tc>
          <w:tcPr>
            <w:tcW w:w="8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shd w:val="clear" w:color="auto" w:fill="CCEEFF"/>
              </w:rPr>
              <w:t>-30.0%to</w:t>
            </w: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8"/>
                <w:shd w:val="clear" w:color="auto" w:fill="CCEEFF"/>
              </w:rPr>
              <w:t>-100.0%</w:t>
            </w: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2"/>
                <w:shd w:val="clear" w:color="auto" w:fill="CCEEFF"/>
              </w:rPr>
              <w:t>(-37.0)%</w:t>
            </w:r>
          </w:p>
        </w:tc>
      </w:tr>
      <w:tr>
        <w:trPr>
          <w:trHeight w:val="203"/>
        </w:trPr>
        <w:tc>
          <w:tcPr>
            <w:tcW w:w="2140" w:type="dxa"/>
            <w:vAlign w:val="bottom"/>
          </w:tcPr>
          <w:p>
            <w:pPr>
              <w:spacing w:after="0" w:line="202" w:lineRule="exact"/>
              <w:rPr>
                <w:sz w:val="20"/>
                <w:szCs w:val="20"/>
                <w:color w:val="auto"/>
              </w:rPr>
            </w:pPr>
            <w:r>
              <w:rPr>
                <w:rFonts w:ascii="Arial" w:cs="Arial" w:eastAsia="Arial" w:hAnsi="Arial"/>
                <w:sz w:val="18"/>
                <w:szCs w:val="18"/>
                <w:color w:val="auto"/>
              </w:rPr>
              <w:t>OREO</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106</w:t>
            </w:r>
          </w:p>
        </w:tc>
        <w:tc>
          <w:tcPr>
            <w:tcW w:w="120" w:type="dxa"/>
            <w:vAlign w:val="bottom"/>
          </w:tcPr>
          <w:p>
            <w:pPr>
              <w:spacing w:after="0"/>
              <w:rPr>
                <w:sz w:val="17"/>
                <w:szCs w:val="17"/>
                <w:color w:val="auto"/>
              </w:rPr>
            </w:pPr>
          </w:p>
        </w:tc>
        <w:tc>
          <w:tcPr>
            <w:tcW w:w="1960" w:type="dxa"/>
            <w:vAlign w:val="bottom"/>
            <w:gridSpan w:val="2"/>
          </w:tcPr>
          <w:p>
            <w:pPr>
              <w:jc w:val="center"/>
              <w:ind w:right="140"/>
              <w:spacing w:after="0" w:line="202" w:lineRule="exact"/>
              <w:rPr>
                <w:sz w:val="20"/>
                <w:szCs w:val="20"/>
                <w:color w:val="auto"/>
              </w:rPr>
            </w:pPr>
            <w:r>
              <w:rPr>
                <w:rFonts w:ascii="Arial" w:cs="Arial" w:eastAsia="Arial" w:hAnsi="Arial"/>
                <w:sz w:val="18"/>
                <w:szCs w:val="18"/>
                <w:color w:val="auto"/>
                <w:w w:val="94"/>
              </w:rPr>
              <w:t>Appraisal of collateral</w:t>
            </w:r>
          </w:p>
        </w:tc>
        <w:tc>
          <w:tcPr>
            <w:tcW w:w="1640" w:type="dxa"/>
            <w:vAlign w:val="bottom"/>
          </w:tcPr>
          <w:p>
            <w:pPr>
              <w:spacing w:after="0" w:line="202" w:lineRule="exact"/>
              <w:rPr>
                <w:sz w:val="20"/>
                <w:szCs w:val="20"/>
                <w:color w:val="auto"/>
              </w:rPr>
            </w:pPr>
            <w:r>
              <w:rPr>
                <w:rFonts w:ascii="Arial" w:cs="Arial" w:eastAsia="Arial" w:hAnsi="Arial"/>
                <w:sz w:val="18"/>
                <w:szCs w:val="18"/>
                <w:color w:val="auto"/>
                <w:w w:val="91"/>
              </w:rPr>
              <w:t>Appraisal adjustments</w:t>
            </w:r>
          </w:p>
        </w:tc>
        <w:tc>
          <w:tcPr>
            <w:tcW w:w="8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-25.0%to</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w w:val="98"/>
              </w:rPr>
              <w:t>-100.0%</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w w:val="92"/>
              </w:rPr>
              <w:t>(-54.5)%</w:t>
            </w:r>
          </w:p>
        </w:tc>
      </w:tr>
      <w:tr>
        <w:trPr>
          <w:trHeight w:val="188"/>
        </w:trPr>
        <w:tc>
          <w:tcPr>
            <w:tcW w:w="21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98"/>
              </w:rPr>
              <w:t>Bank property held for sale</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90"/>
              </w:rPr>
              <w:t>10,676</w:t>
            </w:r>
          </w:p>
        </w:tc>
        <w:tc>
          <w:tcPr>
            <w:tcW w:w="2080" w:type="dxa"/>
            <w:vAlign w:val="bottom"/>
            <w:gridSpan w:val="3"/>
            <w:shd w:val="clear" w:color="auto" w:fill="CCEEFF"/>
          </w:tcPr>
          <w:p>
            <w:pPr>
              <w:jc w:val="center"/>
              <w:ind w:right="40"/>
              <w:spacing w:after="0" w:line="189" w:lineRule="exact"/>
              <w:rPr>
                <w:sz w:val="20"/>
                <w:szCs w:val="20"/>
                <w:color w:val="auto"/>
              </w:rPr>
            </w:pPr>
            <w:r>
              <w:rPr>
                <w:rFonts w:ascii="Arial" w:cs="Arial" w:eastAsia="Arial" w:hAnsi="Arial"/>
                <w:sz w:val="18"/>
                <w:szCs w:val="18"/>
                <w:color w:val="auto"/>
                <w:w w:val="93"/>
              </w:rPr>
              <w:t>Appraisal of collateral or</w:t>
            </w:r>
          </w:p>
        </w:tc>
        <w:tc>
          <w:tcPr>
            <w:tcW w:w="16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91"/>
              </w:rPr>
              <w:t>Appraisal adjustments</w:t>
            </w: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-6.2%to</w:t>
            </w:r>
          </w:p>
        </w:tc>
        <w:tc>
          <w:tcPr>
            <w:tcW w:w="6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-64.9%</w:t>
            </w: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92"/>
              </w:rPr>
              <w:t>(-42.8)%</w:t>
            </w:r>
          </w:p>
        </w:tc>
      </w:tr>
      <w:tr>
        <w:trPr>
          <w:trHeight w:val="217"/>
        </w:trPr>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0"/>
              </w:rPr>
              <w:t>real estate listing price</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850"/>
        </w:trPr>
        <w:tc>
          <w:tcPr>
            <w:tcW w:w="2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940" w:type="dxa"/>
            <w:vAlign w:val="bottom"/>
            <w:gridSpan w:val="2"/>
          </w:tcPr>
          <w:p>
            <w:pPr>
              <w:jc w:val="right"/>
              <w:ind w:right="250"/>
              <w:spacing w:after="0"/>
              <w:rPr>
                <w:sz w:val="20"/>
                <w:szCs w:val="20"/>
                <w:color w:val="auto"/>
              </w:rPr>
            </w:pPr>
            <w:r>
              <w:rPr>
                <w:rFonts w:ascii="Arial" w:cs="Arial" w:eastAsia="Arial" w:hAnsi="Arial"/>
                <w:sz w:val="18"/>
                <w:szCs w:val="18"/>
                <w:color w:val="auto"/>
              </w:rPr>
              <w:t>34</w:t>
            </w:r>
          </w:p>
        </w:tc>
        <w:tc>
          <w:tcPr>
            <w:tcW w:w="1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547"/>
        </w:trPr>
        <w:tc>
          <w:tcPr>
            <w:tcW w:w="2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type w:val="continuous"/>
        </w:sectPr>
      </w:pPr>
    </w:p>
    <w:bookmarkStart w:id="34" w:name="page35"/>
    <w:bookmarkEnd w:id="34"/>
    <w:p>
      <w:pPr>
        <w:jc w:val="center"/>
        <w:ind w:right="19"/>
        <w:spacing w:after="0"/>
        <w:rPr>
          <w:sz w:val="20"/>
          <w:szCs w:val="20"/>
          <w:color w:val="auto"/>
        </w:rPr>
      </w:pPr>
      <w:r>
        <w:rPr>
          <w:rFonts w:ascii="Arial" w:cs="Arial" w:eastAsia="Arial" w:hAnsi="Arial"/>
          <w:sz w:val="18"/>
          <w:szCs w:val="18"/>
          <w:b w:val="1"/>
          <w:bCs w:val="1"/>
          <w:color w:val="auto"/>
        </w:rPr>
        <w:t>FIRST BUSEY CORPORATION</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w:t>
      </w:r>
    </w:p>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5" w:lineRule="exact"/>
        <w:rPr>
          <w:sz w:val="20"/>
          <w:szCs w:val="20"/>
          <w:color w:val="auto"/>
        </w:rPr>
      </w:pPr>
    </w:p>
    <w:p>
      <w:pPr>
        <w:ind w:left="60" w:right="139"/>
        <w:spacing w:after="0" w:line="248" w:lineRule="auto"/>
        <w:rPr>
          <w:sz w:val="20"/>
          <w:szCs w:val="20"/>
          <w:color w:val="auto"/>
        </w:rPr>
      </w:pPr>
      <w:r>
        <w:rPr>
          <w:rFonts w:ascii="Arial" w:cs="Arial" w:eastAsia="Arial" w:hAnsi="Arial"/>
          <w:sz w:val="18"/>
          <w:szCs w:val="18"/>
          <w:color w:val="auto"/>
        </w:rPr>
        <w:t xml:space="preserve">Estimated fair values of financial instruments that are reported at amortized cost in the Company’s unaudited Consolidated Balance Sheets, segregated by the level of the valuation inputs within the fair value hierarchy utilized to measure fair value, were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73"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4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20" w:type="dxa"/>
            <w:vAlign w:val="bottom"/>
            <w:gridSpan w:val="5"/>
          </w:tcPr>
          <w:p>
            <w:pPr>
              <w:ind w:left="400"/>
              <w:spacing w:after="0"/>
              <w:rPr>
                <w:sz w:val="20"/>
                <w:szCs w:val="20"/>
                <w:color w:val="auto"/>
              </w:rPr>
            </w:pPr>
            <w:r>
              <w:rPr>
                <w:rFonts w:ascii="Arial" w:cs="Arial" w:eastAsia="Arial" w:hAnsi="Arial"/>
                <w:sz w:val="14"/>
                <w:szCs w:val="14"/>
                <w:b w:val="1"/>
                <w:bCs w:val="1"/>
                <w:color w:val="auto"/>
              </w:rPr>
              <w:t>March 31, 2021</w:t>
            </w:r>
          </w:p>
        </w:tc>
        <w:tc>
          <w:tcPr>
            <w:tcW w:w="120" w:type="dxa"/>
            <w:vAlign w:val="bottom"/>
          </w:tcPr>
          <w:p>
            <w:pPr>
              <w:spacing w:after="0"/>
              <w:rPr>
                <w:sz w:val="16"/>
                <w:szCs w:val="16"/>
                <w:color w:val="auto"/>
              </w:rPr>
            </w:pPr>
          </w:p>
        </w:tc>
        <w:tc>
          <w:tcPr>
            <w:tcW w:w="1880" w:type="dxa"/>
            <w:vAlign w:val="bottom"/>
            <w:gridSpan w:val="4"/>
          </w:tcPr>
          <w:p>
            <w:pPr>
              <w:jc w:val="right"/>
              <w:ind w:right="332"/>
              <w:spacing w:after="0"/>
              <w:rPr>
                <w:sz w:val="20"/>
                <w:szCs w:val="20"/>
                <w:color w:val="auto"/>
              </w:rPr>
            </w:pPr>
            <w:r>
              <w:rPr>
                <w:rFonts w:ascii="Arial" w:cs="Arial" w:eastAsia="Arial" w:hAnsi="Arial"/>
                <w:sz w:val="14"/>
                <w:szCs w:val="14"/>
                <w:b w:val="1"/>
                <w:bCs w:val="1"/>
                <w:color w:val="auto"/>
              </w:rPr>
              <w:t>December 31, 2020</w:t>
            </w:r>
          </w:p>
        </w:tc>
      </w:tr>
      <w:tr>
        <w:trPr>
          <w:trHeight w:val="133"/>
        </w:trPr>
        <w:tc>
          <w:tcPr>
            <w:tcW w:w="4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rPr>
              <w:t>Carrying</w:t>
            </w:r>
          </w:p>
        </w:tc>
        <w:tc>
          <w:tcPr>
            <w:tcW w:w="1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center"/>
              <w:ind w:right="52"/>
              <w:spacing w:after="0" w:line="133" w:lineRule="exact"/>
              <w:rPr>
                <w:sz w:val="20"/>
                <w:szCs w:val="20"/>
                <w:color w:val="auto"/>
              </w:rPr>
            </w:pPr>
            <w:r>
              <w:rPr>
                <w:rFonts w:ascii="Arial" w:cs="Arial" w:eastAsia="Arial" w:hAnsi="Arial"/>
                <w:sz w:val="14"/>
                <w:szCs w:val="14"/>
                <w:b w:val="1"/>
                <w:bCs w:val="1"/>
                <w:color w:val="auto"/>
              </w:rPr>
              <w:t>Fair</w:t>
            </w:r>
          </w:p>
        </w:tc>
        <w:tc>
          <w:tcPr>
            <w:tcW w:w="1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97"/>
              </w:rPr>
              <w:t>Carrying</w:t>
            </w:r>
          </w:p>
        </w:tc>
        <w:tc>
          <w:tcPr>
            <w:tcW w:w="1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ind w:right="252"/>
              <w:spacing w:after="0" w:line="133" w:lineRule="exact"/>
              <w:rPr>
                <w:sz w:val="20"/>
                <w:szCs w:val="20"/>
                <w:color w:val="auto"/>
              </w:rPr>
            </w:pPr>
            <w:r>
              <w:rPr>
                <w:rFonts w:ascii="Arial" w:cs="Arial" w:eastAsia="Arial" w:hAnsi="Arial"/>
                <w:sz w:val="14"/>
                <w:szCs w:val="14"/>
                <w:b w:val="1"/>
                <w:bCs w:val="1"/>
                <w:color w:val="auto"/>
              </w:rPr>
              <w:t>Fair</w:t>
            </w:r>
          </w:p>
        </w:tc>
      </w:tr>
      <w:tr>
        <w:trPr>
          <w:trHeight w:val="185"/>
        </w:trPr>
        <w:tc>
          <w:tcPr>
            <w:tcW w:w="4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6"/>
                <w:szCs w:val="16"/>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6"/>
                <w:szCs w:val="16"/>
                <w:color w:val="auto"/>
              </w:rPr>
            </w:pPr>
          </w:p>
        </w:tc>
        <w:tc>
          <w:tcPr>
            <w:tcW w:w="800" w:type="dxa"/>
            <w:vAlign w:val="bottom"/>
          </w:tcPr>
          <w:p>
            <w:pPr>
              <w:jc w:val="right"/>
              <w:ind w:right="212"/>
              <w:spacing w:after="0"/>
              <w:rPr>
                <w:sz w:val="20"/>
                <w:szCs w:val="20"/>
                <w:color w:val="auto"/>
              </w:rPr>
            </w:pPr>
            <w:r>
              <w:rPr>
                <w:rFonts w:ascii="Arial" w:cs="Arial" w:eastAsia="Arial" w:hAnsi="Arial"/>
                <w:sz w:val="14"/>
                <w:szCs w:val="14"/>
                <w:b w:val="1"/>
                <w:bCs w:val="1"/>
                <w:color w:val="auto"/>
              </w:rPr>
              <w:t>Value</w:t>
            </w:r>
          </w:p>
        </w:tc>
      </w:tr>
      <w:tr>
        <w:trPr>
          <w:trHeight w:val="196"/>
        </w:trPr>
        <w:tc>
          <w:tcPr>
            <w:tcW w:w="43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Financial assets:</w:t>
            </w:r>
          </w:p>
        </w:tc>
        <w:tc>
          <w:tcPr>
            <w:tcW w:w="4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r>
      <w:tr>
        <w:trPr>
          <w:trHeight w:val="203"/>
        </w:trPr>
        <w:tc>
          <w:tcPr>
            <w:tcW w:w="4340" w:type="dxa"/>
            <w:vAlign w:val="bottom"/>
          </w:tcPr>
          <w:p>
            <w:pPr>
              <w:ind w:left="220"/>
              <w:spacing w:after="0" w:line="202" w:lineRule="exact"/>
              <w:rPr>
                <w:sz w:val="20"/>
                <w:szCs w:val="20"/>
                <w:color w:val="auto"/>
              </w:rPr>
            </w:pPr>
            <w:r>
              <w:rPr>
                <w:rFonts w:ascii="Arial" w:cs="Arial" w:eastAsia="Arial" w:hAnsi="Arial"/>
                <w:sz w:val="18"/>
                <w:szCs w:val="18"/>
                <w:color w:val="auto"/>
              </w:rPr>
              <w:t>Level 1 inputs:</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2"/>
        </w:trPr>
        <w:tc>
          <w:tcPr>
            <w:tcW w:w="434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Cash and cash equivalents</w:t>
            </w:r>
          </w:p>
        </w:tc>
        <w:tc>
          <w:tcPr>
            <w:tcW w:w="5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404,802</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404,802</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688,537</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688,537</w:t>
            </w:r>
          </w:p>
        </w:tc>
      </w:tr>
      <w:tr>
        <w:trPr>
          <w:trHeight w:val="203"/>
        </w:trPr>
        <w:tc>
          <w:tcPr>
            <w:tcW w:w="4340" w:type="dxa"/>
            <w:vAlign w:val="bottom"/>
          </w:tcPr>
          <w:p>
            <w:pPr>
              <w:ind w:left="220"/>
              <w:spacing w:after="0" w:line="202" w:lineRule="exact"/>
              <w:rPr>
                <w:sz w:val="20"/>
                <w:szCs w:val="20"/>
                <w:color w:val="auto"/>
              </w:rPr>
            </w:pPr>
            <w:r>
              <w:rPr>
                <w:rFonts w:ascii="Arial" w:cs="Arial" w:eastAsia="Arial" w:hAnsi="Arial"/>
                <w:sz w:val="18"/>
                <w:szCs w:val="18"/>
                <w:color w:val="auto"/>
              </w:rPr>
              <w:t>Level 2 inputs:</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434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Accrued interest receivable</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31,876</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31,876</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33,240</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33,240</w:t>
            </w:r>
          </w:p>
        </w:tc>
      </w:tr>
      <w:tr>
        <w:trPr>
          <w:trHeight w:val="203"/>
        </w:trPr>
        <w:tc>
          <w:tcPr>
            <w:tcW w:w="4340" w:type="dxa"/>
            <w:vAlign w:val="bottom"/>
          </w:tcPr>
          <w:p>
            <w:pPr>
              <w:ind w:left="220"/>
              <w:spacing w:after="0" w:line="202" w:lineRule="exact"/>
              <w:rPr>
                <w:sz w:val="20"/>
                <w:szCs w:val="20"/>
                <w:color w:val="auto"/>
              </w:rPr>
            </w:pPr>
            <w:r>
              <w:rPr>
                <w:rFonts w:ascii="Arial" w:cs="Arial" w:eastAsia="Arial" w:hAnsi="Arial"/>
                <w:sz w:val="18"/>
                <w:szCs w:val="18"/>
                <w:color w:val="auto"/>
              </w:rPr>
              <w:t>Level 3 inputs:</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434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Portfolio loans, net</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2"/>
              </w:rPr>
              <w:t>6,685,357</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89"/>
              </w:rPr>
              <w:t>6,740,655</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89"/>
              </w:rPr>
              <w:t>6,713,129</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89"/>
              </w:rPr>
              <w:t>6,755,425</w:t>
            </w:r>
          </w:p>
        </w:tc>
      </w:tr>
      <w:tr>
        <w:trPr>
          <w:trHeight w:val="203"/>
        </w:trPr>
        <w:tc>
          <w:tcPr>
            <w:tcW w:w="4340" w:type="dxa"/>
            <w:vAlign w:val="bottom"/>
          </w:tcPr>
          <w:p>
            <w:pPr>
              <w:ind w:left="440"/>
              <w:spacing w:after="0" w:line="202" w:lineRule="exact"/>
              <w:rPr>
                <w:sz w:val="20"/>
                <w:szCs w:val="20"/>
                <w:color w:val="auto"/>
              </w:rPr>
            </w:pPr>
            <w:r>
              <w:rPr>
                <w:rFonts w:ascii="Arial" w:cs="Arial" w:eastAsia="Arial" w:hAnsi="Arial"/>
                <w:sz w:val="18"/>
                <w:szCs w:val="18"/>
                <w:color w:val="auto"/>
              </w:rPr>
              <w:t>Mortgage servicing rights</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10,409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12,461</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10,912</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11,107</w:t>
            </w:r>
          </w:p>
        </w:tc>
      </w:tr>
      <w:tr>
        <w:trPr>
          <w:trHeight w:val="203"/>
        </w:trPr>
        <w:tc>
          <w:tcPr>
            <w:tcW w:w="434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Other servicing rights</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1,528</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2,055</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1,434</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1,966</w:t>
            </w:r>
          </w:p>
        </w:tc>
      </w:tr>
      <w:tr>
        <w:trPr>
          <w:trHeight w:val="203"/>
        </w:trPr>
        <w:tc>
          <w:tcPr>
            <w:tcW w:w="4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4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Financial liabilities:</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03"/>
        </w:trPr>
        <w:tc>
          <w:tcPr>
            <w:tcW w:w="4340" w:type="dxa"/>
            <w:vAlign w:val="bottom"/>
          </w:tcPr>
          <w:p>
            <w:pPr>
              <w:ind w:left="220"/>
              <w:spacing w:after="0" w:line="202" w:lineRule="exact"/>
              <w:rPr>
                <w:sz w:val="20"/>
                <w:szCs w:val="20"/>
                <w:color w:val="auto"/>
              </w:rPr>
            </w:pPr>
            <w:r>
              <w:rPr>
                <w:rFonts w:ascii="Arial" w:cs="Arial" w:eastAsia="Arial" w:hAnsi="Arial"/>
                <w:sz w:val="18"/>
                <w:szCs w:val="18"/>
                <w:color w:val="auto"/>
              </w:rPr>
              <w:t>Level 2 inputs:</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434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Time deposits</w:t>
            </w:r>
          </w:p>
        </w:tc>
        <w:tc>
          <w:tcPr>
            <w:tcW w:w="5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2"/>
              </w:rPr>
              <w:t>1,022,468</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89"/>
              </w:rPr>
              <w:t>1,031,778</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89"/>
              </w:rPr>
              <w:t>1,119,348</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89"/>
              </w:rPr>
              <w:t>1,132,107</w:t>
            </w:r>
          </w:p>
        </w:tc>
      </w:tr>
      <w:tr>
        <w:trPr>
          <w:trHeight w:val="203"/>
        </w:trPr>
        <w:tc>
          <w:tcPr>
            <w:tcW w:w="4340" w:type="dxa"/>
            <w:vAlign w:val="bottom"/>
          </w:tcPr>
          <w:p>
            <w:pPr>
              <w:ind w:left="440"/>
              <w:spacing w:after="0" w:line="202" w:lineRule="exact"/>
              <w:rPr>
                <w:sz w:val="20"/>
                <w:szCs w:val="20"/>
                <w:color w:val="auto"/>
              </w:rPr>
            </w:pPr>
            <w:r>
              <w:rPr>
                <w:rFonts w:ascii="Arial" w:cs="Arial" w:eastAsia="Arial" w:hAnsi="Arial"/>
                <w:sz w:val="18"/>
                <w:szCs w:val="18"/>
                <w:color w:val="auto"/>
              </w:rPr>
              <w:t>Securities sold under agreements to repurchase</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210,132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210,132</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175,614</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175,614</w:t>
            </w:r>
          </w:p>
        </w:tc>
      </w:tr>
      <w:tr>
        <w:trPr>
          <w:trHeight w:val="203"/>
        </w:trPr>
        <w:tc>
          <w:tcPr>
            <w:tcW w:w="434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Short-term borrowings</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4,663</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4,669</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4,658</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4,661</w:t>
            </w:r>
          </w:p>
        </w:tc>
      </w:tr>
      <w:tr>
        <w:trPr>
          <w:trHeight w:val="203"/>
        </w:trPr>
        <w:tc>
          <w:tcPr>
            <w:tcW w:w="4340" w:type="dxa"/>
            <w:vAlign w:val="bottom"/>
          </w:tcPr>
          <w:p>
            <w:pPr>
              <w:ind w:left="440"/>
              <w:spacing w:after="0" w:line="202" w:lineRule="exact"/>
              <w:rPr>
                <w:sz w:val="20"/>
                <w:szCs w:val="20"/>
                <w:color w:val="auto"/>
              </w:rPr>
            </w:pPr>
            <w:r>
              <w:rPr>
                <w:rFonts w:ascii="Arial" w:cs="Arial" w:eastAsia="Arial" w:hAnsi="Arial"/>
                <w:sz w:val="18"/>
                <w:szCs w:val="18"/>
                <w:color w:val="auto"/>
              </w:rPr>
              <w:t>Long-term debt</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4,584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4,806</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4,757</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5,014</w:t>
            </w:r>
          </w:p>
        </w:tc>
      </w:tr>
      <w:tr>
        <w:trPr>
          <w:trHeight w:val="188"/>
        </w:trPr>
        <w:tc>
          <w:tcPr>
            <w:tcW w:w="4340" w:type="dxa"/>
            <w:vAlign w:val="bottom"/>
            <w:shd w:val="clear" w:color="auto" w:fill="CCEEFF"/>
          </w:tcPr>
          <w:p>
            <w:pPr>
              <w:ind w:left="440"/>
              <w:spacing w:after="0" w:line="189" w:lineRule="exact"/>
              <w:rPr>
                <w:sz w:val="20"/>
                <w:szCs w:val="20"/>
                <w:color w:val="auto"/>
              </w:rPr>
            </w:pPr>
            <w:r>
              <w:rPr>
                <w:rFonts w:ascii="Arial" w:cs="Arial" w:eastAsia="Arial" w:hAnsi="Arial"/>
                <w:sz w:val="18"/>
                <w:szCs w:val="18"/>
                <w:color w:val="auto"/>
                <w:w w:val="98"/>
              </w:rPr>
              <w:t>Junior subordinated debt owed to unconsolidated</w:t>
            </w: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r>
      <w:tr>
        <w:trPr>
          <w:trHeight w:val="217"/>
        </w:trPr>
        <w:tc>
          <w:tcPr>
            <w:tcW w:w="4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trusts</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71,509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56,511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71,468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59,943</w:t>
            </w:r>
          </w:p>
        </w:tc>
      </w:tr>
      <w:tr>
        <w:trPr>
          <w:trHeight w:val="203"/>
        </w:trPr>
        <w:tc>
          <w:tcPr>
            <w:tcW w:w="4340" w:type="dxa"/>
            <w:vAlign w:val="bottom"/>
          </w:tcPr>
          <w:p>
            <w:pPr>
              <w:ind w:left="440"/>
              <w:spacing w:after="0" w:line="202" w:lineRule="exact"/>
              <w:rPr>
                <w:sz w:val="20"/>
                <w:szCs w:val="20"/>
                <w:color w:val="auto"/>
              </w:rPr>
            </w:pPr>
            <w:r>
              <w:rPr>
                <w:rFonts w:ascii="Arial" w:cs="Arial" w:eastAsia="Arial" w:hAnsi="Arial"/>
                <w:sz w:val="18"/>
                <w:szCs w:val="18"/>
                <w:color w:val="auto"/>
              </w:rPr>
              <w:t>Accrued interest payable</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5,671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5,671</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3,401</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3,401</w:t>
            </w:r>
          </w:p>
        </w:tc>
      </w:tr>
      <w:tr>
        <w:trPr>
          <w:trHeight w:val="203"/>
        </w:trPr>
        <w:tc>
          <w:tcPr>
            <w:tcW w:w="43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Level 3 inputs:</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03"/>
        </w:trPr>
        <w:tc>
          <w:tcPr>
            <w:tcW w:w="4340" w:type="dxa"/>
            <w:vAlign w:val="bottom"/>
          </w:tcPr>
          <w:p>
            <w:pPr>
              <w:ind w:left="440"/>
              <w:spacing w:after="0" w:line="202" w:lineRule="exact"/>
              <w:rPr>
                <w:sz w:val="20"/>
                <w:szCs w:val="20"/>
                <w:color w:val="auto"/>
              </w:rPr>
            </w:pPr>
            <w:r>
              <w:rPr>
                <w:rFonts w:ascii="Arial" w:cs="Arial" w:eastAsia="Arial" w:hAnsi="Arial"/>
                <w:sz w:val="18"/>
                <w:szCs w:val="18"/>
                <w:color w:val="auto"/>
              </w:rPr>
              <w:t>Senior notes, net of unamortized issuance costs</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39,843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40,066</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39,809</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40,104</w:t>
            </w:r>
          </w:p>
        </w:tc>
      </w:tr>
      <w:tr>
        <w:trPr>
          <w:trHeight w:val="203"/>
        </w:trPr>
        <w:tc>
          <w:tcPr>
            <w:tcW w:w="434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w w:val="88"/>
              </w:rPr>
              <w:t>Subordinated notes, net of unamortized issuance costs</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182,370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184,819</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182,226</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187,697</w:t>
            </w:r>
          </w:p>
        </w:tc>
      </w:tr>
      <w:tr>
        <w:trPr>
          <w:trHeight w:val="864"/>
        </w:trPr>
        <w:tc>
          <w:tcPr>
            <w:tcW w:w="4340" w:type="dxa"/>
            <w:vAlign w:val="bottom"/>
          </w:tcPr>
          <w:p>
            <w:pPr>
              <w:spacing w:after="0"/>
              <w:rPr>
                <w:sz w:val="24"/>
                <w:szCs w:val="24"/>
                <w:color w:val="auto"/>
              </w:rPr>
            </w:pPr>
          </w:p>
        </w:tc>
        <w:tc>
          <w:tcPr>
            <w:tcW w:w="440" w:type="dxa"/>
            <w:vAlign w:val="bottom"/>
          </w:tcPr>
          <w:p>
            <w:pPr>
              <w:jc w:val="right"/>
              <w:ind w:right="130"/>
              <w:spacing w:after="0"/>
              <w:rPr>
                <w:sz w:val="20"/>
                <w:szCs w:val="20"/>
                <w:color w:val="auto"/>
              </w:rPr>
            </w:pPr>
            <w:r>
              <w:rPr>
                <w:rFonts w:ascii="Arial" w:cs="Arial" w:eastAsia="Arial" w:hAnsi="Arial"/>
                <w:sz w:val="18"/>
                <w:szCs w:val="18"/>
                <w:color w:val="auto"/>
                <w:w w:val="99"/>
              </w:rPr>
              <w:t>35</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547"/>
        </w:trPr>
        <w:tc>
          <w:tcPr>
            <w:tcW w:w="43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35" w:name="page36"/>
    <w:bookmarkEnd w:id="35"/>
    <w:p>
      <w:pPr>
        <w:jc w:val="center"/>
        <w:ind w:right="19"/>
        <w:spacing w:after="0"/>
        <w:rPr>
          <w:sz w:val="20"/>
          <w:szCs w:val="20"/>
          <w:color w:val="auto"/>
        </w:rPr>
      </w:pPr>
      <w:r>
        <w:rPr>
          <w:rFonts w:ascii="Arial" w:cs="Arial" w:eastAsia="Arial" w:hAnsi="Arial"/>
          <w:sz w:val="18"/>
          <w:szCs w:val="18"/>
          <w:b w:val="1"/>
          <w:bCs w:val="1"/>
          <w:color w:val="auto"/>
        </w:rPr>
        <w:t>FIRST BUSEY CORPORATION</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w:t>
      </w:r>
    </w:p>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12: Earnings Per Common Share</w:t>
      </w:r>
    </w:p>
    <w:p>
      <w:pPr>
        <w:spacing w:after="0" w:line="202" w:lineRule="exact"/>
        <w:rPr>
          <w:sz w:val="20"/>
          <w:szCs w:val="20"/>
          <w:color w:val="auto"/>
        </w:rPr>
      </w:pPr>
    </w:p>
    <w:p>
      <w:pPr>
        <w:ind w:left="60" w:right="299"/>
        <w:spacing w:after="0" w:line="262" w:lineRule="auto"/>
        <w:rPr>
          <w:sz w:val="20"/>
          <w:szCs w:val="20"/>
          <w:color w:val="auto"/>
        </w:rPr>
      </w:pPr>
      <w:r>
        <w:rPr>
          <w:rFonts w:ascii="Arial" w:cs="Arial" w:eastAsia="Arial" w:hAnsi="Arial"/>
          <w:sz w:val="17"/>
          <w:szCs w:val="17"/>
          <w:color w:val="auto"/>
        </w:rPr>
        <w:t>Basic earnings per share is computed by dividing net income for the period by the weighted average number of common shares outstanding, which include deferred stock units that are vested but not delivered. Diluted earnings per common share is computed using the treasury stock method and reflects the potential dilution that could occur if the Company’s outstanding stock options and warrants were exercised and restricted stock units were vested.</w:t>
      </w:r>
    </w:p>
    <w:p>
      <w:pPr>
        <w:spacing w:after="0" w:line="159"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Earnings per common share have been computed as follows </w:t>
      </w:r>
      <w:r>
        <w:rPr>
          <w:rFonts w:ascii="Arial" w:cs="Arial" w:eastAsia="Arial" w:hAnsi="Arial"/>
          <w:sz w:val="18"/>
          <w:szCs w:val="18"/>
          <w:i w:val="1"/>
          <w:iCs w:val="1"/>
          <w:color w:val="auto"/>
        </w:rPr>
        <w:t>(dollars in thousands, except per share amounts)</w:t>
      </w:r>
      <w:r>
        <w:rPr>
          <w:rFonts w:ascii="Arial" w:cs="Arial" w:eastAsia="Arial" w:hAnsi="Arial"/>
          <w:sz w:val="18"/>
          <w:szCs w:val="18"/>
          <w:color w:val="auto"/>
        </w:rPr>
        <w:t>:</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60" w:type="dxa"/>
            <w:vAlign w:val="bottom"/>
            <w:gridSpan w:val="4"/>
          </w:tcPr>
          <w:p>
            <w:pPr>
              <w:jc w:val="right"/>
              <w:ind w:right="412"/>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85"/>
        </w:trPr>
        <w:tc>
          <w:tcPr>
            <w:tcW w:w="66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4"/>
          </w:tcPr>
          <w:p>
            <w:pPr>
              <w:jc w:val="right"/>
              <w:ind w:right="772"/>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55"/>
        </w:trPr>
        <w:tc>
          <w:tcPr>
            <w:tcW w:w="66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95"/>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6"/>
        </w:trPr>
        <w:tc>
          <w:tcPr>
            <w:tcW w:w="662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37,816</w:t>
            </w: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15,364</w:t>
            </w:r>
          </w:p>
        </w:tc>
        <w:tc>
          <w:tcPr>
            <w:tcW w:w="0" w:type="dxa"/>
            <w:vAlign w:val="bottom"/>
          </w:tcPr>
          <w:p>
            <w:pPr>
              <w:spacing w:after="0"/>
              <w:rPr>
                <w:sz w:val="1"/>
                <w:szCs w:val="1"/>
                <w:color w:val="auto"/>
              </w:rPr>
            </w:pPr>
          </w:p>
        </w:tc>
      </w:tr>
      <w:tr>
        <w:trPr>
          <w:trHeight w:val="20"/>
        </w:trPr>
        <w:tc>
          <w:tcPr>
            <w:tcW w:w="662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6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6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Weighted average common shares outstanding</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3"/>
              </w:rPr>
              <w:t>54,471,860</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3"/>
              </w:rPr>
              <w:t>54,661,787</w:t>
            </w:r>
          </w:p>
        </w:tc>
        <w:tc>
          <w:tcPr>
            <w:tcW w:w="0" w:type="dxa"/>
            <w:vAlign w:val="bottom"/>
          </w:tcPr>
          <w:p>
            <w:pPr>
              <w:spacing w:after="0"/>
              <w:rPr>
                <w:sz w:val="1"/>
                <w:szCs w:val="1"/>
                <w:color w:val="auto"/>
              </w:rPr>
            </w:pPr>
          </w:p>
        </w:tc>
      </w:tr>
      <w:tr>
        <w:trPr>
          <w:trHeight w:val="188"/>
        </w:trPr>
        <w:tc>
          <w:tcPr>
            <w:tcW w:w="6620" w:type="dxa"/>
            <w:vAlign w:val="bottom"/>
          </w:tcPr>
          <w:p>
            <w:pPr>
              <w:ind w:left="220"/>
              <w:spacing w:after="0" w:line="189" w:lineRule="exact"/>
              <w:rPr>
                <w:sz w:val="20"/>
                <w:szCs w:val="20"/>
                <w:color w:val="auto"/>
              </w:rPr>
            </w:pPr>
            <w:r>
              <w:rPr>
                <w:rFonts w:ascii="Arial" w:cs="Arial" w:eastAsia="Arial" w:hAnsi="Arial"/>
                <w:sz w:val="18"/>
                <w:szCs w:val="18"/>
                <w:color w:val="auto"/>
              </w:rPr>
              <w:t>Dilutive effect of outstanding options, warrants, and restricted stock units as</w:t>
            </w: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66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determined by the application of the treasury stock method</w:t>
            </w: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563,946</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251,542</w:t>
            </w:r>
          </w:p>
        </w:tc>
        <w:tc>
          <w:tcPr>
            <w:tcW w:w="0" w:type="dxa"/>
            <w:vAlign w:val="bottom"/>
          </w:tcPr>
          <w:p>
            <w:pPr>
              <w:spacing w:after="0"/>
              <w:rPr>
                <w:sz w:val="1"/>
                <w:szCs w:val="1"/>
                <w:color w:val="auto"/>
              </w:rPr>
            </w:pPr>
          </w:p>
        </w:tc>
      </w:tr>
      <w:tr>
        <w:trPr>
          <w:trHeight w:val="168"/>
        </w:trPr>
        <w:tc>
          <w:tcPr>
            <w:tcW w:w="6620" w:type="dxa"/>
            <w:vAlign w:val="bottom"/>
            <w:shd w:val="clear" w:color="auto" w:fill="CCEEFF"/>
          </w:tcPr>
          <w:p>
            <w:pPr>
              <w:ind w:left="440"/>
              <w:spacing w:after="0" w:line="168" w:lineRule="exact"/>
              <w:rPr>
                <w:sz w:val="20"/>
                <w:szCs w:val="20"/>
                <w:color w:val="auto"/>
              </w:rPr>
            </w:pPr>
            <w:r>
              <w:rPr>
                <w:rFonts w:ascii="Arial" w:cs="Arial" w:eastAsia="Arial" w:hAnsi="Arial"/>
                <w:sz w:val="18"/>
                <w:szCs w:val="18"/>
                <w:color w:val="auto"/>
                <w:w w:val="92"/>
              </w:rPr>
              <w:t>Weighted average common shares outstanding, as adjusted for diluted earnings per</w:t>
            </w:r>
          </w:p>
        </w:tc>
        <w:tc>
          <w:tcPr>
            <w:tcW w:w="14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3"/>
              </w:rPr>
              <w:t>55,035,806</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3"/>
              </w:rPr>
              <w:t>54,913,329</w:t>
            </w:r>
          </w:p>
        </w:tc>
        <w:tc>
          <w:tcPr>
            <w:tcW w:w="0" w:type="dxa"/>
            <w:vAlign w:val="bottom"/>
          </w:tcPr>
          <w:p>
            <w:pPr>
              <w:spacing w:after="0"/>
              <w:rPr>
                <w:sz w:val="1"/>
                <w:szCs w:val="1"/>
                <w:color w:val="auto"/>
              </w:rPr>
            </w:pPr>
          </w:p>
        </w:tc>
      </w:tr>
      <w:tr>
        <w:trPr>
          <w:trHeight w:val="203"/>
        </w:trPr>
        <w:tc>
          <w:tcPr>
            <w:tcW w:w="6620" w:type="dxa"/>
            <w:vAlign w:val="bottom"/>
            <w:tcBorders>
              <w:bottom w:val="single" w:sz="8" w:color="CCEEFF"/>
            </w:tcBorders>
            <w:shd w:val="clear" w:color="auto" w:fill="CCEEFF"/>
          </w:tcPr>
          <w:p>
            <w:pPr>
              <w:ind w:left="440"/>
              <w:spacing w:after="0" w:line="203" w:lineRule="exact"/>
              <w:rPr>
                <w:sz w:val="20"/>
                <w:szCs w:val="20"/>
                <w:color w:val="auto"/>
              </w:rPr>
            </w:pPr>
            <w:r>
              <w:rPr>
                <w:rFonts w:ascii="Arial" w:cs="Arial" w:eastAsia="Arial" w:hAnsi="Arial"/>
                <w:sz w:val="18"/>
                <w:szCs w:val="18"/>
                <w:color w:val="auto"/>
              </w:rPr>
              <w:t>share calculation</w:t>
            </w: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vMerge w:val="continue"/>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62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Basic earnings per common share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0.69</w:t>
            </w: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62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Diluted earnings per common share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0.69</w:t>
            </w: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66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96"/>
              </w:rPr>
              <w:t>Common stock equivalents excluded from the earning per common share calculations</w:t>
            </w:r>
          </w:p>
        </w:tc>
        <w:tc>
          <w:tcPr>
            <w:tcW w:w="14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358,279</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244,242</w:t>
            </w:r>
          </w:p>
        </w:tc>
        <w:tc>
          <w:tcPr>
            <w:tcW w:w="0" w:type="dxa"/>
            <w:vAlign w:val="bottom"/>
          </w:tcPr>
          <w:p>
            <w:pPr>
              <w:spacing w:after="0"/>
              <w:rPr>
                <w:sz w:val="1"/>
                <w:szCs w:val="1"/>
                <w:color w:val="auto"/>
              </w:rPr>
            </w:pPr>
          </w:p>
        </w:tc>
      </w:tr>
      <w:tr>
        <w:trPr>
          <w:trHeight w:val="203"/>
        </w:trPr>
        <w:tc>
          <w:tcPr>
            <w:tcW w:w="6620" w:type="dxa"/>
            <w:vAlign w:val="bottom"/>
            <w:tcBorders>
              <w:bottom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because their effect would have been anti-dilutive</w:t>
            </w: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vMerge w:val="continue"/>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13: Accumulated Other Comprehensive Income (Loss)</w:t>
      </w:r>
    </w:p>
    <w:p>
      <w:pPr>
        <w:spacing w:after="0" w:line="202" w:lineRule="exact"/>
        <w:rPr>
          <w:sz w:val="20"/>
          <w:szCs w:val="20"/>
          <w:color w:val="auto"/>
        </w:rPr>
      </w:pPr>
    </w:p>
    <w:p>
      <w:pPr>
        <w:ind w:left="60" w:right="299"/>
        <w:spacing w:after="0" w:line="261" w:lineRule="auto"/>
        <w:rPr>
          <w:sz w:val="20"/>
          <w:szCs w:val="20"/>
          <w:color w:val="auto"/>
        </w:rPr>
      </w:pPr>
      <w:r>
        <w:rPr>
          <w:rFonts w:ascii="Arial" w:cs="Arial" w:eastAsia="Arial" w:hAnsi="Arial"/>
          <w:sz w:val="18"/>
          <w:szCs w:val="18"/>
          <w:color w:val="auto"/>
        </w:rPr>
        <w:t xml:space="preserve">The following table represents changes in accumulated other comprehensive income (loss) by component, net of tax, for the periods below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62" w:lineRule="exact"/>
        <w:rPr>
          <w:sz w:val="20"/>
          <w:szCs w:val="20"/>
          <w:color w:val="auto"/>
        </w:rPr>
      </w:pPr>
    </w:p>
    <w:p>
      <w:pPr>
        <w:ind w:left="5540"/>
        <w:spacing w:after="0"/>
        <w:rPr>
          <w:sz w:val="20"/>
          <w:szCs w:val="20"/>
          <w:color w:val="auto"/>
        </w:rPr>
      </w:pPr>
      <w:r>
        <w:rPr>
          <w:rFonts w:ascii="Arial" w:cs="Arial" w:eastAsia="Arial" w:hAnsi="Arial"/>
          <w:sz w:val="14"/>
          <w:szCs w:val="14"/>
          <w:b w:val="1"/>
          <w:bCs w:val="1"/>
          <w:color w:val="auto"/>
        </w:rPr>
        <w:t>Three Months Ended March 31,</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155"/>
        </w:trPr>
        <w:tc>
          <w:tcPr>
            <w:tcW w:w="410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68"/>
              <w:spacing w:after="0" w:line="155" w:lineRule="exact"/>
              <w:rPr>
                <w:sz w:val="20"/>
                <w:szCs w:val="20"/>
                <w:color w:val="auto"/>
              </w:rPr>
            </w:pPr>
            <w:r>
              <w:rPr>
                <w:rFonts w:ascii="Arial" w:cs="Arial" w:eastAsia="Arial" w:hAnsi="Arial"/>
                <w:sz w:val="14"/>
                <w:szCs w:val="14"/>
                <w:b w:val="1"/>
                <w:bCs w:val="1"/>
                <w:color w:val="auto"/>
              </w:rPr>
              <w:t>2021</w:t>
            </w:r>
          </w:p>
        </w:tc>
        <w:tc>
          <w:tcPr>
            <w:tcW w:w="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68"/>
              <w:spacing w:after="0" w:line="155" w:lineRule="exact"/>
              <w:rPr>
                <w:sz w:val="20"/>
                <w:szCs w:val="20"/>
                <w:color w:val="auto"/>
              </w:rPr>
            </w:pPr>
            <w:r>
              <w:rPr>
                <w:rFonts w:ascii="Arial" w:cs="Arial" w:eastAsia="Arial" w:hAnsi="Arial"/>
                <w:sz w:val="14"/>
                <w:szCs w:val="14"/>
                <w:b w:val="1"/>
                <w:bCs w:val="1"/>
                <w:color w:val="auto"/>
              </w:rPr>
              <w:t>2020</w:t>
            </w:r>
          </w:p>
        </w:tc>
        <w:tc>
          <w:tcPr>
            <w:tcW w:w="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4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40"/>
              <w:spacing w:after="0" w:line="155" w:lineRule="exact"/>
              <w:rPr>
                <w:sz w:val="20"/>
                <w:szCs w:val="20"/>
                <w:color w:val="auto"/>
              </w:rPr>
            </w:pPr>
            <w:r>
              <w:rPr>
                <w:rFonts w:ascii="Arial" w:cs="Arial" w:eastAsia="Arial" w:hAnsi="Arial"/>
                <w:sz w:val="14"/>
                <w:szCs w:val="14"/>
                <w:b w:val="1"/>
                <w:bCs w:val="1"/>
                <w:color w:val="auto"/>
                <w:w w:val="93"/>
              </w:rPr>
              <w:t>Before Tax</w:t>
            </w:r>
          </w:p>
        </w:tc>
        <w:tc>
          <w:tcPr>
            <w:tcW w:w="100" w:type="dxa"/>
            <w:vAlign w:val="bottom"/>
          </w:tcPr>
          <w:p>
            <w:pPr>
              <w:spacing w:after="0"/>
              <w:rPr>
                <w:sz w:val="13"/>
                <w:szCs w:val="13"/>
                <w:color w:val="auto"/>
              </w:rPr>
            </w:pPr>
          </w:p>
        </w:tc>
        <w:tc>
          <w:tcPr>
            <w:tcW w:w="680" w:type="dxa"/>
            <w:vAlign w:val="bottom"/>
            <w:gridSpan w:val="2"/>
          </w:tcPr>
          <w:p>
            <w:pPr>
              <w:jc w:val="right"/>
              <w:ind w:right="40"/>
              <w:spacing w:after="0" w:line="155" w:lineRule="exact"/>
              <w:rPr>
                <w:sz w:val="20"/>
                <w:szCs w:val="20"/>
                <w:color w:val="auto"/>
              </w:rPr>
            </w:pPr>
            <w:r>
              <w:rPr>
                <w:rFonts w:ascii="Arial" w:cs="Arial" w:eastAsia="Arial" w:hAnsi="Arial"/>
                <w:sz w:val="14"/>
                <w:szCs w:val="14"/>
                <w:b w:val="1"/>
                <w:bCs w:val="1"/>
                <w:color w:val="auto"/>
                <w:w w:val="92"/>
              </w:rPr>
              <w:t>Tax Effect</w:t>
            </w:r>
          </w:p>
        </w:tc>
        <w:tc>
          <w:tcPr>
            <w:tcW w:w="100" w:type="dxa"/>
            <w:vAlign w:val="bottom"/>
          </w:tcPr>
          <w:p>
            <w:pPr>
              <w:spacing w:after="0"/>
              <w:rPr>
                <w:sz w:val="13"/>
                <w:szCs w:val="13"/>
                <w:color w:val="auto"/>
              </w:rPr>
            </w:pPr>
          </w:p>
        </w:tc>
        <w:tc>
          <w:tcPr>
            <w:tcW w:w="6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91"/>
              </w:rPr>
              <w:t>Net of Tax</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40"/>
              <w:spacing w:after="0" w:line="155" w:lineRule="exact"/>
              <w:rPr>
                <w:sz w:val="20"/>
                <w:szCs w:val="20"/>
                <w:color w:val="auto"/>
              </w:rPr>
            </w:pPr>
            <w:r>
              <w:rPr>
                <w:rFonts w:ascii="Arial" w:cs="Arial" w:eastAsia="Arial" w:hAnsi="Arial"/>
                <w:sz w:val="14"/>
                <w:szCs w:val="14"/>
                <w:b w:val="1"/>
                <w:bCs w:val="1"/>
                <w:color w:val="auto"/>
                <w:w w:val="91"/>
              </w:rPr>
              <w:t>Before Tax</w:t>
            </w:r>
          </w:p>
        </w:tc>
        <w:tc>
          <w:tcPr>
            <w:tcW w:w="100" w:type="dxa"/>
            <w:vAlign w:val="bottom"/>
          </w:tcPr>
          <w:p>
            <w:pPr>
              <w:spacing w:after="0"/>
              <w:rPr>
                <w:sz w:val="13"/>
                <w:szCs w:val="13"/>
                <w:color w:val="auto"/>
              </w:rPr>
            </w:pPr>
          </w:p>
        </w:tc>
        <w:tc>
          <w:tcPr>
            <w:tcW w:w="680" w:type="dxa"/>
            <w:vAlign w:val="bottom"/>
            <w:gridSpan w:val="2"/>
          </w:tcPr>
          <w:p>
            <w:pPr>
              <w:jc w:val="right"/>
              <w:ind w:right="40"/>
              <w:spacing w:after="0" w:line="155" w:lineRule="exact"/>
              <w:rPr>
                <w:sz w:val="20"/>
                <w:szCs w:val="20"/>
                <w:color w:val="auto"/>
              </w:rPr>
            </w:pPr>
            <w:r>
              <w:rPr>
                <w:rFonts w:ascii="Arial" w:cs="Arial" w:eastAsia="Arial" w:hAnsi="Arial"/>
                <w:sz w:val="14"/>
                <w:szCs w:val="14"/>
                <w:b w:val="1"/>
                <w:bCs w:val="1"/>
                <w:color w:val="auto"/>
                <w:w w:val="92"/>
              </w:rPr>
              <w:t>Tax Effect</w:t>
            </w:r>
          </w:p>
        </w:tc>
        <w:tc>
          <w:tcPr>
            <w:tcW w:w="10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94"/>
              </w:rPr>
              <w:t>Net of Tax</w:t>
            </w:r>
          </w:p>
        </w:tc>
        <w:tc>
          <w:tcPr>
            <w:tcW w:w="20" w:type="dxa"/>
            <w:vAlign w:val="bottom"/>
          </w:tcPr>
          <w:p>
            <w:pPr>
              <w:spacing w:after="0"/>
              <w:rPr>
                <w:sz w:val="13"/>
                <w:szCs w:val="13"/>
                <w:color w:val="auto"/>
              </w:rPr>
            </w:pPr>
          </w:p>
        </w:tc>
      </w:tr>
      <w:tr>
        <w:trPr>
          <w:trHeight w:val="155"/>
        </w:trPr>
        <w:tc>
          <w:tcPr>
            <w:tcW w:w="4100" w:type="dxa"/>
            <w:vAlign w:val="bottom"/>
            <w:tcBorders>
              <w:top w:val="single" w:sz="8" w:color="CCEEFF"/>
            </w:tcBorders>
            <w:shd w:val="clear" w:color="auto" w:fill="CCEEFF"/>
          </w:tcPr>
          <w:p>
            <w:pPr>
              <w:ind w:left="20"/>
              <w:spacing w:after="0" w:line="155" w:lineRule="exact"/>
              <w:rPr>
                <w:sz w:val="20"/>
                <w:szCs w:val="20"/>
                <w:color w:val="auto"/>
              </w:rPr>
            </w:pPr>
            <w:r>
              <w:rPr>
                <w:rFonts w:ascii="Arial" w:cs="Arial" w:eastAsia="Arial" w:hAnsi="Arial"/>
                <w:sz w:val="14"/>
                <w:szCs w:val="14"/>
                <w:color w:val="auto"/>
              </w:rPr>
              <w:t>Unrealized gains (losses) on debt securities available for sale:</w:t>
            </w:r>
          </w:p>
        </w:tc>
        <w:tc>
          <w:tcPr>
            <w:tcW w:w="8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203"/>
        </w:trPr>
        <w:tc>
          <w:tcPr>
            <w:tcW w:w="4100" w:type="dxa"/>
            <w:vAlign w:val="bottom"/>
          </w:tcPr>
          <w:p>
            <w:pPr>
              <w:ind w:left="220"/>
              <w:spacing w:after="0"/>
              <w:rPr>
                <w:sz w:val="20"/>
                <w:szCs w:val="20"/>
                <w:color w:val="auto"/>
              </w:rPr>
            </w:pPr>
            <w:r>
              <w:rPr>
                <w:rFonts w:ascii="Arial" w:cs="Arial" w:eastAsia="Arial" w:hAnsi="Arial"/>
                <w:sz w:val="14"/>
                <w:szCs w:val="14"/>
                <w:color w:val="auto"/>
              </w:rPr>
              <w:t>Balance at beginning of period</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49,644</w:t>
            </w:r>
          </w:p>
        </w:tc>
        <w:tc>
          <w:tcPr>
            <w:tcW w:w="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40"/>
              <w:spacing w:after="0"/>
              <w:rPr>
                <w:sz w:val="20"/>
                <w:szCs w:val="20"/>
                <w:color w:val="auto"/>
              </w:rPr>
            </w:pPr>
            <w:r>
              <w:rPr>
                <w:rFonts w:ascii="Arial" w:cs="Arial" w:eastAsia="Arial" w:hAnsi="Arial"/>
                <w:sz w:val="14"/>
                <w:szCs w:val="14"/>
                <w:color w:val="auto"/>
              </w:rPr>
              <w:t>(14,151)</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35,493</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21,192</w:t>
            </w:r>
          </w:p>
        </w:tc>
        <w:tc>
          <w:tcPr>
            <w:tcW w:w="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20"/>
              <w:spacing w:after="0"/>
              <w:rPr>
                <w:sz w:val="20"/>
                <w:szCs w:val="20"/>
                <w:color w:val="auto"/>
              </w:rPr>
            </w:pPr>
            <w:r>
              <w:rPr>
                <w:rFonts w:ascii="Arial" w:cs="Arial" w:eastAsia="Arial" w:hAnsi="Arial"/>
                <w:sz w:val="14"/>
                <w:szCs w:val="14"/>
                <w:color w:val="auto"/>
              </w:rPr>
              <w:t>(6,032)</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15,160</w:t>
            </w:r>
          </w:p>
        </w:tc>
        <w:tc>
          <w:tcPr>
            <w:tcW w:w="20" w:type="dxa"/>
            <w:vAlign w:val="bottom"/>
          </w:tcPr>
          <w:p>
            <w:pPr>
              <w:spacing w:after="0"/>
              <w:rPr>
                <w:sz w:val="17"/>
                <w:szCs w:val="17"/>
                <w:color w:val="auto"/>
              </w:rPr>
            </w:pPr>
          </w:p>
        </w:tc>
      </w:tr>
      <w:tr>
        <w:trPr>
          <w:trHeight w:val="143"/>
        </w:trPr>
        <w:tc>
          <w:tcPr>
            <w:tcW w:w="4100" w:type="dxa"/>
            <w:vAlign w:val="bottom"/>
            <w:shd w:val="clear" w:color="auto" w:fill="CCEEFF"/>
          </w:tcPr>
          <w:p>
            <w:pPr>
              <w:ind w:left="440"/>
              <w:spacing w:after="0" w:line="143" w:lineRule="exact"/>
              <w:rPr>
                <w:sz w:val="20"/>
                <w:szCs w:val="20"/>
                <w:color w:val="auto"/>
              </w:rPr>
            </w:pPr>
            <w:r>
              <w:rPr>
                <w:rFonts w:ascii="Arial" w:cs="Arial" w:eastAsia="Arial" w:hAnsi="Arial"/>
                <w:sz w:val="14"/>
                <w:szCs w:val="14"/>
                <w:color w:val="auto"/>
              </w:rPr>
              <w:t>Unrealized holding gains (losses) on debt securities</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81"/>
        </w:trPr>
        <w:tc>
          <w:tcPr>
            <w:tcW w:w="4100" w:type="dxa"/>
            <w:vAlign w:val="bottom"/>
            <w:shd w:val="clear" w:color="auto" w:fill="CCEEFF"/>
          </w:tcPr>
          <w:p>
            <w:pPr>
              <w:ind w:left="440"/>
              <w:spacing w:after="0"/>
              <w:rPr>
                <w:sz w:val="20"/>
                <w:szCs w:val="20"/>
                <w:color w:val="auto"/>
              </w:rPr>
            </w:pPr>
            <w:r>
              <w:rPr>
                <w:rFonts w:ascii="Arial" w:cs="Arial" w:eastAsia="Arial" w:hAnsi="Arial"/>
                <w:sz w:val="14"/>
                <w:szCs w:val="14"/>
                <w:color w:val="auto"/>
              </w:rPr>
              <w:t>available for sale, net</w:t>
            </w:r>
          </w:p>
        </w:tc>
        <w:tc>
          <w:tcPr>
            <w:tcW w:w="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(42,072)</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11,993</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(30,079)</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30,086</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(8,589)</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21,497</w:t>
            </w:r>
          </w:p>
        </w:tc>
        <w:tc>
          <w:tcPr>
            <w:tcW w:w="20" w:type="dxa"/>
            <w:vAlign w:val="bottom"/>
          </w:tcPr>
          <w:p>
            <w:pPr>
              <w:spacing w:after="0"/>
              <w:rPr>
                <w:sz w:val="15"/>
                <w:szCs w:val="15"/>
                <w:color w:val="auto"/>
              </w:rPr>
            </w:pPr>
          </w:p>
        </w:tc>
      </w:tr>
      <w:tr>
        <w:trPr>
          <w:trHeight w:val="143"/>
        </w:trPr>
        <w:tc>
          <w:tcPr>
            <w:tcW w:w="4100" w:type="dxa"/>
            <w:vAlign w:val="bottom"/>
          </w:tcPr>
          <w:p>
            <w:pPr>
              <w:ind w:left="440"/>
              <w:spacing w:after="0" w:line="143" w:lineRule="exact"/>
              <w:rPr>
                <w:sz w:val="20"/>
                <w:szCs w:val="20"/>
                <w:color w:val="auto"/>
              </w:rPr>
            </w:pPr>
            <w:r>
              <w:rPr>
                <w:rFonts w:ascii="Arial" w:cs="Arial" w:eastAsia="Arial" w:hAnsi="Arial"/>
                <w:sz w:val="14"/>
                <w:szCs w:val="14"/>
                <w:color w:val="auto"/>
              </w:rPr>
              <w:t>Amounts reclassified from accumulated other</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81"/>
        </w:trPr>
        <w:tc>
          <w:tcPr>
            <w:tcW w:w="4100" w:type="dxa"/>
            <w:vAlign w:val="bottom"/>
          </w:tcPr>
          <w:p>
            <w:pPr>
              <w:ind w:left="440"/>
              <w:spacing w:after="0"/>
              <w:rPr>
                <w:sz w:val="20"/>
                <w:szCs w:val="20"/>
                <w:color w:val="auto"/>
              </w:rPr>
            </w:pPr>
            <w:r>
              <w:rPr>
                <w:rFonts w:ascii="Arial" w:cs="Arial" w:eastAsia="Arial" w:hAnsi="Arial"/>
                <w:sz w:val="14"/>
                <w:szCs w:val="14"/>
                <w:color w:val="auto"/>
              </w:rPr>
              <w:t>comprehensive income, net</w:t>
            </w:r>
          </w:p>
        </w:tc>
        <w:tc>
          <w:tcPr>
            <w:tcW w:w="80" w:type="dxa"/>
            <w:vAlign w:val="bottom"/>
          </w:tcPr>
          <w:p>
            <w:pPr>
              <w:spacing w:after="0"/>
              <w:rPr>
                <w:sz w:val="15"/>
                <w:szCs w:val="15"/>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5"/>
                <w:szCs w:val="15"/>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(1,556)</w:t>
            </w: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448</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4"/>
                <w:szCs w:val="14"/>
                <w:color w:val="auto"/>
              </w:rPr>
              <w:t>(1,108)</w:t>
            </w:r>
          </w:p>
        </w:tc>
      </w:tr>
      <w:tr>
        <w:trPr>
          <w:trHeight w:val="155"/>
        </w:trPr>
        <w:tc>
          <w:tcPr>
            <w:tcW w:w="4100" w:type="dxa"/>
            <w:vAlign w:val="bottom"/>
            <w:tcBorders>
              <w:top w:val="single" w:sz="8" w:color="CCEEFF"/>
            </w:tcBorders>
            <w:shd w:val="clear" w:color="auto" w:fill="CCEEFF"/>
          </w:tcPr>
          <w:p>
            <w:pPr>
              <w:ind w:left="220"/>
              <w:spacing w:after="0" w:line="155" w:lineRule="exact"/>
              <w:rPr>
                <w:sz w:val="20"/>
                <w:szCs w:val="20"/>
                <w:color w:val="auto"/>
              </w:rPr>
            </w:pPr>
            <w:r>
              <w:rPr>
                <w:rFonts w:ascii="Arial" w:cs="Arial" w:eastAsia="Arial" w:hAnsi="Arial"/>
                <w:sz w:val="14"/>
                <w:szCs w:val="14"/>
                <w:color w:val="auto"/>
              </w:rPr>
              <w:t>Balance at end of period</w:t>
            </w:r>
          </w:p>
        </w:tc>
        <w:tc>
          <w:tcPr>
            <w:tcW w:w="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7,547</w:t>
            </w:r>
          </w:p>
        </w:tc>
        <w:tc>
          <w:tcPr>
            <w:tcW w:w="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(2,151)</w:t>
            </w:r>
          </w:p>
        </w:tc>
        <w:tc>
          <w:tcPr>
            <w:tcW w:w="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5,396</w:t>
            </w: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49,722</w:t>
            </w:r>
          </w:p>
        </w:tc>
        <w:tc>
          <w:tcPr>
            <w:tcW w:w="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(14,173)</w:t>
            </w:r>
          </w:p>
        </w:tc>
        <w:tc>
          <w:tcPr>
            <w:tcW w:w="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35,549</w:t>
            </w:r>
          </w:p>
        </w:tc>
        <w:tc>
          <w:tcPr>
            <w:tcW w:w="20" w:type="dxa"/>
            <w:vAlign w:val="bottom"/>
          </w:tcPr>
          <w:p>
            <w:pPr>
              <w:spacing w:after="0"/>
              <w:rPr>
                <w:sz w:val="13"/>
                <w:szCs w:val="13"/>
                <w:color w:val="auto"/>
              </w:rPr>
            </w:pPr>
          </w:p>
        </w:tc>
      </w:tr>
      <w:tr>
        <w:trPr>
          <w:trHeight w:val="155"/>
        </w:trPr>
        <w:tc>
          <w:tcPr>
            <w:tcW w:w="4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3"/>
        </w:trPr>
        <w:tc>
          <w:tcPr>
            <w:tcW w:w="4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Unrealized gains (losses) on cash flow hedges:</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162"/>
        </w:trPr>
        <w:tc>
          <w:tcPr>
            <w:tcW w:w="4100" w:type="dxa"/>
            <w:vAlign w:val="bottom"/>
          </w:tcPr>
          <w:p>
            <w:pPr>
              <w:ind w:left="220"/>
              <w:spacing w:after="0"/>
              <w:rPr>
                <w:sz w:val="20"/>
                <w:szCs w:val="20"/>
                <w:color w:val="auto"/>
              </w:rPr>
            </w:pPr>
            <w:r>
              <w:rPr>
                <w:rFonts w:ascii="Arial" w:cs="Arial" w:eastAsia="Arial" w:hAnsi="Arial"/>
                <w:sz w:val="14"/>
                <w:szCs w:val="14"/>
                <w:color w:val="auto"/>
              </w:rPr>
              <w:t>Balance at beginning of period</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(3,055)</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871</w:t>
            </w:r>
          </w:p>
        </w:tc>
        <w:tc>
          <w:tcPr>
            <w:tcW w:w="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(2,184)</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(280)</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80</w:t>
            </w:r>
          </w:p>
        </w:tc>
        <w:tc>
          <w:tcPr>
            <w:tcW w:w="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(200)</w:t>
            </w:r>
          </w:p>
        </w:tc>
        <w:tc>
          <w:tcPr>
            <w:tcW w:w="20" w:type="dxa"/>
            <w:vAlign w:val="bottom"/>
          </w:tcPr>
          <w:p>
            <w:pPr>
              <w:spacing w:after="0"/>
              <w:rPr>
                <w:sz w:val="14"/>
                <w:szCs w:val="14"/>
                <w:color w:val="auto"/>
              </w:rPr>
            </w:pPr>
          </w:p>
        </w:tc>
      </w:tr>
      <w:tr>
        <w:trPr>
          <w:trHeight w:val="143"/>
        </w:trPr>
        <w:tc>
          <w:tcPr>
            <w:tcW w:w="4100" w:type="dxa"/>
            <w:vAlign w:val="bottom"/>
            <w:shd w:val="clear" w:color="auto" w:fill="CCEEFF"/>
          </w:tcPr>
          <w:p>
            <w:pPr>
              <w:ind w:left="440"/>
              <w:spacing w:after="0" w:line="143" w:lineRule="exact"/>
              <w:rPr>
                <w:sz w:val="20"/>
                <w:szCs w:val="20"/>
                <w:color w:val="auto"/>
              </w:rPr>
            </w:pPr>
            <w:r>
              <w:rPr>
                <w:rFonts w:ascii="Arial" w:cs="Arial" w:eastAsia="Arial" w:hAnsi="Arial"/>
                <w:sz w:val="14"/>
                <w:szCs w:val="14"/>
                <w:color w:val="auto"/>
              </w:rPr>
              <w:t>Unrealized holding gains (losses) on cash flow hedges,</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81"/>
        </w:trPr>
        <w:tc>
          <w:tcPr>
            <w:tcW w:w="4100" w:type="dxa"/>
            <w:vAlign w:val="bottom"/>
            <w:shd w:val="clear" w:color="auto" w:fill="CCEEFF"/>
          </w:tcPr>
          <w:p>
            <w:pPr>
              <w:ind w:left="440"/>
              <w:spacing w:after="0"/>
              <w:rPr>
                <w:sz w:val="20"/>
                <w:szCs w:val="20"/>
                <w:color w:val="auto"/>
              </w:rPr>
            </w:pPr>
            <w:r>
              <w:rPr>
                <w:rFonts w:ascii="Arial" w:cs="Arial" w:eastAsia="Arial" w:hAnsi="Arial"/>
                <w:sz w:val="14"/>
                <w:szCs w:val="14"/>
                <w:color w:val="auto"/>
              </w:rPr>
              <w:t>net</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574</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(164)</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(3,129)</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892</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(2,237)</w:t>
            </w:r>
          </w:p>
        </w:tc>
        <w:tc>
          <w:tcPr>
            <w:tcW w:w="20" w:type="dxa"/>
            <w:vAlign w:val="bottom"/>
          </w:tcPr>
          <w:p>
            <w:pPr>
              <w:spacing w:after="0"/>
              <w:rPr>
                <w:sz w:val="15"/>
                <w:szCs w:val="15"/>
                <w:color w:val="auto"/>
              </w:rPr>
            </w:pPr>
          </w:p>
        </w:tc>
      </w:tr>
      <w:tr>
        <w:trPr>
          <w:trHeight w:val="143"/>
        </w:trPr>
        <w:tc>
          <w:tcPr>
            <w:tcW w:w="4100" w:type="dxa"/>
            <w:vAlign w:val="bottom"/>
          </w:tcPr>
          <w:p>
            <w:pPr>
              <w:ind w:left="440"/>
              <w:spacing w:after="0" w:line="143" w:lineRule="exact"/>
              <w:rPr>
                <w:sz w:val="20"/>
                <w:szCs w:val="20"/>
                <w:color w:val="auto"/>
              </w:rPr>
            </w:pPr>
            <w:r>
              <w:rPr>
                <w:rFonts w:ascii="Arial" w:cs="Arial" w:eastAsia="Arial" w:hAnsi="Arial"/>
                <w:sz w:val="14"/>
                <w:szCs w:val="14"/>
                <w:color w:val="auto"/>
              </w:rPr>
              <w:t>Amounts reclassified from accumulated other</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81"/>
        </w:trPr>
        <w:tc>
          <w:tcPr>
            <w:tcW w:w="4100" w:type="dxa"/>
            <w:vAlign w:val="bottom"/>
          </w:tcPr>
          <w:p>
            <w:pPr>
              <w:ind w:left="440"/>
              <w:spacing w:after="0"/>
              <w:rPr>
                <w:sz w:val="20"/>
                <w:szCs w:val="20"/>
                <w:color w:val="auto"/>
              </w:rPr>
            </w:pPr>
            <w:r>
              <w:rPr>
                <w:rFonts w:ascii="Arial" w:cs="Arial" w:eastAsia="Arial" w:hAnsi="Arial"/>
                <w:sz w:val="14"/>
                <w:szCs w:val="14"/>
                <w:color w:val="auto"/>
              </w:rPr>
              <w:t>comprehensive income, net</w:t>
            </w: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278</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4"/>
                <w:szCs w:val="14"/>
                <w:color w:val="auto"/>
              </w:rPr>
              <w:t>(79)</w:t>
            </w: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199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4"/>
                <w:szCs w:val="14"/>
                <w:color w:val="auto"/>
              </w:rPr>
              <w:t>(11)</w:t>
            </w:r>
          </w:p>
        </w:tc>
      </w:tr>
      <w:tr>
        <w:trPr>
          <w:trHeight w:val="155"/>
        </w:trPr>
        <w:tc>
          <w:tcPr>
            <w:tcW w:w="4100" w:type="dxa"/>
            <w:vAlign w:val="bottom"/>
            <w:tcBorders>
              <w:top w:val="single" w:sz="8" w:color="CCEEFF"/>
            </w:tcBorders>
            <w:shd w:val="clear" w:color="auto" w:fill="CCEEFF"/>
          </w:tcPr>
          <w:p>
            <w:pPr>
              <w:ind w:left="220"/>
              <w:spacing w:after="0" w:line="155" w:lineRule="exact"/>
              <w:rPr>
                <w:sz w:val="20"/>
                <w:szCs w:val="20"/>
                <w:color w:val="auto"/>
              </w:rPr>
            </w:pPr>
            <w:r>
              <w:rPr>
                <w:rFonts w:ascii="Arial" w:cs="Arial" w:eastAsia="Arial" w:hAnsi="Arial"/>
                <w:sz w:val="14"/>
                <w:szCs w:val="14"/>
                <w:color w:val="auto"/>
              </w:rPr>
              <w:t>Balance at end of period</w:t>
            </w:r>
          </w:p>
        </w:tc>
        <w:tc>
          <w:tcPr>
            <w:tcW w:w="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(2,203)</w:t>
            </w:r>
          </w:p>
        </w:tc>
        <w:tc>
          <w:tcPr>
            <w:tcW w:w="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628</w:t>
            </w:r>
          </w:p>
        </w:tc>
        <w:tc>
          <w:tcPr>
            <w:tcW w:w="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(1,575)</w:t>
            </w: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(3,424)</w:t>
            </w:r>
          </w:p>
        </w:tc>
        <w:tc>
          <w:tcPr>
            <w:tcW w:w="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976</w:t>
            </w:r>
          </w:p>
        </w:tc>
        <w:tc>
          <w:tcPr>
            <w:tcW w:w="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(2,448)</w:t>
            </w:r>
          </w:p>
        </w:tc>
        <w:tc>
          <w:tcPr>
            <w:tcW w:w="20" w:type="dxa"/>
            <w:vAlign w:val="bottom"/>
          </w:tcPr>
          <w:p>
            <w:pPr>
              <w:spacing w:after="0"/>
              <w:rPr>
                <w:sz w:val="13"/>
                <w:szCs w:val="13"/>
                <w:color w:val="auto"/>
              </w:rPr>
            </w:pPr>
          </w:p>
        </w:tc>
      </w:tr>
      <w:tr>
        <w:trPr>
          <w:trHeight w:val="155"/>
        </w:trPr>
        <w:tc>
          <w:tcPr>
            <w:tcW w:w="4100" w:type="dxa"/>
            <w:vAlign w:val="bottom"/>
          </w:tcPr>
          <w:p>
            <w:pPr>
              <w:ind w:left="20"/>
              <w:spacing w:after="0" w:line="155" w:lineRule="exact"/>
              <w:rPr>
                <w:sz w:val="20"/>
                <w:szCs w:val="20"/>
                <w:color w:val="auto"/>
              </w:rPr>
            </w:pPr>
            <w:r>
              <w:rPr>
                <w:rFonts w:ascii="Arial" w:cs="Arial" w:eastAsia="Arial" w:hAnsi="Arial"/>
                <w:sz w:val="14"/>
                <w:szCs w:val="14"/>
                <w:color w:val="auto"/>
              </w:rPr>
              <w:t>Total accumulated other comprehensive income (loss)</w:t>
            </w:r>
          </w:p>
        </w:tc>
        <w:tc>
          <w:tcPr>
            <w:tcW w:w="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5,344</w:t>
            </w:r>
          </w:p>
        </w:tc>
        <w:tc>
          <w:tcPr>
            <w:tcW w:w="40" w:type="dxa"/>
            <w:vAlign w:val="bottom"/>
          </w:tcPr>
          <w:p>
            <w:pPr>
              <w:spacing w:after="0"/>
              <w:rPr>
                <w:sz w:val="13"/>
                <w:szCs w:val="13"/>
                <w:color w:val="auto"/>
              </w:rPr>
            </w:pPr>
          </w:p>
        </w:tc>
        <w:tc>
          <w:tcPr>
            <w:tcW w:w="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(1,523)</w:t>
            </w:r>
          </w:p>
        </w:tc>
        <w:tc>
          <w:tcPr>
            <w:tcW w:w="40" w:type="dxa"/>
            <w:vAlign w:val="bottom"/>
          </w:tcPr>
          <w:p>
            <w:pPr>
              <w:spacing w:after="0"/>
              <w:rPr>
                <w:sz w:val="13"/>
                <w:szCs w:val="13"/>
                <w:color w:val="auto"/>
              </w:rPr>
            </w:pPr>
          </w:p>
        </w:tc>
        <w:tc>
          <w:tcPr>
            <w:tcW w:w="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3,821</w:t>
            </w:r>
          </w:p>
        </w:tc>
        <w:tc>
          <w:tcPr>
            <w:tcW w:w="100" w:type="dxa"/>
            <w:vAlign w:val="bottom"/>
          </w:tcPr>
          <w:p>
            <w:pPr>
              <w:spacing w:after="0"/>
              <w:rPr>
                <w:sz w:val="13"/>
                <w:szCs w:val="13"/>
                <w:color w:val="auto"/>
              </w:rPr>
            </w:pPr>
          </w:p>
        </w:tc>
        <w:tc>
          <w:tcPr>
            <w:tcW w:w="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46,298</w:t>
            </w:r>
          </w:p>
        </w:tc>
        <w:tc>
          <w:tcPr>
            <w:tcW w:w="40" w:type="dxa"/>
            <w:vAlign w:val="bottom"/>
          </w:tcPr>
          <w:p>
            <w:pPr>
              <w:spacing w:after="0"/>
              <w:rPr>
                <w:sz w:val="13"/>
                <w:szCs w:val="13"/>
                <w:color w:val="auto"/>
              </w:rPr>
            </w:pPr>
          </w:p>
        </w:tc>
        <w:tc>
          <w:tcPr>
            <w:tcW w:w="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(13,197)</w:t>
            </w:r>
          </w:p>
        </w:tc>
        <w:tc>
          <w:tcPr>
            <w:tcW w:w="40" w:type="dxa"/>
            <w:vAlign w:val="bottom"/>
          </w:tcPr>
          <w:p>
            <w:pPr>
              <w:spacing w:after="0"/>
              <w:rPr>
                <w:sz w:val="13"/>
                <w:szCs w:val="13"/>
                <w:color w:val="auto"/>
              </w:rPr>
            </w:pPr>
          </w:p>
        </w:tc>
        <w:tc>
          <w:tcPr>
            <w:tcW w:w="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33,101</w:t>
            </w:r>
          </w:p>
        </w:tc>
        <w:tc>
          <w:tcPr>
            <w:tcW w:w="20" w:type="dxa"/>
            <w:vAlign w:val="bottom"/>
          </w:tcPr>
          <w:p>
            <w:pPr>
              <w:spacing w:after="0"/>
              <w:rPr>
                <w:sz w:val="13"/>
                <w:szCs w:val="13"/>
                <w:color w:val="auto"/>
              </w:rPr>
            </w:pPr>
          </w:p>
        </w:tc>
      </w:tr>
      <w:tr>
        <w:trPr>
          <w:trHeight w:val="20"/>
        </w:trPr>
        <w:tc>
          <w:tcPr>
            <w:tcW w:w="4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6" w:name="page37"/>
    <w:bookmarkEnd w:id="36"/>
    <w:p>
      <w:pPr>
        <w:jc w:val="center"/>
        <w:ind w:right="19"/>
        <w:spacing w:after="0"/>
        <w:rPr>
          <w:sz w:val="20"/>
          <w:szCs w:val="20"/>
          <w:color w:val="auto"/>
        </w:rPr>
      </w:pPr>
      <w:r>
        <w:rPr>
          <w:rFonts w:ascii="Arial" w:cs="Arial" w:eastAsia="Arial" w:hAnsi="Arial"/>
          <w:sz w:val="18"/>
          <w:szCs w:val="18"/>
          <w:b w:val="1"/>
          <w:bCs w:val="1"/>
          <w:color w:val="auto"/>
        </w:rPr>
        <w:t>FIRST BUSEY CORPORATION</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w:t>
      </w:r>
    </w:p>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14: Operating Segments and Related Information</w:t>
      </w:r>
    </w:p>
    <w:p>
      <w:pPr>
        <w:spacing w:after="0" w:line="202" w:lineRule="exact"/>
        <w:rPr>
          <w:sz w:val="20"/>
          <w:szCs w:val="20"/>
          <w:color w:val="auto"/>
        </w:rPr>
      </w:pPr>
    </w:p>
    <w:p>
      <w:pPr>
        <w:ind w:left="60" w:right="139"/>
        <w:spacing w:after="0" w:line="255" w:lineRule="auto"/>
        <w:rPr>
          <w:sz w:val="20"/>
          <w:szCs w:val="20"/>
          <w:color w:val="auto"/>
        </w:rPr>
      </w:pPr>
      <w:r>
        <w:rPr>
          <w:rFonts w:ascii="Arial" w:cs="Arial" w:eastAsia="Arial" w:hAnsi="Arial"/>
          <w:sz w:val="17"/>
          <w:szCs w:val="17"/>
          <w:color w:val="auto"/>
        </w:rPr>
        <w:t>The Company has three reportable operating segments: Banking, Remittance Processing, and Wealth Management. The Banking operating segment provides a full range of banking services to individual and corporate customers through its banking center network in Illinois; the St. Louis, Missouri metropolitan area; southwest Florida; and through its banking center in Indianapolis, Indiana. The Remittance Processing operating segment provides solutions for online bill payments, lockbox, and walk-in payments. The Wealth Management operating segment provides a full range of asset management, investment, and fiduciary services to individuals, businesses and foundations, tax preparation, philanthropic advisory services, farms, and brokerage services.</w:t>
      </w:r>
    </w:p>
    <w:p>
      <w:pPr>
        <w:spacing w:after="0" w:line="166" w:lineRule="exact"/>
        <w:rPr>
          <w:sz w:val="20"/>
          <w:szCs w:val="20"/>
          <w:color w:val="auto"/>
        </w:rPr>
      </w:pPr>
    </w:p>
    <w:p>
      <w:pPr>
        <w:ind w:left="60" w:right="179"/>
        <w:spacing w:after="0" w:line="248" w:lineRule="auto"/>
        <w:rPr>
          <w:sz w:val="20"/>
          <w:szCs w:val="20"/>
          <w:color w:val="auto"/>
        </w:rPr>
      </w:pPr>
      <w:r>
        <w:rPr>
          <w:rFonts w:ascii="Arial" w:cs="Arial" w:eastAsia="Arial" w:hAnsi="Arial"/>
          <w:sz w:val="18"/>
          <w:szCs w:val="18"/>
          <w:color w:val="auto"/>
        </w:rPr>
        <w:t>The Company’s three operating segments are strategic business units that are separately managed as they offer different products and services and have different marketing strategies. The “other” category consists of the Parent Company, First Busey Risk Management, and the elimination of intercompany transactions.</w:t>
      </w:r>
    </w:p>
    <w:p>
      <w:pPr>
        <w:spacing w:after="0" w:line="168" w:lineRule="exact"/>
        <w:rPr>
          <w:sz w:val="20"/>
          <w:szCs w:val="20"/>
          <w:color w:val="auto"/>
        </w:rPr>
      </w:pPr>
    </w:p>
    <w:p>
      <w:pPr>
        <w:ind w:left="60" w:right="99"/>
        <w:spacing w:after="0" w:line="284" w:lineRule="auto"/>
        <w:rPr>
          <w:sz w:val="20"/>
          <w:szCs w:val="20"/>
          <w:color w:val="auto"/>
        </w:rPr>
      </w:pPr>
      <w:r>
        <w:rPr>
          <w:rFonts w:ascii="Arial" w:cs="Arial" w:eastAsia="Arial" w:hAnsi="Arial"/>
          <w:sz w:val="16"/>
          <w:szCs w:val="16"/>
          <w:color w:val="auto"/>
        </w:rPr>
        <w:t>The segment financial information provided below has been derived from information used by management to monitor and manage the financial performance of the Company. The accounting policies of the three segments are the same as those described in the summary of significant accounting policies in “</w:t>
      </w:r>
      <w:r>
        <w:rPr>
          <w:rFonts w:ascii="Arial" w:cs="Arial" w:eastAsia="Arial" w:hAnsi="Arial"/>
          <w:sz w:val="16"/>
          <w:szCs w:val="16"/>
          <w:i w:val="1"/>
          <w:iCs w:val="1"/>
          <w:color w:val="auto"/>
        </w:rPr>
        <w:t>Note 1. Significant Accounting Policies</w:t>
      </w:r>
      <w:r>
        <w:rPr>
          <w:rFonts w:ascii="Arial" w:cs="Arial" w:eastAsia="Arial" w:hAnsi="Arial"/>
          <w:sz w:val="16"/>
          <w:szCs w:val="16"/>
          <w:color w:val="auto"/>
        </w:rPr>
        <w:t>” to the Company’s 2020 Annual Report. The Company accounts for intersegment revenue and transfers at current market value.</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7"/>
          <w:szCs w:val="17"/>
          <w:color w:val="auto"/>
        </w:rPr>
        <w:t xml:space="preserve">Following is a summary of selected financial information for the Company’s operating segments </w:t>
      </w:r>
      <w:r>
        <w:rPr>
          <w:rFonts w:ascii="Arial" w:cs="Arial" w:eastAsia="Arial" w:hAnsi="Arial"/>
          <w:sz w:val="17"/>
          <w:szCs w:val="17"/>
          <w:i w:val="1"/>
          <w:iCs w:val="1"/>
          <w:color w:val="auto"/>
        </w:rPr>
        <w:t>(dollars in thousands)</w:t>
      </w:r>
      <w:r>
        <w:rPr>
          <w:rFonts w:ascii="Arial" w:cs="Arial" w:eastAsia="Arial" w:hAnsi="Arial"/>
          <w:sz w:val="17"/>
          <w:szCs w:val="17"/>
          <w:color w:val="auto"/>
        </w:rPr>
        <w:t>:</w:t>
      </w:r>
    </w:p>
    <w:p>
      <w:pPr>
        <w:spacing w:after="0" w:line="215"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8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4"/>
              </w:rPr>
              <w:t>Goodwill</w:t>
            </w:r>
          </w:p>
        </w:tc>
        <w:tc>
          <w:tcPr>
            <w:tcW w:w="160" w:type="dxa"/>
            <w:vAlign w:val="bottom"/>
          </w:tcPr>
          <w:p>
            <w:pPr>
              <w:spacing w:after="0"/>
              <w:rPr>
                <w:sz w:val="16"/>
                <w:szCs w:val="16"/>
                <w:color w:val="auto"/>
              </w:rPr>
            </w:pPr>
          </w:p>
        </w:tc>
        <w:tc>
          <w:tcPr>
            <w:tcW w:w="2180" w:type="dxa"/>
            <w:vAlign w:val="bottom"/>
            <w:tcBorders>
              <w:bottom w:val="single" w:sz="8" w:color="auto"/>
            </w:tcBorders>
            <w:gridSpan w:val="3"/>
          </w:tcPr>
          <w:p>
            <w:pPr>
              <w:jc w:val="right"/>
              <w:ind w:right="656"/>
              <w:spacing w:after="0"/>
              <w:rPr>
                <w:sz w:val="20"/>
                <w:szCs w:val="20"/>
                <w:color w:val="auto"/>
              </w:rPr>
            </w:pPr>
            <w:r>
              <w:rPr>
                <w:rFonts w:ascii="Arial" w:cs="Arial" w:eastAsia="Arial" w:hAnsi="Arial"/>
                <w:sz w:val="14"/>
                <w:szCs w:val="14"/>
                <w:b w:val="1"/>
                <w:bCs w:val="1"/>
                <w:color w:val="auto"/>
              </w:rPr>
              <w:t>Total Assets</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gridSpan w:val="3"/>
          </w:tcPr>
          <w:p>
            <w:pPr>
              <w:jc w:val="center"/>
              <w:spacing w:after="0" w:line="155" w:lineRule="exact"/>
              <w:rPr>
                <w:sz w:val="20"/>
                <w:szCs w:val="20"/>
                <w:color w:val="auto"/>
              </w:rPr>
            </w:pPr>
            <w:r>
              <w:rPr>
                <w:rFonts w:ascii="Arial" w:cs="Arial" w:eastAsia="Arial" w:hAnsi="Arial"/>
                <w:sz w:val="14"/>
                <w:szCs w:val="14"/>
                <w:b w:val="1"/>
                <w:bCs w:val="1"/>
                <w:color w:val="auto"/>
                <w:w w:val="91"/>
              </w:rPr>
              <w:t>As of</w:t>
            </w:r>
          </w:p>
        </w:tc>
        <w:tc>
          <w:tcPr>
            <w:tcW w:w="7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180" w:type="dxa"/>
            <w:vAlign w:val="bottom"/>
            <w:tcBorders>
              <w:bottom w:val="single" w:sz="8" w:color="auto"/>
            </w:tcBorders>
            <w:gridSpan w:val="3"/>
          </w:tcPr>
          <w:p>
            <w:pPr>
              <w:jc w:val="right"/>
              <w:ind w:right="856"/>
              <w:spacing w:after="0" w:line="155" w:lineRule="exact"/>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720" w:type="dxa"/>
            <w:vAlign w:val="bottom"/>
          </w:tcPr>
          <w:p>
            <w:pPr>
              <w:jc w:val="right"/>
              <w:spacing w:after="0" w:line="133" w:lineRule="exact"/>
              <w:rPr>
                <w:sz w:val="20"/>
                <w:szCs w:val="20"/>
                <w:color w:val="auto"/>
              </w:rPr>
            </w:pPr>
            <w:r>
              <w:rPr>
                <w:rFonts w:ascii="Arial" w:cs="Arial" w:eastAsia="Arial" w:hAnsi="Arial"/>
                <w:sz w:val="14"/>
                <w:szCs w:val="14"/>
                <w:b w:val="1"/>
                <w:bCs w:val="1"/>
                <w:color w:val="auto"/>
              </w:rPr>
              <w:t>March 31,</w:t>
            </w:r>
          </w:p>
        </w:tc>
        <w:tc>
          <w:tcPr>
            <w:tcW w:w="60" w:type="dxa"/>
            <w:vAlign w:val="bottom"/>
          </w:tcPr>
          <w:p>
            <w:pPr>
              <w:spacing w:after="0"/>
              <w:rPr>
                <w:sz w:val="11"/>
                <w:szCs w:val="11"/>
                <w:color w:val="auto"/>
              </w:rPr>
            </w:pPr>
          </w:p>
        </w:tc>
        <w:tc>
          <w:tcPr>
            <w:tcW w:w="1020" w:type="dxa"/>
            <w:vAlign w:val="bottom"/>
            <w:gridSpan w:val="3"/>
          </w:tcPr>
          <w:p>
            <w:pPr>
              <w:ind w:left="140"/>
              <w:spacing w:after="0" w:line="133" w:lineRule="exact"/>
              <w:rPr>
                <w:sz w:val="20"/>
                <w:szCs w:val="20"/>
                <w:color w:val="auto"/>
              </w:rPr>
            </w:pPr>
            <w:r>
              <w:rPr>
                <w:rFonts w:ascii="Arial" w:cs="Arial" w:eastAsia="Arial" w:hAnsi="Arial"/>
                <w:sz w:val="14"/>
                <w:szCs w:val="14"/>
                <w:b w:val="1"/>
                <w:bCs w:val="1"/>
                <w:color w:val="auto"/>
                <w:w w:val="94"/>
              </w:rPr>
              <w:t>December 31,</w:t>
            </w:r>
          </w:p>
        </w:tc>
        <w:tc>
          <w:tcPr>
            <w:tcW w:w="160" w:type="dxa"/>
            <w:vAlign w:val="bottom"/>
          </w:tcPr>
          <w:p>
            <w:pPr>
              <w:spacing w:after="0"/>
              <w:rPr>
                <w:sz w:val="11"/>
                <w:szCs w:val="11"/>
                <w:color w:val="auto"/>
              </w:rPr>
            </w:pPr>
          </w:p>
        </w:tc>
        <w:tc>
          <w:tcPr>
            <w:tcW w:w="1000" w:type="dxa"/>
            <w:vAlign w:val="bottom"/>
          </w:tcPr>
          <w:p>
            <w:pPr>
              <w:jc w:val="right"/>
              <w:ind w:right="141"/>
              <w:spacing w:after="0" w:line="133" w:lineRule="exact"/>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1"/>
                <w:szCs w:val="11"/>
                <w:color w:val="auto"/>
              </w:rPr>
            </w:pPr>
          </w:p>
        </w:tc>
        <w:tc>
          <w:tcPr>
            <w:tcW w:w="1020" w:type="dxa"/>
            <w:vAlign w:val="bottom"/>
          </w:tcPr>
          <w:p>
            <w:pPr>
              <w:jc w:val="right"/>
              <w:ind w:right="36"/>
              <w:spacing w:after="0" w:line="133" w:lineRule="exact"/>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2480" w:type="dxa"/>
            <w:vAlign w:val="bottom"/>
            <w:gridSpan w:val="2"/>
          </w:tcPr>
          <w:p>
            <w:pPr>
              <w:jc w:val="right"/>
              <w:ind w:right="117"/>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ind w:right="213"/>
              <w:spacing w:after="0"/>
              <w:rPr>
                <w:sz w:val="20"/>
                <w:szCs w:val="20"/>
                <w:color w:val="auto"/>
              </w:rPr>
            </w:pPr>
            <w:r>
              <w:rPr>
                <w:rFonts w:ascii="Arial" w:cs="Arial" w:eastAsia="Arial" w:hAnsi="Arial"/>
                <w:sz w:val="14"/>
                <w:szCs w:val="14"/>
                <w:b w:val="1"/>
                <w:bCs w:val="1"/>
                <w:color w:val="auto"/>
              </w:rPr>
              <w:t>2020</w:t>
            </w:r>
          </w:p>
        </w:tc>
        <w:tc>
          <w:tcPr>
            <w:tcW w:w="1160" w:type="dxa"/>
            <w:vAlign w:val="bottom"/>
            <w:gridSpan w:val="2"/>
          </w:tcPr>
          <w:p>
            <w:pPr>
              <w:jc w:val="right"/>
              <w:ind w:right="281"/>
              <w:spacing w:after="0"/>
              <w:rPr>
                <w:sz w:val="20"/>
                <w:szCs w:val="20"/>
                <w:color w:val="auto"/>
              </w:rPr>
            </w:pPr>
            <w:r>
              <w:rPr>
                <w:rFonts w:ascii="Arial" w:cs="Arial" w:eastAsia="Arial" w:hAnsi="Arial"/>
                <w:sz w:val="14"/>
                <w:szCs w:val="14"/>
                <w:b w:val="1"/>
                <w:bCs w:val="1"/>
                <w:color w:val="auto"/>
              </w:rPr>
              <w:t>2021</w:t>
            </w:r>
          </w:p>
        </w:tc>
        <w:tc>
          <w:tcPr>
            <w:tcW w:w="1180" w:type="dxa"/>
            <w:vAlign w:val="bottom"/>
            <w:gridSpan w:val="2"/>
          </w:tcPr>
          <w:p>
            <w:pPr>
              <w:jc w:val="right"/>
              <w:ind w:right="296"/>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Banking</w:t>
            </w:r>
          </w:p>
        </w:tc>
        <w:tc>
          <w:tcPr>
            <w:tcW w:w="17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$ 288,436</w:t>
            </w:r>
          </w:p>
        </w:tc>
        <w:tc>
          <w:tcPr>
            <w:tcW w:w="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5"/>
              </w:rPr>
              <w:t>288,436</w:t>
            </w:r>
          </w:p>
        </w:tc>
        <w:tc>
          <w:tcPr>
            <w:tcW w:w="16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$ 10,674,402</w:t>
            </w:r>
          </w:p>
        </w:tc>
        <w:tc>
          <w:tcPr>
            <w:tcW w:w="16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9"/>
              </w:rPr>
              <w:t>$ 10,462,673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00" w:type="dxa"/>
            <w:vAlign w:val="bottom"/>
          </w:tcPr>
          <w:p>
            <w:pPr>
              <w:spacing w:after="0" w:line="202" w:lineRule="exact"/>
              <w:rPr>
                <w:sz w:val="20"/>
                <w:szCs w:val="20"/>
                <w:color w:val="auto"/>
              </w:rPr>
            </w:pPr>
            <w:r>
              <w:rPr>
                <w:rFonts w:ascii="Arial" w:cs="Arial" w:eastAsia="Arial" w:hAnsi="Arial"/>
                <w:sz w:val="18"/>
                <w:szCs w:val="18"/>
                <w:color w:val="auto"/>
              </w:rPr>
              <w:t>Remittance Processing</w:t>
            </w:r>
          </w:p>
        </w:tc>
        <w:tc>
          <w:tcPr>
            <w:tcW w:w="24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8,992</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8,992</w:t>
            </w:r>
          </w:p>
        </w:tc>
        <w:tc>
          <w:tcPr>
            <w:tcW w:w="1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46,765</w:t>
            </w:r>
          </w:p>
        </w:tc>
        <w:tc>
          <w:tcPr>
            <w:tcW w:w="11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46,553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Wealth Management</w:t>
            </w:r>
          </w:p>
        </w:tc>
        <w:tc>
          <w:tcPr>
            <w:tcW w:w="24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14,108</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14,108</w:t>
            </w:r>
          </w:p>
        </w:tc>
        <w:tc>
          <w:tcPr>
            <w:tcW w:w="1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50,392</w:t>
            </w:r>
          </w:p>
        </w:tc>
        <w:tc>
          <w:tcPr>
            <w:tcW w:w="11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46,504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0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176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(11,996)</w:t>
            </w:r>
          </w:p>
        </w:tc>
        <w:tc>
          <w:tcPr>
            <w:tcW w:w="11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(11,683)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00" w:type="dxa"/>
            <w:vAlign w:val="bottom"/>
            <w:tcBorders>
              <w:top w:val="single" w:sz="8" w:color="CCEEFF"/>
              <w:bottom w:val="single" w:sz="8" w:color="CCEEFF"/>
            </w:tcBorders>
            <w:shd w:val="clear" w:color="auto" w:fill="CCEEFF"/>
          </w:tcPr>
          <w:p>
            <w:pPr>
              <w:ind w:left="220"/>
              <w:spacing w:after="0" w:line="196" w:lineRule="exact"/>
              <w:rPr>
                <w:sz w:val="20"/>
                <w:szCs w:val="20"/>
                <w:color w:val="auto"/>
              </w:rPr>
            </w:pPr>
            <w:r>
              <w:rPr>
                <w:rFonts w:ascii="Arial" w:cs="Arial" w:eastAsia="Arial" w:hAnsi="Arial"/>
                <w:sz w:val="18"/>
                <w:szCs w:val="18"/>
                <w:color w:val="auto"/>
              </w:rPr>
              <w:t>Totals</w:t>
            </w:r>
          </w:p>
        </w:tc>
        <w:tc>
          <w:tcPr>
            <w:tcW w:w="1760" w:type="dxa"/>
            <w:vAlign w:val="bottom"/>
            <w:tcBorders>
              <w:top w:val="single" w:sz="8" w:color="CCEEFF"/>
              <w:bottom w:val="single" w:sz="8" w:color="CCEEFF"/>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$ 311,536</w:t>
            </w:r>
          </w:p>
        </w:tc>
        <w:tc>
          <w:tcPr>
            <w:tcW w:w="60" w:type="dxa"/>
            <w:vAlign w:val="bottom"/>
            <w:tcBorders>
              <w:top w:val="single" w:sz="8" w:color="auto"/>
              <w:bottom w:val="single" w:sz="8" w:color="auto"/>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5"/>
              </w:rPr>
              <w:t>311,536</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$ 10,759,563</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9"/>
              </w:rPr>
              <w:t>$ 10,544,047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760" w:type="dxa"/>
            <w:vAlign w:val="bottom"/>
            <w:vMerge w:val="restart"/>
          </w:tcPr>
          <w:p>
            <w:pPr>
              <w:jc w:val="right"/>
              <w:ind w:right="135"/>
              <w:spacing w:after="0"/>
              <w:rPr>
                <w:sz w:val="20"/>
                <w:szCs w:val="20"/>
                <w:color w:val="auto"/>
              </w:rPr>
            </w:pPr>
            <w:r>
              <w:rPr>
                <w:rFonts w:ascii="Arial" w:cs="Arial" w:eastAsia="Arial" w:hAnsi="Arial"/>
                <w:sz w:val="18"/>
                <w:szCs w:val="18"/>
                <w:color w:val="auto"/>
              </w:rPr>
              <w:t>37</w:t>
            </w: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76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37" w:name="page38"/>
    <w:bookmarkEnd w:id="37"/>
    <w:p>
      <w:pPr>
        <w:jc w:val="center"/>
        <w:ind w:right="19"/>
        <w:spacing w:after="0"/>
        <w:rPr>
          <w:sz w:val="20"/>
          <w:szCs w:val="20"/>
          <w:color w:val="auto"/>
        </w:rPr>
      </w:pPr>
      <w:r>
        <w:rPr>
          <w:rFonts w:ascii="Arial" w:cs="Arial" w:eastAsia="Arial" w:hAnsi="Arial"/>
          <w:sz w:val="18"/>
          <w:szCs w:val="18"/>
          <w:b w:val="1"/>
          <w:bCs w:val="1"/>
          <w:color w:val="auto"/>
        </w:rPr>
        <w:t>FIRST BUSEY CORPORATION</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w:t>
      </w:r>
    </w:p>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20"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20" w:type="dxa"/>
            <w:vAlign w:val="bottom"/>
            <w:gridSpan w:val="6"/>
          </w:tcPr>
          <w:p>
            <w:pPr>
              <w:ind w:left="4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80" w:type="dxa"/>
            <w:vAlign w:val="bottom"/>
            <w:tcBorders>
              <w:bottom w:val="single" w:sz="8" w:color="CCEEFF"/>
            </w:tcBorders>
          </w:tcPr>
          <w:p>
            <w:pPr>
              <w:spacing w:after="0"/>
              <w:rPr>
                <w:sz w:val="13"/>
                <w:szCs w:val="13"/>
                <w:color w:val="auto"/>
              </w:rPr>
            </w:pPr>
          </w:p>
        </w:tc>
        <w:tc>
          <w:tcPr>
            <w:tcW w:w="58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500" w:type="dxa"/>
            <w:vAlign w:val="bottom"/>
            <w:tcBorders>
              <w:bottom w:val="single" w:sz="8" w:color="CCEEFF"/>
            </w:tcBorders>
          </w:tcPr>
          <w:p>
            <w:pPr>
              <w:spacing w:after="0"/>
              <w:rPr>
                <w:sz w:val="13"/>
                <w:szCs w:val="13"/>
                <w:color w:val="auto"/>
              </w:rPr>
            </w:pPr>
          </w:p>
        </w:tc>
        <w:tc>
          <w:tcPr>
            <w:tcW w:w="1480" w:type="dxa"/>
            <w:vAlign w:val="bottom"/>
            <w:tcBorders>
              <w:bottom w:val="single" w:sz="8" w:color="CCEEFF"/>
            </w:tcBorders>
          </w:tcPr>
          <w:p>
            <w:pPr>
              <w:spacing w:after="0"/>
              <w:rPr>
                <w:sz w:val="13"/>
                <w:szCs w:val="13"/>
                <w:color w:val="auto"/>
              </w:rPr>
            </w:pPr>
          </w:p>
        </w:tc>
        <w:tc>
          <w:tcPr>
            <w:tcW w:w="300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291"/>
              <w:spacing w:after="0" w:line="155" w:lineRule="exact"/>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3"/>
                <w:szCs w:val="13"/>
                <w:color w:val="auto"/>
              </w:rPr>
            </w:pPr>
          </w:p>
        </w:tc>
        <w:tc>
          <w:tcPr>
            <w:tcW w:w="80" w:type="dxa"/>
            <w:vAlign w:val="bottom"/>
            <w:tcBorders>
              <w:top w:val="single" w:sz="8" w:color="auto"/>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11"/>
              <w:spacing w:after="0" w:line="155" w:lineRule="exact"/>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560" w:type="dxa"/>
            <w:vAlign w:val="bottom"/>
            <w:gridSpan w:val="6"/>
            <w:shd w:val="clear" w:color="auto" w:fill="CCEEFF"/>
          </w:tcPr>
          <w:p>
            <w:pPr>
              <w:spacing w:after="0" w:line="169" w:lineRule="exact"/>
              <w:rPr>
                <w:sz w:val="20"/>
                <w:szCs w:val="20"/>
                <w:color w:val="auto"/>
              </w:rPr>
            </w:pPr>
            <w:r>
              <w:rPr>
                <w:rFonts w:ascii="Arial" w:cs="Arial" w:eastAsia="Arial" w:hAnsi="Arial"/>
                <w:sz w:val="18"/>
                <w:szCs w:val="18"/>
                <w:color w:val="auto"/>
              </w:rPr>
              <w:t>Net interest income:</w:t>
            </w:r>
          </w:p>
        </w:tc>
        <w:tc>
          <w:tcPr>
            <w:tcW w:w="3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60" w:type="dxa"/>
            <w:vAlign w:val="bottom"/>
            <w:tcBorders>
              <w:top w:val="single" w:sz="8" w:color="auto"/>
            </w:tcBorders>
            <w:gridSpan w:val="2"/>
          </w:tcPr>
          <w:p>
            <w:pPr>
              <w:ind w:left="120"/>
              <w:spacing w:after="0" w:line="202" w:lineRule="exact"/>
              <w:rPr>
                <w:sz w:val="20"/>
                <w:szCs w:val="20"/>
                <w:color w:val="auto"/>
              </w:rPr>
            </w:pPr>
            <w:r>
              <w:rPr>
                <w:rFonts w:ascii="Arial" w:cs="Arial" w:eastAsia="Arial" w:hAnsi="Arial"/>
                <w:sz w:val="18"/>
                <w:szCs w:val="18"/>
                <w:color w:val="auto"/>
              </w:rPr>
              <w:t>Banking</w:t>
            </w:r>
          </w:p>
        </w:tc>
        <w:tc>
          <w:tcPr>
            <w:tcW w:w="2100" w:type="dxa"/>
            <w:vAlign w:val="bottom"/>
            <w:tcBorders>
              <w:top w:val="single" w:sz="8" w:color="CCEEFF"/>
            </w:tcBorders>
            <w:gridSpan w:val="4"/>
          </w:tcPr>
          <w:p>
            <w:pPr>
              <w:spacing w:after="0"/>
              <w:rPr>
                <w:sz w:val="17"/>
                <w:szCs w:val="17"/>
                <w:color w:val="auto"/>
              </w:rPr>
            </w:pPr>
          </w:p>
        </w:tc>
        <w:tc>
          <w:tcPr>
            <w:tcW w:w="3120" w:type="dxa"/>
            <w:vAlign w:val="bottom"/>
            <w:tcBorders>
              <w:top w:val="single" w:sz="8" w:color="CCEEFF"/>
            </w:tcBorders>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Borders>
              <w:top w:val="single" w:sz="8" w:color="CCEEFF"/>
            </w:tcBorders>
          </w:tcPr>
          <w:p>
            <w:pPr>
              <w:jc w:val="right"/>
              <w:spacing w:after="0" w:line="202" w:lineRule="exact"/>
              <w:rPr>
                <w:sz w:val="20"/>
                <w:szCs w:val="20"/>
                <w:color w:val="auto"/>
              </w:rPr>
            </w:pPr>
            <w:r>
              <w:rPr>
                <w:rFonts w:ascii="Arial" w:cs="Arial" w:eastAsia="Arial" w:hAnsi="Arial"/>
                <w:sz w:val="18"/>
                <w:szCs w:val="18"/>
                <w:color w:val="auto"/>
              </w:rPr>
              <w:t>68,455</w:t>
            </w:r>
          </w:p>
        </w:tc>
        <w:tc>
          <w:tcPr>
            <w:tcW w:w="10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840" w:type="dxa"/>
            <w:vAlign w:val="bottom"/>
            <w:tcBorders>
              <w:top w:val="single" w:sz="8" w:color="CCEEFF"/>
            </w:tcBorders>
          </w:tcPr>
          <w:p>
            <w:pPr>
              <w:jc w:val="right"/>
              <w:spacing w:after="0" w:line="202" w:lineRule="exact"/>
              <w:rPr>
                <w:sz w:val="20"/>
                <w:szCs w:val="20"/>
                <w:color w:val="auto"/>
              </w:rPr>
            </w:pPr>
            <w:r>
              <w:rPr>
                <w:rFonts w:ascii="Arial" w:cs="Arial" w:eastAsia="Arial" w:hAnsi="Arial"/>
                <w:sz w:val="18"/>
                <w:szCs w:val="18"/>
                <w:color w:val="auto"/>
              </w:rPr>
              <w:t>71,573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gridSpan w:val="6"/>
            <w:shd w:val="clear" w:color="auto" w:fill="CCEEFF"/>
          </w:tcPr>
          <w:p>
            <w:pPr>
              <w:ind w:left="120"/>
              <w:spacing w:after="0" w:line="202" w:lineRule="exact"/>
              <w:rPr>
                <w:sz w:val="20"/>
                <w:szCs w:val="20"/>
                <w:color w:val="auto"/>
              </w:rPr>
            </w:pPr>
            <w:r>
              <w:rPr>
                <w:rFonts w:ascii="Arial" w:cs="Arial" w:eastAsia="Arial" w:hAnsi="Arial"/>
                <w:sz w:val="18"/>
                <w:szCs w:val="18"/>
                <w:color w:val="auto"/>
              </w:rPr>
              <w:t>Remittance Processing</w:t>
            </w:r>
          </w:p>
        </w:tc>
        <w:tc>
          <w:tcPr>
            <w:tcW w:w="3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gridSpan w:val="6"/>
          </w:tcPr>
          <w:p>
            <w:pPr>
              <w:ind w:left="120"/>
              <w:spacing w:after="0" w:line="202" w:lineRule="exact"/>
              <w:rPr>
                <w:sz w:val="20"/>
                <w:szCs w:val="20"/>
                <w:color w:val="auto"/>
              </w:rPr>
            </w:pPr>
            <w:r>
              <w:rPr>
                <w:rFonts w:ascii="Arial" w:cs="Arial" w:eastAsia="Arial" w:hAnsi="Arial"/>
                <w:sz w:val="18"/>
                <w:szCs w:val="18"/>
                <w:color w:val="auto"/>
              </w:rPr>
              <w:t>Wealth Management</w:t>
            </w:r>
          </w:p>
        </w:tc>
        <w:tc>
          <w:tcPr>
            <w:tcW w:w="3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gridSpan w:val="6"/>
            <w:shd w:val="clear" w:color="auto" w:fill="CCEEFF"/>
          </w:tcPr>
          <w:p>
            <w:pPr>
              <w:ind w:left="120"/>
              <w:spacing w:after="0" w:line="202" w:lineRule="exact"/>
              <w:rPr>
                <w:sz w:val="20"/>
                <w:szCs w:val="20"/>
                <w:color w:val="auto"/>
              </w:rPr>
            </w:pPr>
            <w:r>
              <w:rPr>
                <w:rFonts w:ascii="Arial" w:cs="Arial" w:eastAsia="Arial" w:hAnsi="Arial"/>
                <w:sz w:val="18"/>
                <w:szCs w:val="18"/>
                <w:color w:val="auto"/>
              </w:rPr>
              <w:t>Other</w:t>
            </w:r>
          </w:p>
        </w:tc>
        <w:tc>
          <w:tcPr>
            <w:tcW w:w="3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(3,582)</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(2,159)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560" w:type="dxa"/>
            <w:vAlign w:val="bottom"/>
            <w:tcBorders>
              <w:bottom w:val="single" w:sz="8" w:color="CCEEFF"/>
            </w:tcBorders>
            <w:gridSpan w:val="6"/>
          </w:tcPr>
          <w:p>
            <w:pPr>
              <w:ind w:left="320"/>
              <w:spacing w:after="0" w:line="196" w:lineRule="exact"/>
              <w:rPr>
                <w:sz w:val="20"/>
                <w:szCs w:val="20"/>
                <w:color w:val="auto"/>
              </w:rPr>
            </w:pPr>
            <w:r>
              <w:rPr>
                <w:rFonts w:ascii="Arial" w:cs="Arial" w:eastAsia="Arial" w:hAnsi="Arial"/>
                <w:sz w:val="18"/>
                <w:szCs w:val="18"/>
                <w:color w:val="auto"/>
              </w:rPr>
              <w:t>Total net interest income</w:t>
            </w:r>
          </w:p>
        </w:tc>
        <w:tc>
          <w:tcPr>
            <w:tcW w:w="300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64,893</w:t>
            </w:r>
          </w:p>
        </w:tc>
        <w:tc>
          <w:tcPr>
            <w:tcW w:w="10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69,433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3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3560" w:type="dxa"/>
            <w:vAlign w:val="bottom"/>
            <w:gridSpan w:val="6"/>
          </w:tcPr>
          <w:p>
            <w:pPr>
              <w:spacing w:after="0" w:line="176" w:lineRule="exact"/>
              <w:rPr>
                <w:sz w:val="20"/>
                <w:szCs w:val="20"/>
                <w:color w:val="auto"/>
              </w:rPr>
            </w:pPr>
            <w:r>
              <w:rPr>
                <w:rFonts w:ascii="Arial" w:cs="Arial" w:eastAsia="Arial" w:hAnsi="Arial"/>
                <w:sz w:val="18"/>
                <w:szCs w:val="18"/>
                <w:color w:val="auto"/>
              </w:rPr>
              <w:t>Non-interest income:</w:t>
            </w:r>
          </w:p>
        </w:tc>
        <w:tc>
          <w:tcPr>
            <w:tcW w:w="3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20" w:type="dxa"/>
            <w:vAlign w:val="bottom"/>
            <w:tcBorders>
              <w:top w:val="single" w:sz="8" w:color="auto"/>
            </w:tcBorders>
            <w:gridSpan w:val="3"/>
            <w:shd w:val="clear" w:color="auto" w:fill="CCEEFF"/>
          </w:tcPr>
          <w:p>
            <w:pPr>
              <w:ind w:left="120"/>
              <w:spacing w:after="0" w:line="202" w:lineRule="exact"/>
              <w:rPr>
                <w:sz w:val="20"/>
                <w:szCs w:val="20"/>
                <w:color w:val="auto"/>
              </w:rPr>
            </w:pPr>
            <w:r>
              <w:rPr>
                <w:rFonts w:ascii="Arial" w:cs="Arial" w:eastAsia="Arial" w:hAnsi="Arial"/>
                <w:sz w:val="18"/>
                <w:szCs w:val="18"/>
                <w:color w:val="auto"/>
              </w:rPr>
              <w:t>Banking</w:t>
            </w:r>
          </w:p>
        </w:tc>
        <w:tc>
          <w:tcPr>
            <w:tcW w:w="2040" w:type="dxa"/>
            <w:vAlign w:val="bottom"/>
            <w:gridSpan w:val="3"/>
            <w:shd w:val="clear" w:color="auto" w:fill="CCEEFF"/>
          </w:tcPr>
          <w:p>
            <w:pPr>
              <w:spacing w:after="0"/>
              <w:rPr>
                <w:sz w:val="17"/>
                <w:szCs w:val="17"/>
                <w:color w:val="auto"/>
              </w:rPr>
            </w:pPr>
          </w:p>
        </w:tc>
        <w:tc>
          <w:tcPr>
            <w:tcW w:w="31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12,884</w:t>
            </w:r>
          </w:p>
        </w:tc>
        <w:tc>
          <w:tcPr>
            <w:tcW w:w="10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13,168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gridSpan w:val="6"/>
          </w:tcPr>
          <w:p>
            <w:pPr>
              <w:ind w:left="120"/>
              <w:spacing w:after="0" w:line="202" w:lineRule="exact"/>
              <w:rPr>
                <w:sz w:val="20"/>
                <w:szCs w:val="20"/>
                <w:color w:val="auto"/>
              </w:rPr>
            </w:pPr>
            <w:r>
              <w:rPr>
                <w:rFonts w:ascii="Arial" w:cs="Arial" w:eastAsia="Arial" w:hAnsi="Arial"/>
                <w:sz w:val="18"/>
                <w:szCs w:val="18"/>
                <w:color w:val="auto"/>
              </w:rPr>
              <w:t>Remittance Processing</w:t>
            </w:r>
          </w:p>
        </w:tc>
        <w:tc>
          <w:tcPr>
            <w:tcW w:w="3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4,861</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4,069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gridSpan w:val="6"/>
            <w:shd w:val="clear" w:color="auto" w:fill="CCEEFF"/>
          </w:tcPr>
          <w:p>
            <w:pPr>
              <w:ind w:left="120"/>
              <w:spacing w:after="0" w:line="202" w:lineRule="exact"/>
              <w:rPr>
                <w:sz w:val="20"/>
                <w:szCs w:val="20"/>
                <w:color w:val="auto"/>
              </w:rPr>
            </w:pPr>
            <w:r>
              <w:rPr>
                <w:rFonts w:ascii="Arial" w:cs="Arial" w:eastAsia="Arial" w:hAnsi="Arial"/>
                <w:sz w:val="18"/>
                <w:szCs w:val="18"/>
                <w:color w:val="auto"/>
              </w:rPr>
              <w:t>Wealth Management</w:t>
            </w:r>
          </w:p>
        </w:tc>
        <w:tc>
          <w:tcPr>
            <w:tcW w:w="3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12,587</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11,709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tcBorders>
              <w:bottom w:val="single" w:sz="8" w:color="CCEEFF"/>
            </w:tcBorders>
            <w:gridSpan w:val="6"/>
          </w:tcPr>
          <w:p>
            <w:pPr>
              <w:ind w:left="120"/>
              <w:spacing w:after="0" w:line="202" w:lineRule="exact"/>
              <w:rPr>
                <w:sz w:val="20"/>
                <w:szCs w:val="20"/>
                <w:color w:val="auto"/>
              </w:rPr>
            </w:pPr>
            <w:r>
              <w:rPr>
                <w:rFonts w:ascii="Arial" w:cs="Arial" w:eastAsia="Arial" w:hAnsi="Arial"/>
                <w:sz w:val="18"/>
                <w:szCs w:val="18"/>
                <w:color w:val="auto"/>
              </w:rPr>
              <w:t>Other</w:t>
            </w:r>
          </w:p>
        </w:tc>
        <w:tc>
          <w:tcPr>
            <w:tcW w:w="30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1,113</w:t>
            </w: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(1,429)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60" w:type="dxa"/>
            <w:vAlign w:val="bottom"/>
            <w:tcBorders>
              <w:bottom w:val="single" w:sz="8" w:color="CCEEFF"/>
            </w:tcBorders>
            <w:gridSpan w:val="6"/>
            <w:shd w:val="clear" w:color="auto" w:fill="CCEEFF"/>
          </w:tcPr>
          <w:p>
            <w:pPr>
              <w:ind w:left="320"/>
              <w:spacing w:after="0" w:line="196" w:lineRule="exact"/>
              <w:rPr>
                <w:sz w:val="20"/>
                <w:szCs w:val="20"/>
                <w:color w:val="auto"/>
              </w:rPr>
            </w:pPr>
            <w:r>
              <w:rPr>
                <w:rFonts w:ascii="Arial" w:cs="Arial" w:eastAsia="Arial" w:hAnsi="Arial"/>
                <w:sz w:val="18"/>
                <w:szCs w:val="18"/>
                <w:color w:val="auto"/>
              </w:rPr>
              <w:t>Total non-interest income</w:t>
            </w:r>
          </w:p>
        </w:tc>
        <w:tc>
          <w:tcPr>
            <w:tcW w:w="30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31,445</w:t>
            </w: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27,517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8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1580" w:type="dxa"/>
            <w:vAlign w:val="bottom"/>
            <w:tcBorders>
              <w:bottom w:val="single" w:sz="8" w:color="auto"/>
            </w:tcBorders>
            <w:gridSpan w:val="4"/>
            <w:shd w:val="clear" w:color="auto" w:fill="CCEEFF"/>
          </w:tcPr>
          <w:p>
            <w:pPr>
              <w:spacing w:after="0" w:line="176" w:lineRule="exact"/>
              <w:rPr>
                <w:sz w:val="20"/>
                <w:szCs w:val="20"/>
                <w:color w:val="auto"/>
              </w:rPr>
            </w:pPr>
            <w:r>
              <w:rPr>
                <w:rFonts w:ascii="Arial" w:cs="Arial" w:eastAsia="Arial" w:hAnsi="Arial"/>
                <w:sz w:val="18"/>
                <w:szCs w:val="18"/>
                <w:color w:val="auto"/>
                <w:w w:val="88"/>
              </w:rPr>
              <w:t>Non-interest expense:</w:t>
            </w:r>
          </w:p>
        </w:tc>
        <w:tc>
          <w:tcPr>
            <w:tcW w:w="1980" w:type="dxa"/>
            <w:vAlign w:val="bottom"/>
            <w:tcBorders>
              <w:bottom w:val="single" w:sz="8" w:color="CCEEFF"/>
            </w:tcBorders>
            <w:gridSpan w:val="2"/>
            <w:shd w:val="clear" w:color="auto" w:fill="CCEEFF"/>
          </w:tcPr>
          <w:p>
            <w:pPr>
              <w:spacing w:after="0"/>
              <w:rPr>
                <w:sz w:val="15"/>
                <w:szCs w:val="15"/>
                <w:color w:val="auto"/>
              </w:rPr>
            </w:pPr>
          </w:p>
        </w:tc>
        <w:tc>
          <w:tcPr>
            <w:tcW w:w="30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gridSpan w:val="6"/>
          </w:tcPr>
          <w:p>
            <w:pPr>
              <w:ind w:left="120"/>
              <w:spacing w:after="0" w:line="202" w:lineRule="exact"/>
              <w:rPr>
                <w:sz w:val="20"/>
                <w:szCs w:val="20"/>
                <w:color w:val="auto"/>
              </w:rPr>
            </w:pPr>
            <w:r>
              <w:rPr>
                <w:rFonts w:ascii="Arial" w:cs="Arial" w:eastAsia="Arial" w:hAnsi="Arial"/>
                <w:sz w:val="18"/>
                <w:szCs w:val="18"/>
                <w:color w:val="auto"/>
              </w:rPr>
              <w:t>Banking</w:t>
            </w:r>
          </w:p>
        </w:tc>
        <w:tc>
          <w:tcPr>
            <w:tcW w:w="31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42,091</w:t>
            </w:r>
          </w:p>
        </w:tc>
        <w:tc>
          <w:tcPr>
            <w:tcW w:w="100" w:type="dxa"/>
            <w:vAlign w:val="bottom"/>
          </w:tcPr>
          <w:p>
            <w:pPr>
              <w:spacing w:after="0"/>
              <w:rPr>
                <w:sz w:val="17"/>
                <w:szCs w:val="17"/>
                <w:color w:val="auto"/>
              </w:rPr>
            </w:pPr>
          </w:p>
        </w:tc>
        <w:tc>
          <w:tcPr>
            <w:tcW w:w="32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48,515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gridSpan w:val="6"/>
            <w:shd w:val="clear" w:color="auto" w:fill="CCEEFF"/>
          </w:tcPr>
          <w:p>
            <w:pPr>
              <w:ind w:left="120"/>
              <w:spacing w:after="0" w:line="202" w:lineRule="exact"/>
              <w:rPr>
                <w:sz w:val="20"/>
                <w:szCs w:val="20"/>
                <w:color w:val="auto"/>
              </w:rPr>
            </w:pPr>
            <w:r>
              <w:rPr>
                <w:rFonts w:ascii="Arial" w:cs="Arial" w:eastAsia="Arial" w:hAnsi="Arial"/>
                <w:sz w:val="18"/>
                <w:szCs w:val="18"/>
                <w:color w:val="auto"/>
              </w:rPr>
              <w:t>Remittance Processing</w:t>
            </w:r>
          </w:p>
        </w:tc>
        <w:tc>
          <w:tcPr>
            <w:tcW w:w="3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4,290</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2,903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gridSpan w:val="6"/>
          </w:tcPr>
          <w:p>
            <w:pPr>
              <w:ind w:left="120"/>
              <w:spacing w:after="0" w:line="202" w:lineRule="exact"/>
              <w:rPr>
                <w:sz w:val="20"/>
                <w:szCs w:val="20"/>
                <w:color w:val="auto"/>
              </w:rPr>
            </w:pPr>
            <w:r>
              <w:rPr>
                <w:rFonts w:ascii="Arial" w:cs="Arial" w:eastAsia="Arial" w:hAnsi="Arial"/>
                <w:sz w:val="18"/>
                <w:szCs w:val="18"/>
                <w:color w:val="auto"/>
              </w:rPr>
              <w:t>Wealth Management</w:t>
            </w:r>
          </w:p>
        </w:tc>
        <w:tc>
          <w:tcPr>
            <w:tcW w:w="3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6,565</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6,974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gridSpan w:val="6"/>
            <w:shd w:val="clear" w:color="auto" w:fill="CCEEFF"/>
          </w:tcPr>
          <w:p>
            <w:pPr>
              <w:ind w:left="120"/>
              <w:spacing w:after="0" w:line="202" w:lineRule="exact"/>
              <w:rPr>
                <w:sz w:val="20"/>
                <w:szCs w:val="20"/>
                <w:color w:val="auto"/>
              </w:rPr>
            </w:pPr>
            <w:r>
              <w:rPr>
                <w:rFonts w:ascii="Arial" w:cs="Arial" w:eastAsia="Arial" w:hAnsi="Arial"/>
                <w:sz w:val="18"/>
                <w:szCs w:val="18"/>
                <w:color w:val="auto"/>
              </w:rPr>
              <w:t>Other</w:t>
            </w:r>
          </w:p>
        </w:tc>
        <w:tc>
          <w:tcPr>
            <w:tcW w:w="30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1,553</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2,122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560" w:type="dxa"/>
            <w:vAlign w:val="bottom"/>
            <w:tcBorders>
              <w:bottom w:val="single" w:sz="8" w:color="CCEEFF"/>
            </w:tcBorders>
            <w:gridSpan w:val="6"/>
          </w:tcPr>
          <w:p>
            <w:pPr>
              <w:ind w:left="320"/>
              <w:spacing w:after="0" w:line="196" w:lineRule="exact"/>
              <w:rPr>
                <w:sz w:val="20"/>
                <w:szCs w:val="20"/>
                <w:color w:val="auto"/>
              </w:rPr>
            </w:pPr>
            <w:r>
              <w:rPr>
                <w:rFonts w:ascii="Arial" w:cs="Arial" w:eastAsia="Arial" w:hAnsi="Arial"/>
                <w:sz w:val="18"/>
                <w:szCs w:val="18"/>
                <w:color w:val="auto"/>
              </w:rPr>
              <w:t>Total non-interest expense</w:t>
            </w:r>
          </w:p>
        </w:tc>
        <w:tc>
          <w:tcPr>
            <w:tcW w:w="30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54,499</w:t>
            </w:r>
          </w:p>
        </w:tc>
        <w:tc>
          <w:tcPr>
            <w:tcW w:w="10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60,514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3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3560" w:type="dxa"/>
            <w:vAlign w:val="bottom"/>
            <w:gridSpan w:val="6"/>
          </w:tcPr>
          <w:p>
            <w:pPr>
              <w:spacing w:after="0" w:line="176" w:lineRule="exact"/>
              <w:rPr>
                <w:sz w:val="20"/>
                <w:szCs w:val="20"/>
                <w:color w:val="auto"/>
              </w:rPr>
            </w:pPr>
            <w:r>
              <w:rPr>
                <w:rFonts w:ascii="Arial" w:cs="Arial" w:eastAsia="Arial" w:hAnsi="Arial"/>
                <w:sz w:val="18"/>
                <w:szCs w:val="18"/>
                <w:color w:val="auto"/>
              </w:rPr>
              <w:t>Income before income taxes:</w:t>
            </w:r>
          </w:p>
        </w:tc>
        <w:tc>
          <w:tcPr>
            <w:tcW w:w="3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80" w:type="dxa"/>
            <w:vAlign w:val="bottom"/>
            <w:tcBorders>
              <w:top w:val="single" w:sz="8" w:color="auto"/>
            </w:tcBorders>
            <w:gridSpan w:val="5"/>
            <w:shd w:val="clear" w:color="auto" w:fill="CCEEFF"/>
          </w:tcPr>
          <w:p>
            <w:pPr>
              <w:ind w:left="120"/>
              <w:spacing w:after="0" w:line="202" w:lineRule="exact"/>
              <w:rPr>
                <w:sz w:val="20"/>
                <w:szCs w:val="20"/>
                <w:color w:val="auto"/>
              </w:rPr>
            </w:pPr>
            <w:r>
              <w:rPr>
                <w:rFonts w:ascii="Arial" w:cs="Arial" w:eastAsia="Arial" w:hAnsi="Arial"/>
                <w:sz w:val="18"/>
                <w:szCs w:val="18"/>
                <w:color w:val="auto"/>
              </w:rPr>
              <w:t>Banking</w:t>
            </w:r>
          </w:p>
        </w:tc>
        <w:tc>
          <w:tcPr>
            <w:tcW w:w="1480" w:type="dxa"/>
            <w:vAlign w:val="bottom"/>
            <w:shd w:val="clear" w:color="auto" w:fill="CCEEFF"/>
          </w:tcPr>
          <w:p>
            <w:pPr>
              <w:spacing w:after="0"/>
              <w:rPr>
                <w:sz w:val="17"/>
                <w:szCs w:val="17"/>
                <w:color w:val="auto"/>
              </w:rPr>
            </w:pPr>
          </w:p>
        </w:tc>
        <w:tc>
          <w:tcPr>
            <w:tcW w:w="31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46,044</w:t>
            </w:r>
          </w:p>
        </w:tc>
        <w:tc>
          <w:tcPr>
            <w:tcW w:w="10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19,010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gridSpan w:val="6"/>
          </w:tcPr>
          <w:p>
            <w:pPr>
              <w:ind w:left="120"/>
              <w:spacing w:after="0" w:line="202" w:lineRule="exact"/>
              <w:rPr>
                <w:sz w:val="20"/>
                <w:szCs w:val="20"/>
                <w:color w:val="auto"/>
              </w:rPr>
            </w:pPr>
            <w:r>
              <w:rPr>
                <w:rFonts w:ascii="Arial" w:cs="Arial" w:eastAsia="Arial" w:hAnsi="Arial"/>
                <w:sz w:val="18"/>
                <w:szCs w:val="18"/>
                <w:color w:val="auto"/>
              </w:rPr>
              <w:t>Remittance Processing</w:t>
            </w:r>
          </w:p>
        </w:tc>
        <w:tc>
          <w:tcPr>
            <w:tcW w:w="3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591</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1,185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gridSpan w:val="6"/>
            <w:shd w:val="clear" w:color="auto" w:fill="CCEEFF"/>
          </w:tcPr>
          <w:p>
            <w:pPr>
              <w:ind w:left="120"/>
              <w:spacing w:after="0" w:line="202" w:lineRule="exact"/>
              <w:rPr>
                <w:sz w:val="20"/>
                <w:szCs w:val="20"/>
                <w:color w:val="auto"/>
              </w:rPr>
            </w:pPr>
            <w:r>
              <w:rPr>
                <w:rFonts w:ascii="Arial" w:cs="Arial" w:eastAsia="Arial" w:hAnsi="Arial"/>
                <w:sz w:val="18"/>
                <w:szCs w:val="18"/>
                <w:color w:val="auto"/>
              </w:rPr>
              <w:t>Wealth Management</w:t>
            </w:r>
          </w:p>
        </w:tc>
        <w:tc>
          <w:tcPr>
            <w:tcW w:w="3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6,022</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4,735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60" w:type="dxa"/>
            <w:vAlign w:val="bottom"/>
            <w:gridSpan w:val="6"/>
          </w:tcPr>
          <w:p>
            <w:pPr>
              <w:ind w:left="120"/>
              <w:spacing w:after="0" w:line="202" w:lineRule="exact"/>
              <w:rPr>
                <w:sz w:val="20"/>
                <w:szCs w:val="20"/>
                <w:color w:val="auto"/>
              </w:rPr>
            </w:pPr>
            <w:r>
              <w:rPr>
                <w:rFonts w:ascii="Arial" w:cs="Arial" w:eastAsia="Arial" w:hAnsi="Arial"/>
                <w:sz w:val="18"/>
                <w:szCs w:val="18"/>
                <w:color w:val="auto"/>
              </w:rPr>
              <w:t>Other</w:t>
            </w:r>
          </w:p>
        </w:tc>
        <w:tc>
          <w:tcPr>
            <w:tcW w:w="3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(4,022)</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(5,710)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60" w:type="dxa"/>
            <w:vAlign w:val="bottom"/>
            <w:tcBorders>
              <w:top w:val="single" w:sz="8" w:color="CCEEFF"/>
              <w:bottom w:val="single" w:sz="8" w:color="CCEEFF"/>
            </w:tcBorders>
            <w:gridSpan w:val="6"/>
            <w:shd w:val="clear" w:color="auto" w:fill="CCEEFF"/>
          </w:tcPr>
          <w:p>
            <w:pPr>
              <w:ind w:left="320"/>
              <w:spacing w:after="0" w:line="196" w:lineRule="exact"/>
              <w:rPr>
                <w:sz w:val="20"/>
                <w:szCs w:val="20"/>
                <w:color w:val="auto"/>
              </w:rPr>
            </w:pPr>
            <w:r>
              <w:rPr>
                <w:rFonts w:ascii="Arial" w:cs="Arial" w:eastAsia="Arial" w:hAnsi="Arial"/>
                <w:sz w:val="18"/>
                <w:szCs w:val="18"/>
                <w:color w:val="auto"/>
              </w:rPr>
              <w:t>Total income before income taxes</w:t>
            </w:r>
          </w:p>
        </w:tc>
        <w:tc>
          <w:tcPr>
            <w:tcW w:w="30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48,635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19,220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8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3560" w:type="dxa"/>
            <w:vAlign w:val="bottom"/>
            <w:gridSpan w:val="6"/>
            <w:shd w:val="clear" w:color="auto" w:fill="CCEEFF"/>
          </w:tcPr>
          <w:p>
            <w:pPr>
              <w:spacing w:after="0" w:line="176" w:lineRule="exact"/>
              <w:rPr>
                <w:sz w:val="20"/>
                <w:szCs w:val="20"/>
                <w:color w:val="auto"/>
              </w:rPr>
            </w:pPr>
            <w:r>
              <w:rPr>
                <w:rFonts w:ascii="Arial" w:cs="Arial" w:eastAsia="Arial" w:hAnsi="Arial"/>
                <w:sz w:val="18"/>
                <w:szCs w:val="18"/>
                <w:color w:val="auto"/>
              </w:rPr>
              <w:t>Net income:</w:t>
            </w:r>
          </w:p>
        </w:tc>
        <w:tc>
          <w:tcPr>
            <w:tcW w:w="3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 w:type="dxa"/>
            <w:vAlign w:val="bottom"/>
            <w:tcBorders>
              <w:top w:val="single" w:sz="8" w:color="auto"/>
            </w:tcBorders>
          </w:tcPr>
          <w:p>
            <w:pPr>
              <w:ind w:left="120"/>
              <w:spacing w:after="0" w:line="202" w:lineRule="exact"/>
              <w:rPr>
                <w:sz w:val="20"/>
                <w:szCs w:val="20"/>
                <w:color w:val="auto"/>
              </w:rPr>
            </w:pPr>
            <w:r>
              <w:rPr>
                <w:rFonts w:ascii="Arial" w:cs="Arial" w:eastAsia="Arial" w:hAnsi="Arial"/>
                <w:sz w:val="18"/>
                <w:szCs w:val="18"/>
                <w:color w:val="auto"/>
              </w:rPr>
              <w:t>Banking</w:t>
            </w:r>
          </w:p>
        </w:tc>
        <w:tc>
          <w:tcPr>
            <w:tcW w:w="2680" w:type="dxa"/>
            <w:vAlign w:val="bottom"/>
            <w:tcBorders>
              <w:top w:val="single" w:sz="8" w:color="CCEEFF"/>
            </w:tcBorders>
            <w:gridSpan w:val="5"/>
          </w:tcPr>
          <w:p>
            <w:pPr>
              <w:spacing w:after="0"/>
              <w:rPr>
                <w:sz w:val="17"/>
                <w:szCs w:val="17"/>
                <w:color w:val="auto"/>
              </w:rPr>
            </w:pPr>
          </w:p>
        </w:tc>
        <w:tc>
          <w:tcPr>
            <w:tcW w:w="3120" w:type="dxa"/>
            <w:vAlign w:val="bottom"/>
            <w:tcBorders>
              <w:top w:val="single" w:sz="8" w:color="CCEEFF"/>
            </w:tcBorders>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Borders>
              <w:top w:val="single" w:sz="8" w:color="CCEEFF"/>
            </w:tcBorders>
          </w:tcPr>
          <w:p>
            <w:pPr>
              <w:jc w:val="right"/>
              <w:spacing w:after="0" w:line="202" w:lineRule="exact"/>
              <w:rPr>
                <w:sz w:val="20"/>
                <w:szCs w:val="20"/>
                <w:color w:val="auto"/>
              </w:rPr>
            </w:pPr>
            <w:r>
              <w:rPr>
                <w:rFonts w:ascii="Arial" w:cs="Arial" w:eastAsia="Arial" w:hAnsi="Arial"/>
                <w:sz w:val="18"/>
                <w:szCs w:val="18"/>
                <w:color w:val="auto"/>
              </w:rPr>
              <w:t>35,528</w:t>
            </w:r>
          </w:p>
        </w:tc>
        <w:tc>
          <w:tcPr>
            <w:tcW w:w="10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840" w:type="dxa"/>
            <w:vAlign w:val="bottom"/>
            <w:tcBorders>
              <w:top w:val="single" w:sz="8" w:color="CCEEFF"/>
            </w:tcBorders>
          </w:tcPr>
          <w:p>
            <w:pPr>
              <w:jc w:val="right"/>
              <w:spacing w:after="0" w:line="202" w:lineRule="exact"/>
              <w:rPr>
                <w:sz w:val="20"/>
                <w:szCs w:val="20"/>
                <w:color w:val="auto"/>
              </w:rPr>
            </w:pPr>
            <w:r>
              <w:rPr>
                <w:rFonts w:ascii="Arial" w:cs="Arial" w:eastAsia="Arial" w:hAnsi="Arial"/>
                <w:sz w:val="18"/>
                <w:szCs w:val="18"/>
                <w:color w:val="auto"/>
              </w:rPr>
              <w:t>14,924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gridSpan w:val="6"/>
            <w:shd w:val="clear" w:color="auto" w:fill="CCEEFF"/>
          </w:tcPr>
          <w:p>
            <w:pPr>
              <w:ind w:left="120"/>
              <w:spacing w:after="0" w:line="202" w:lineRule="exact"/>
              <w:rPr>
                <w:sz w:val="20"/>
                <w:szCs w:val="20"/>
                <w:color w:val="auto"/>
              </w:rPr>
            </w:pPr>
            <w:r>
              <w:rPr>
                <w:rFonts w:ascii="Arial" w:cs="Arial" w:eastAsia="Arial" w:hAnsi="Arial"/>
                <w:sz w:val="18"/>
                <w:szCs w:val="18"/>
                <w:color w:val="auto"/>
              </w:rPr>
              <w:t>Remittance Processing</w:t>
            </w:r>
          </w:p>
        </w:tc>
        <w:tc>
          <w:tcPr>
            <w:tcW w:w="3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429</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860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gridSpan w:val="6"/>
          </w:tcPr>
          <w:p>
            <w:pPr>
              <w:ind w:left="120"/>
              <w:spacing w:after="0" w:line="202" w:lineRule="exact"/>
              <w:rPr>
                <w:sz w:val="20"/>
                <w:szCs w:val="20"/>
                <w:color w:val="auto"/>
              </w:rPr>
            </w:pPr>
            <w:r>
              <w:rPr>
                <w:rFonts w:ascii="Arial" w:cs="Arial" w:eastAsia="Arial" w:hAnsi="Arial"/>
                <w:sz w:val="18"/>
                <w:szCs w:val="18"/>
                <w:color w:val="auto"/>
              </w:rPr>
              <w:t>Wealth Management</w:t>
            </w:r>
          </w:p>
        </w:tc>
        <w:tc>
          <w:tcPr>
            <w:tcW w:w="3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4,682</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3,599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gridSpan w:val="6"/>
            <w:shd w:val="clear" w:color="auto" w:fill="CCEEFF"/>
          </w:tcPr>
          <w:p>
            <w:pPr>
              <w:ind w:left="120"/>
              <w:spacing w:after="0" w:line="202" w:lineRule="exact"/>
              <w:rPr>
                <w:sz w:val="20"/>
                <w:szCs w:val="20"/>
                <w:color w:val="auto"/>
              </w:rPr>
            </w:pPr>
            <w:r>
              <w:rPr>
                <w:rFonts w:ascii="Arial" w:cs="Arial" w:eastAsia="Arial" w:hAnsi="Arial"/>
                <w:sz w:val="18"/>
                <w:szCs w:val="18"/>
                <w:color w:val="auto"/>
              </w:rPr>
              <w:t>Other</w:t>
            </w:r>
          </w:p>
        </w:tc>
        <w:tc>
          <w:tcPr>
            <w:tcW w:w="3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(2,823)</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60" w:type="dxa"/>
            <w:vAlign w:val="bottom"/>
            <w:gridSpan w:val="6"/>
          </w:tcPr>
          <w:p>
            <w:pPr>
              <w:ind w:left="320"/>
              <w:spacing w:after="0" w:line="196" w:lineRule="exact"/>
              <w:rPr>
                <w:sz w:val="20"/>
                <w:szCs w:val="20"/>
                <w:color w:val="auto"/>
              </w:rPr>
            </w:pPr>
            <w:r>
              <w:rPr>
                <w:rFonts w:ascii="Arial" w:cs="Arial" w:eastAsia="Arial" w:hAnsi="Arial"/>
                <w:sz w:val="18"/>
                <w:szCs w:val="18"/>
                <w:color w:val="auto"/>
              </w:rPr>
              <w:t>Total net income</w:t>
            </w:r>
          </w:p>
        </w:tc>
        <w:tc>
          <w:tcPr>
            <w:tcW w:w="30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37,816</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15,364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000" w:type="dxa"/>
            <w:vAlign w:val="bottom"/>
            <w:vMerge w:val="restart"/>
          </w:tcPr>
          <w:p>
            <w:pPr>
              <w:jc w:val="right"/>
              <w:ind w:right="1930"/>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0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38" w:name="page39"/>
    <w:bookmarkEnd w:id="38"/>
    <w:p>
      <w:pPr>
        <w:jc w:val="center"/>
        <w:ind w:right="19"/>
        <w:spacing w:after="0"/>
        <w:rPr>
          <w:sz w:val="20"/>
          <w:szCs w:val="20"/>
          <w:color w:val="auto"/>
        </w:rPr>
      </w:pPr>
      <w:r>
        <w:rPr>
          <w:rFonts w:ascii="Arial" w:cs="Arial" w:eastAsia="Arial" w:hAnsi="Arial"/>
          <w:sz w:val="18"/>
          <w:szCs w:val="18"/>
          <w:b w:val="1"/>
          <w:bCs w:val="1"/>
          <w:color w:val="auto"/>
        </w:rPr>
        <w:t>FIRST BUSEY CORPORATION</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w:t>
      </w:r>
    </w:p>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15: Leases</w:t>
      </w:r>
    </w:p>
    <w:p>
      <w:pPr>
        <w:spacing w:after="0" w:line="202" w:lineRule="exact"/>
        <w:rPr>
          <w:sz w:val="20"/>
          <w:szCs w:val="20"/>
          <w:color w:val="auto"/>
        </w:rPr>
      </w:pPr>
    </w:p>
    <w:p>
      <w:pPr>
        <w:ind w:left="60" w:right="139"/>
        <w:spacing w:after="0" w:line="259" w:lineRule="auto"/>
        <w:rPr>
          <w:sz w:val="20"/>
          <w:szCs w:val="20"/>
          <w:color w:val="auto"/>
        </w:rPr>
      </w:pPr>
      <w:r>
        <w:rPr>
          <w:rFonts w:ascii="Arial" w:cs="Arial" w:eastAsia="Arial" w:hAnsi="Arial"/>
          <w:sz w:val="18"/>
          <w:szCs w:val="18"/>
          <w:color w:val="auto"/>
        </w:rPr>
        <w:t>The Company has operating leases consisting primarily of equipment leases and real estate leases. The Company leases real estate property for banking centers, ATM locations, and office space with terms extending through 2032. As of March 31, 2021, the Company reported $7.3 million of right-of-use assets and $7.4 million lease liabilities in its unaudited Consolidated Balance Sheets.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6"/>
          <w:szCs w:val="16"/>
          <w:color w:val="auto"/>
        </w:rPr>
        <w:t xml:space="preserve">The following tables represents lease costs and other lease information for the periods presented </w:t>
      </w:r>
      <w:r>
        <w:rPr>
          <w:rFonts w:ascii="Arial" w:cs="Arial" w:eastAsia="Arial" w:hAnsi="Arial"/>
          <w:sz w:val="16"/>
          <w:szCs w:val="16"/>
          <w:i w:val="1"/>
          <w:iCs w:val="1"/>
          <w:color w:val="auto"/>
        </w:rPr>
        <w:t>(dollars in thousands)</w:t>
      </w:r>
      <w:r>
        <w:rPr>
          <w:rFonts w:ascii="Arial" w:cs="Arial" w:eastAsia="Arial" w:hAnsi="Arial"/>
          <w:sz w:val="16"/>
          <w:szCs w:val="16"/>
          <w:color w:val="auto"/>
        </w:rPr>
        <w:t>:</w:t>
      </w:r>
    </w:p>
    <w:p>
      <w:pPr>
        <w:spacing w:after="0" w:line="294" w:lineRule="exact"/>
        <w:rPr>
          <w:sz w:val="20"/>
          <w:szCs w:val="20"/>
          <w:color w:val="auto"/>
        </w:rPr>
      </w:pPr>
    </w:p>
    <w:tbl>
      <w:tblPr>
        <w:tblLayout w:type="fixed"/>
        <w:tblInd w:w="60" w:type="dxa"/>
        <w:tblCellMar>
          <w:top w:w="0" w:type="dxa"/>
          <w:left w:w="0" w:type="dxa"/>
          <w:bottom w:w="0" w:type="dxa"/>
          <w:right w:w="0" w:type="dxa"/>
        </w:tblCellMar>
      </w:tblPr>
      <w:tr>
        <w:trPr>
          <w:trHeight w:val="185"/>
        </w:trPr>
        <w:tc>
          <w:tcPr>
            <w:tcW w:w="6420" w:type="dxa"/>
            <w:vAlign w:val="bottom"/>
            <w:vMerge w:val="restart"/>
          </w:tcPr>
          <w:p>
            <w:pPr>
              <w:spacing w:after="0"/>
              <w:rPr>
                <w:sz w:val="20"/>
                <w:szCs w:val="20"/>
                <w:color w:val="auto"/>
              </w:rPr>
            </w:pPr>
            <w:r>
              <w:rPr>
                <w:rFonts w:ascii="Arial" w:cs="Arial" w:eastAsia="Arial" w:hAnsi="Arial"/>
                <w:sz w:val="14"/>
                <w:szCs w:val="14"/>
                <w:b w:val="1"/>
                <w:bCs w:val="1"/>
                <w:color w:val="auto"/>
              </w:rPr>
              <w:t>Lease Costs</w:t>
            </w:r>
          </w:p>
        </w:tc>
        <w:tc>
          <w:tcPr>
            <w:tcW w:w="2280" w:type="dxa"/>
            <w:vAlign w:val="bottom"/>
            <w:tcBorders>
              <w:bottom w:val="single" w:sz="8" w:color="auto"/>
            </w:tcBorders>
            <w:gridSpan w:val="2"/>
          </w:tcPr>
          <w:p>
            <w:pPr>
              <w:jc w:val="right"/>
              <w:ind w:right="88"/>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6"/>
        </w:trPr>
        <w:tc>
          <w:tcPr>
            <w:tcW w:w="6420" w:type="dxa"/>
            <w:vAlign w:val="bottom"/>
            <w:vMerge w:val="continue"/>
          </w:tcPr>
          <w:p>
            <w:pPr>
              <w:spacing w:after="0"/>
              <w:rPr>
                <w:sz w:val="13"/>
                <w:szCs w:val="13"/>
                <w:color w:val="auto"/>
              </w:rPr>
            </w:pPr>
          </w:p>
        </w:tc>
        <w:tc>
          <w:tcPr>
            <w:tcW w:w="1140" w:type="dxa"/>
            <w:vAlign w:val="bottom"/>
          </w:tcPr>
          <w:p>
            <w:pPr>
              <w:jc w:val="right"/>
              <w:ind w:right="388"/>
              <w:spacing w:after="0" w:line="155" w:lineRule="exact"/>
              <w:rPr>
                <w:sz w:val="20"/>
                <w:szCs w:val="20"/>
                <w:color w:val="auto"/>
              </w:rPr>
            </w:pPr>
            <w:r>
              <w:rPr>
                <w:rFonts w:ascii="Arial" w:cs="Arial" w:eastAsia="Arial" w:hAnsi="Arial"/>
                <w:sz w:val="14"/>
                <w:szCs w:val="14"/>
                <w:b w:val="1"/>
                <w:bCs w:val="1"/>
                <w:color w:val="auto"/>
              </w:rPr>
              <w:t>2021</w:t>
            </w:r>
          </w:p>
        </w:tc>
        <w:tc>
          <w:tcPr>
            <w:tcW w:w="1140" w:type="dxa"/>
            <w:vAlign w:val="bottom"/>
          </w:tcPr>
          <w:p>
            <w:pPr>
              <w:jc w:val="right"/>
              <w:ind w:right="308"/>
              <w:spacing w:after="0" w:line="155"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626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Operating lease costs</w:t>
            </w:r>
          </w:p>
        </w:tc>
        <w:tc>
          <w:tcPr>
            <w:tcW w:w="1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564</w:t>
            </w:r>
          </w:p>
        </w:tc>
        <w:tc>
          <w:tcPr>
            <w:tcW w:w="2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620</w:t>
            </w:r>
          </w:p>
        </w:tc>
        <w:tc>
          <w:tcPr>
            <w:tcW w:w="1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60" w:type="dxa"/>
            <w:vAlign w:val="bottom"/>
          </w:tcPr>
          <w:p>
            <w:pPr>
              <w:ind w:left="20"/>
              <w:spacing w:after="0" w:line="202" w:lineRule="exact"/>
              <w:rPr>
                <w:sz w:val="20"/>
                <w:szCs w:val="20"/>
                <w:color w:val="auto"/>
              </w:rPr>
            </w:pPr>
            <w:r>
              <w:rPr>
                <w:rFonts w:ascii="Arial" w:cs="Arial" w:eastAsia="Arial" w:hAnsi="Arial"/>
                <w:sz w:val="18"/>
                <w:szCs w:val="18"/>
                <w:color w:val="auto"/>
              </w:rPr>
              <w:t>Variable lease costs</w:t>
            </w: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174</w:t>
            </w: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171</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Short-term lease costs</w:t>
            </w:r>
          </w:p>
        </w:tc>
        <w:tc>
          <w:tcPr>
            <w:tcW w:w="18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w:t>
            </w:r>
          </w:p>
        </w:tc>
        <w:tc>
          <w:tcPr>
            <w:tcW w:w="2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60" w:type="dxa"/>
            <w:vAlign w:val="bottom"/>
          </w:tcPr>
          <w:p>
            <w:pPr>
              <w:ind w:left="220"/>
              <w:spacing w:after="0" w:line="196" w:lineRule="exact"/>
              <w:rPr>
                <w:sz w:val="20"/>
                <w:szCs w:val="20"/>
                <w:color w:val="auto"/>
              </w:rPr>
            </w:pPr>
            <w:r>
              <w:rPr>
                <w:rFonts w:ascii="Arial" w:cs="Arial" w:eastAsia="Arial" w:hAnsi="Arial"/>
                <w:sz w:val="18"/>
                <w:szCs w:val="18"/>
                <w:color w:val="auto"/>
              </w:rPr>
              <w:t>Total lease cost</w:t>
            </w:r>
          </w:p>
        </w:tc>
        <w:tc>
          <w:tcPr>
            <w:tcW w:w="180" w:type="dxa"/>
            <w:vAlign w:val="bottom"/>
          </w:tcPr>
          <w:p>
            <w:pPr>
              <w:spacing w:after="0"/>
              <w:rPr>
                <w:sz w:val="17"/>
                <w:szCs w:val="17"/>
                <w:color w:val="auto"/>
              </w:rPr>
            </w:pPr>
          </w:p>
        </w:tc>
        <w:tc>
          <w:tcPr>
            <w:tcW w:w="40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756</w:t>
            </w:r>
          </w:p>
        </w:tc>
        <w:tc>
          <w:tcPr>
            <w:tcW w:w="200" w:type="dxa"/>
            <w:vAlign w:val="bottom"/>
          </w:tcPr>
          <w:p>
            <w:pPr>
              <w:spacing w:after="0"/>
              <w:rPr>
                <w:sz w:val="17"/>
                <w:szCs w:val="17"/>
                <w:color w:val="auto"/>
              </w:rPr>
            </w:pPr>
          </w:p>
        </w:tc>
        <w:tc>
          <w:tcPr>
            <w:tcW w:w="380" w:type="dxa"/>
            <w:vAlign w:val="bottom"/>
            <w:tcBorders>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806</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Other information</w:t>
            </w: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6260" w:type="dxa"/>
            <w:vAlign w:val="bottom"/>
            <w:tcBorders>
              <w:bottom w:val="single" w:sz="8" w:color="auto"/>
            </w:tcBorders>
            <w:vMerge w:val="continue"/>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66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2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Cash paid for amounts included in the measurement of lease liabilities:</w:t>
            </w: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60" w:type="dxa"/>
            <w:vAlign w:val="bottom"/>
          </w:tcPr>
          <w:p>
            <w:pPr>
              <w:ind w:left="220"/>
              <w:spacing w:after="0" w:line="202" w:lineRule="exact"/>
              <w:rPr>
                <w:sz w:val="20"/>
                <w:szCs w:val="20"/>
                <w:color w:val="auto"/>
              </w:rPr>
            </w:pPr>
            <w:r>
              <w:rPr>
                <w:rFonts w:ascii="Arial" w:cs="Arial" w:eastAsia="Arial" w:hAnsi="Arial"/>
                <w:sz w:val="18"/>
                <w:szCs w:val="18"/>
                <w:color w:val="auto"/>
              </w:rPr>
              <w:t>Operating lease cash flows – Fixed payments</w:t>
            </w:r>
          </w:p>
        </w:tc>
        <w:tc>
          <w:tcPr>
            <w:tcW w:w="580" w:type="dxa"/>
            <w:vAlign w:val="bottom"/>
            <w:gridSpan w:val="2"/>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546</w:t>
            </w:r>
          </w:p>
        </w:tc>
        <w:tc>
          <w:tcPr>
            <w:tcW w:w="200" w:type="dxa"/>
            <w:vAlign w:val="bottom"/>
          </w:tcPr>
          <w:p>
            <w:pPr>
              <w:spacing w:after="0"/>
              <w:rPr>
                <w:sz w:val="17"/>
                <w:szCs w:val="17"/>
                <w:color w:val="auto"/>
              </w:rPr>
            </w:pPr>
          </w:p>
        </w:tc>
        <w:tc>
          <w:tcPr>
            <w:tcW w:w="380" w:type="dxa"/>
            <w:vAlign w:val="bottom"/>
          </w:tcPr>
          <w:p>
            <w:pPr>
              <w:jc w:val="right"/>
              <w:ind w:right="227"/>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611</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Operating lease cash flows – Liability reduction</w:t>
            </w: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495</w:t>
            </w: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530</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6260" w:type="dxa"/>
            <w:vAlign w:val="bottom"/>
          </w:tcPr>
          <w:p>
            <w:pPr>
              <w:ind w:left="20"/>
              <w:spacing w:after="0" w:line="189" w:lineRule="exact"/>
              <w:rPr>
                <w:sz w:val="20"/>
                <w:szCs w:val="20"/>
                <w:color w:val="auto"/>
              </w:rPr>
            </w:pPr>
            <w:r>
              <w:rPr>
                <w:rFonts w:ascii="Arial" w:cs="Arial" w:eastAsia="Arial" w:hAnsi="Arial"/>
                <w:sz w:val="18"/>
                <w:szCs w:val="18"/>
                <w:color w:val="auto"/>
                <w:w w:val="99"/>
              </w:rPr>
              <w:t>Right of use assets obtained during the period in exchange for operating lease</w:t>
            </w: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626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148</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2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Weighted average lease term (in years)</w:t>
            </w: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5.83</w:t>
            </w: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6.51</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260" w:type="dxa"/>
            <w:vAlign w:val="bottom"/>
          </w:tcPr>
          <w:p>
            <w:pPr>
              <w:ind w:left="20"/>
              <w:spacing w:after="0"/>
              <w:rPr>
                <w:sz w:val="20"/>
                <w:szCs w:val="20"/>
                <w:color w:val="auto"/>
              </w:rPr>
            </w:pPr>
            <w:r>
              <w:rPr>
                <w:rFonts w:ascii="Arial" w:cs="Arial" w:eastAsia="Arial" w:hAnsi="Arial"/>
                <w:sz w:val="18"/>
                <w:szCs w:val="18"/>
                <w:color w:val="auto"/>
              </w:rPr>
              <w:t>Weighted average discount rate</w:t>
            </w: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2.80 %</w:t>
            </w:r>
          </w:p>
        </w:tc>
        <w:tc>
          <w:tcPr>
            <w:tcW w:w="38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3.05 %</w:t>
            </w:r>
          </w:p>
        </w:tc>
        <w:tc>
          <w:tcPr>
            <w:tcW w:w="0" w:type="dxa"/>
            <w:vAlign w:val="bottom"/>
          </w:tcPr>
          <w:p>
            <w:pPr>
              <w:spacing w:after="0"/>
              <w:rPr>
                <w:sz w:val="1"/>
                <w:szCs w:val="1"/>
                <w:color w:val="auto"/>
              </w:rPr>
            </w:pPr>
          </w:p>
        </w:tc>
      </w:tr>
    </w:tbl>
    <w:p>
      <w:pPr>
        <w:spacing w:after="0" w:line="174" w:lineRule="exact"/>
        <w:rPr>
          <w:sz w:val="20"/>
          <w:szCs w:val="20"/>
          <w:color w:val="auto"/>
        </w:rPr>
      </w:pPr>
    </w:p>
    <w:p>
      <w:pPr>
        <w:ind w:left="60" w:right="239"/>
        <w:spacing w:after="0" w:line="248" w:lineRule="auto"/>
        <w:rPr>
          <w:sz w:val="20"/>
          <w:szCs w:val="20"/>
          <w:color w:val="auto"/>
        </w:rPr>
      </w:pPr>
      <w:r>
        <w:rPr>
          <w:rFonts w:ascii="Arial" w:cs="Arial" w:eastAsia="Arial" w:hAnsi="Arial"/>
          <w:sz w:val="18"/>
          <w:szCs w:val="18"/>
          <w:color w:val="auto"/>
        </w:rPr>
        <w:t>At March 31, 2021, the Company was obligated under noncancelable operating leases for office space and other commitments. Rent expense under operating leases, included in net occupancy and equipment expense, was $0.8 million for the three months ended March 31, 2021 and 2020.</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Rent commitments were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420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33"/>
        </w:trPr>
        <w:tc>
          <w:tcPr>
            <w:tcW w:w="420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center"/>
              <w:ind w:right="95"/>
              <w:spacing w:after="0" w:line="133" w:lineRule="exact"/>
              <w:rPr>
                <w:sz w:val="20"/>
                <w:szCs w:val="20"/>
                <w:color w:val="auto"/>
              </w:rPr>
            </w:pPr>
            <w:r>
              <w:rPr>
                <w:rFonts w:ascii="Arial" w:cs="Arial" w:eastAsia="Arial" w:hAnsi="Arial"/>
                <w:sz w:val="14"/>
                <w:szCs w:val="14"/>
                <w:b w:val="1"/>
                <w:bCs w:val="1"/>
                <w:color w:val="auto"/>
                <w:w w:val="99"/>
              </w:rPr>
              <w:t>March 31,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4200" w:type="dxa"/>
            <w:vAlign w:val="bottom"/>
            <w:tcBorders>
              <w:bottom w:val="single" w:sz="8" w:color="CCEEFF"/>
            </w:tcBorders>
          </w:tcPr>
          <w:p>
            <w:pPr>
              <w:spacing w:after="0"/>
              <w:rPr>
                <w:sz w:val="16"/>
                <w:szCs w:val="16"/>
                <w:color w:val="auto"/>
              </w:rPr>
            </w:pPr>
          </w:p>
        </w:tc>
        <w:tc>
          <w:tcPr>
            <w:tcW w:w="36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9"/>
              </w:rPr>
              <w:t>2021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2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Remainder of 2021</w:t>
            </w:r>
          </w:p>
        </w:tc>
        <w:tc>
          <w:tcPr>
            <w:tcW w:w="36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1,440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0" w:type="dxa"/>
            <w:vAlign w:val="bottom"/>
          </w:tcPr>
          <w:p>
            <w:pPr>
              <w:ind w:left="20"/>
              <w:spacing w:after="0" w:line="202" w:lineRule="exact"/>
              <w:rPr>
                <w:sz w:val="20"/>
                <w:szCs w:val="20"/>
                <w:color w:val="auto"/>
              </w:rPr>
            </w:pPr>
            <w:r>
              <w:rPr>
                <w:rFonts w:ascii="Arial" w:cs="Arial" w:eastAsia="Arial" w:hAnsi="Arial"/>
                <w:sz w:val="18"/>
                <w:szCs w:val="18"/>
                <w:color w:val="auto"/>
              </w:rPr>
              <w:t>2022</w:t>
            </w:r>
          </w:p>
        </w:tc>
        <w:tc>
          <w:tcPr>
            <w:tcW w:w="3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1,604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2023</w:t>
            </w:r>
          </w:p>
        </w:tc>
        <w:tc>
          <w:tcPr>
            <w:tcW w:w="3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1,409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0" w:type="dxa"/>
            <w:vAlign w:val="bottom"/>
          </w:tcPr>
          <w:p>
            <w:pPr>
              <w:ind w:left="20"/>
              <w:spacing w:after="0" w:line="202" w:lineRule="exact"/>
              <w:rPr>
                <w:sz w:val="20"/>
                <w:szCs w:val="20"/>
                <w:color w:val="auto"/>
              </w:rPr>
            </w:pPr>
            <w:r>
              <w:rPr>
                <w:rFonts w:ascii="Arial" w:cs="Arial" w:eastAsia="Arial" w:hAnsi="Arial"/>
                <w:sz w:val="18"/>
                <w:szCs w:val="18"/>
                <w:color w:val="auto"/>
              </w:rPr>
              <w:t>2024</w:t>
            </w:r>
          </w:p>
        </w:tc>
        <w:tc>
          <w:tcPr>
            <w:tcW w:w="3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974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2025</w:t>
            </w:r>
          </w:p>
        </w:tc>
        <w:tc>
          <w:tcPr>
            <w:tcW w:w="3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840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0" w:type="dxa"/>
            <w:vAlign w:val="bottom"/>
          </w:tcPr>
          <w:p>
            <w:pPr>
              <w:ind w:left="20"/>
              <w:spacing w:after="0" w:line="202" w:lineRule="exact"/>
              <w:rPr>
                <w:sz w:val="20"/>
                <w:szCs w:val="20"/>
                <w:color w:val="auto"/>
              </w:rPr>
            </w:pPr>
            <w:r>
              <w:rPr>
                <w:rFonts w:ascii="Arial" w:cs="Arial" w:eastAsia="Arial" w:hAnsi="Arial"/>
                <w:sz w:val="18"/>
                <w:szCs w:val="18"/>
                <w:color w:val="auto"/>
              </w:rPr>
              <w:t>Thereafter</w:t>
            </w:r>
          </w:p>
        </w:tc>
        <w:tc>
          <w:tcPr>
            <w:tcW w:w="3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1,792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Amounts representing interest</w:t>
            </w:r>
          </w:p>
        </w:tc>
        <w:tc>
          <w:tcPr>
            <w:tcW w:w="36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(679)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00" w:type="dxa"/>
            <w:vAlign w:val="bottom"/>
          </w:tcPr>
          <w:p>
            <w:pPr>
              <w:ind w:left="220"/>
              <w:spacing w:after="0" w:line="196" w:lineRule="exact"/>
              <w:rPr>
                <w:sz w:val="20"/>
                <w:szCs w:val="20"/>
                <w:color w:val="auto"/>
              </w:rPr>
            </w:pPr>
            <w:r>
              <w:rPr>
                <w:rFonts w:ascii="Arial" w:cs="Arial" w:eastAsia="Arial" w:hAnsi="Arial"/>
                <w:sz w:val="18"/>
                <w:szCs w:val="18"/>
                <w:color w:val="auto"/>
                <w:w w:val="94"/>
              </w:rPr>
              <w:t>Present value of net future minimum lease payments</w:t>
            </w:r>
          </w:p>
        </w:tc>
        <w:tc>
          <w:tcPr>
            <w:tcW w:w="366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7,380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3660" w:type="dxa"/>
            <w:vAlign w:val="bottom"/>
            <w:vMerge w:val="restart"/>
          </w:tcPr>
          <w:p>
            <w:pPr>
              <w:jc w:val="right"/>
              <w:ind w:right="3210"/>
              <w:spacing w:after="0"/>
              <w:rPr>
                <w:sz w:val="20"/>
                <w:szCs w:val="20"/>
                <w:color w:val="auto"/>
              </w:rPr>
            </w:pPr>
            <w:r>
              <w:rPr>
                <w:rFonts w:ascii="Arial" w:cs="Arial" w:eastAsia="Arial" w:hAnsi="Arial"/>
                <w:sz w:val="18"/>
                <w:szCs w:val="18"/>
                <w:color w:val="auto"/>
              </w:rPr>
              <w:t>39</w:t>
            </w: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4200" w:type="dxa"/>
            <w:vAlign w:val="bottom"/>
          </w:tcPr>
          <w:p>
            <w:pPr>
              <w:spacing w:after="0"/>
              <w:rPr>
                <w:sz w:val="24"/>
                <w:szCs w:val="24"/>
                <w:color w:val="auto"/>
              </w:rPr>
            </w:pPr>
          </w:p>
        </w:tc>
        <w:tc>
          <w:tcPr>
            <w:tcW w:w="36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420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39" w:name="page40"/>
    <w:bookmarkEnd w:id="3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p>
      <w:pPr>
        <w:jc w:val="center"/>
        <w:ind w:left="60" w:right="119"/>
        <w:spacing w:after="0" w:line="266"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02" w:lineRule="exact"/>
        <w:rPr>
          <w:sz w:val="20"/>
          <w:szCs w:val="20"/>
          <w:color w:val="auto"/>
        </w:rPr>
      </w:pPr>
    </w:p>
    <w:p>
      <w:pPr>
        <w:ind w:left="60" w:right="519"/>
        <w:spacing w:after="0" w:line="261" w:lineRule="auto"/>
        <w:rPr>
          <w:sz w:val="20"/>
          <w:szCs w:val="20"/>
          <w:color w:val="auto"/>
        </w:rPr>
      </w:pPr>
      <w:r>
        <w:rPr>
          <w:rFonts w:ascii="Arial" w:cs="Arial" w:eastAsia="Arial" w:hAnsi="Arial"/>
          <w:sz w:val="18"/>
          <w:szCs w:val="18"/>
          <w:color w:val="auto"/>
        </w:rPr>
        <w:t>First Busey is a $10.8 billion financial holding company headquartered in Champaign, Illinois. Our common stock is traded on The Nasdaq Global Select Market under the symbol “BUSE.”</w:t>
      </w:r>
    </w:p>
    <w:p>
      <w:pPr>
        <w:spacing w:after="0" w:line="157" w:lineRule="exact"/>
        <w:rPr>
          <w:sz w:val="20"/>
          <w:szCs w:val="20"/>
          <w:color w:val="auto"/>
        </w:rPr>
      </w:pPr>
    </w:p>
    <w:p>
      <w:pPr>
        <w:ind w:left="60" w:right="439"/>
        <w:spacing w:after="0" w:line="248" w:lineRule="auto"/>
        <w:rPr>
          <w:sz w:val="20"/>
          <w:szCs w:val="20"/>
          <w:color w:val="auto"/>
        </w:rPr>
      </w:pPr>
      <w:r>
        <w:rPr>
          <w:rFonts w:ascii="Arial" w:cs="Arial" w:eastAsia="Arial" w:hAnsi="Arial"/>
          <w:sz w:val="18"/>
          <w:szCs w:val="18"/>
          <w:color w:val="auto"/>
        </w:rPr>
        <w:t>Our three operating segments provide a full range of banking, remittance processing, and wealth management services through our subsidiaries, Busey Bank and FirsTech, in Illinois; the St. Louis, Missouri metropolitan area; southwest Florida; and Indianapolis, Indiana.</w:t>
      </w:r>
    </w:p>
    <w:p>
      <w:pPr>
        <w:spacing w:after="0" w:line="168" w:lineRule="exact"/>
        <w:rPr>
          <w:sz w:val="20"/>
          <w:szCs w:val="20"/>
          <w:color w:val="auto"/>
        </w:rPr>
      </w:pPr>
    </w:p>
    <w:p>
      <w:pPr>
        <w:ind w:left="60" w:right="219"/>
        <w:spacing w:after="0" w:line="243" w:lineRule="auto"/>
        <w:rPr>
          <w:sz w:val="20"/>
          <w:szCs w:val="20"/>
          <w:color w:val="auto"/>
        </w:rPr>
      </w:pPr>
      <w:r>
        <w:rPr>
          <w:rFonts w:ascii="Arial" w:cs="Arial" w:eastAsia="Arial" w:hAnsi="Arial"/>
          <w:sz w:val="18"/>
          <w:szCs w:val="18"/>
          <w:color w:val="auto"/>
        </w:rPr>
        <w:t>The following discussion and analysis is intended to assist readers in understanding the financial condition and results of operations of the Company during the three months ended March 31, 2021, and should be read in conjunction with the Company’s unaudited consolidated financial statements and notes thereto included in this Quarterly Report, as well as the Company’s 2020 Annual Report.</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EXECUTIVE SUMMARY</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COVID-19</w:t>
      </w:r>
    </w:p>
    <w:p>
      <w:pPr>
        <w:spacing w:after="0" w:line="198" w:lineRule="exact"/>
        <w:rPr>
          <w:sz w:val="20"/>
          <w:szCs w:val="20"/>
          <w:color w:val="auto"/>
        </w:rPr>
      </w:pPr>
    </w:p>
    <w:p>
      <w:pPr>
        <w:ind w:left="60" w:right="159"/>
        <w:spacing w:after="0" w:line="241" w:lineRule="auto"/>
        <w:rPr>
          <w:sz w:val="20"/>
          <w:szCs w:val="20"/>
          <w:color w:val="auto"/>
        </w:rPr>
      </w:pPr>
      <w:r>
        <w:rPr>
          <w:rFonts w:ascii="Arial" w:cs="Arial" w:eastAsia="Arial" w:hAnsi="Arial"/>
          <w:sz w:val="18"/>
          <w:szCs w:val="18"/>
          <w:color w:val="auto"/>
        </w:rPr>
        <w:t>The Company continues to navigate the economic environment caused by COVID-19 effectively and prudently and remains resolute in its focus on serving its customers, communities, and associates while protecting its balance sheet. The progression of the COVID-19 pandemic in the United States has impacted the Company’s results of operations. The Company remains vigilant, given that negative impacts of COVID-19, such as further margin compression and a deterioration in asset quality, could impact future quarters.</w:t>
      </w:r>
    </w:p>
    <w:p>
      <w:pPr>
        <w:spacing w:after="0" w:line="176" w:lineRule="exact"/>
        <w:rPr>
          <w:sz w:val="20"/>
          <w:szCs w:val="20"/>
          <w:color w:val="auto"/>
        </w:rPr>
      </w:pPr>
    </w:p>
    <w:p>
      <w:pPr>
        <w:ind w:left="60" w:right="59"/>
        <w:spacing w:after="0" w:line="262" w:lineRule="auto"/>
        <w:rPr>
          <w:sz w:val="20"/>
          <w:szCs w:val="20"/>
          <w:color w:val="auto"/>
        </w:rPr>
      </w:pPr>
      <w:r>
        <w:rPr>
          <w:rFonts w:ascii="Arial" w:cs="Arial" w:eastAsia="Arial" w:hAnsi="Arial"/>
          <w:sz w:val="17"/>
          <w:szCs w:val="17"/>
          <w:color w:val="auto"/>
        </w:rPr>
        <w:t>Our commercial and consumer banking products and services are delivered in Illinois, Missouri, Indiana, and Florida. Each state has experienced a dramatic increase in unemployment claims as a result of the curtailment of business activities. Each state has taken different steps to reopen after COVID-19 thrust the country into lockdown starting in March 2020, and these efforts are subject to changes and delays based on case monitoring in each state.</w:t>
      </w:r>
    </w:p>
    <w:p>
      <w:pPr>
        <w:spacing w:after="0" w:line="159" w:lineRule="exact"/>
        <w:rPr>
          <w:sz w:val="20"/>
          <w:szCs w:val="20"/>
          <w:color w:val="auto"/>
        </w:rPr>
      </w:pPr>
    </w:p>
    <w:p>
      <w:pPr>
        <w:ind w:left="60" w:right="119"/>
        <w:spacing w:after="0" w:line="268" w:lineRule="auto"/>
        <w:rPr>
          <w:sz w:val="20"/>
          <w:szCs w:val="20"/>
          <w:color w:val="auto"/>
        </w:rPr>
      </w:pPr>
      <w:r>
        <w:rPr>
          <w:rFonts w:ascii="Arial" w:cs="Arial" w:eastAsia="Arial" w:hAnsi="Arial"/>
          <w:sz w:val="16"/>
          <w:szCs w:val="16"/>
          <w:color w:val="auto"/>
        </w:rPr>
        <w:t>Federal, state, and local governments, and regulatory authorities have enacted and issued a range of policy responses to the COVID-19 pandemic. See the Company’s 2020 Annual Report for information on policy and regulatory actions taken during 2020. Further, on March 11, 2021, President Biden signed the American Rescue Plan Act of 2021, a $1.9 trillion relief package providing a third round of Economic Impact Payments to millions of eligible Americans, expanding unemployment benefits and tax credits, and providing additional assistance to small businesses. An additional</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6"/>
          <w:szCs w:val="16"/>
          <w:color w:val="auto"/>
        </w:rPr>
        <w:t>$7.25 billion in PPP funding was provided, and eligibility criteria was expanded to include some non-profit organizations.</w:t>
      </w:r>
    </w:p>
    <w:p>
      <w:pPr>
        <w:spacing w:after="0" w:line="205" w:lineRule="exact"/>
        <w:rPr>
          <w:sz w:val="20"/>
          <w:szCs w:val="20"/>
          <w:color w:val="auto"/>
        </w:rPr>
      </w:pPr>
    </w:p>
    <w:p>
      <w:pPr>
        <w:ind w:left="60"/>
        <w:spacing w:after="0"/>
        <w:rPr>
          <w:sz w:val="20"/>
          <w:szCs w:val="20"/>
          <w:color w:val="auto"/>
        </w:rPr>
      </w:pPr>
      <w:r>
        <w:rPr>
          <w:rFonts w:ascii="Arial" w:cs="Arial" w:eastAsia="Arial" w:hAnsi="Arial"/>
          <w:sz w:val="17"/>
          <w:szCs w:val="17"/>
          <w:color w:val="auto"/>
        </w:rPr>
        <w:t>We have taken, and continue to take, numerous steps in response to the COVID-19 pandemic, including the following:</w:t>
      </w:r>
    </w:p>
    <w:p>
      <w:pPr>
        <w:spacing w:after="0" w:line="210" w:lineRule="exact"/>
        <w:rPr>
          <w:sz w:val="20"/>
          <w:szCs w:val="20"/>
          <w:color w:val="auto"/>
        </w:rPr>
      </w:pPr>
    </w:p>
    <w:p>
      <w:pPr>
        <w:ind w:left="720" w:right="99" w:hanging="319"/>
        <w:spacing w:after="0" w:line="274" w:lineRule="auto"/>
        <w:tabs>
          <w:tab w:leader="none" w:pos="720" w:val="left"/>
        </w:tabs>
        <w:numPr>
          <w:ilvl w:val="0"/>
          <w:numId w:val="7"/>
        </w:numPr>
        <w:rPr>
          <w:rFonts w:ascii="Arial" w:cs="Arial" w:eastAsia="Arial" w:hAnsi="Arial"/>
          <w:sz w:val="16"/>
          <w:szCs w:val="16"/>
          <w:color w:val="auto"/>
        </w:rPr>
      </w:pPr>
      <w:r>
        <w:rPr>
          <w:rFonts w:ascii="Arial" w:cs="Arial" w:eastAsia="Arial" w:hAnsi="Arial"/>
          <w:sz w:val="16"/>
          <w:szCs w:val="16"/>
          <w:color w:val="auto"/>
        </w:rPr>
        <w:t>First Busey offered a Financial Relief Program to qualifying customers designed to alleviate some of the financial hardships that they faced as a result of COVID-19. This program offered solutions for all types of customers— including retail, personal loan, and mortgage—as well as commercial clients and small businesses. The program included options for loan payment deferrals as well as certain fee waivers. As of March 31, 2021, the Company had 72 commercial loans remaining on payment deferrals representing $197.1 million in loans, consisting of $29.7 million in full payment deferrals and $167.4 million in interest only deferrals. In addition, as of March 31, 2021, the Company had 178 retail loans on payment deferrals representing $24.9 million.</w:t>
      </w:r>
    </w:p>
    <w:p>
      <w:pPr>
        <w:spacing w:after="0" w:line="149" w:lineRule="exact"/>
        <w:rPr>
          <w:rFonts w:ascii="Arial" w:cs="Arial" w:eastAsia="Arial" w:hAnsi="Arial"/>
          <w:sz w:val="16"/>
          <w:szCs w:val="16"/>
          <w:color w:val="auto"/>
        </w:rPr>
      </w:pPr>
    </w:p>
    <w:p>
      <w:pPr>
        <w:jc w:val="both"/>
        <w:ind w:left="720" w:right="199" w:hanging="319"/>
        <w:spacing w:after="0" w:line="284" w:lineRule="auto"/>
        <w:tabs>
          <w:tab w:leader="none" w:pos="720" w:val="left"/>
        </w:tabs>
        <w:numPr>
          <w:ilvl w:val="0"/>
          <w:numId w:val="7"/>
        </w:numPr>
        <w:rPr>
          <w:rFonts w:ascii="Arial" w:cs="Arial" w:eastAsia="Arial" w:hAnsi="Arial"/>
          <w:sz w:val="16"/>
          <w:szCs w:val="16"/>
          <w:color w:val="auto"/>
        </w:rPr>
      </w:pPr>
      <w:r>
        <w:rPr>
          <w:rFonts w:ascii="Arial" w:cs="Arial" w:eastAsia="Arial" w:hAnsi="Arial"/>
          <w:sz w:val="16"/>
          <w:szCs w:val="16"/>
          <w:color w:val="auto"/>
        </w:rPr>
        <w:t>First Busey has served as a bridge for the PPP, actively helping existing and new business clients sign up for this important financial resource, and originated a total of $749.4 million in first round PPP loans representing 4,569 new and existing customers. As of March 31, 2021, the Company had received approximately $478.5 million in borrower loan forgiveness from the SBA and had submitted forgiveness applications to the</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0" w:name="page41"/>
    <w:bookmarkEnd w:id="4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6" w:lineRule="exact"/>
        <w:rPr>
          <w:sz w:val="20"/>
          <w:szCs w:val="20"/>
          <w:color w:val="auto"/>
        </w:rPr>
      </w:pPr>
    </w:p>
    <w:p>
      <w:pPr>
        <w:ind w:left="720" w:right="99"/>
        <w:spacing w:after="0" w:line="239" w:lineRule="auto"/>
        <w:rPr>
          <w:sz w:val="20"/>
          <w:szCs w:val="20"/>
          <w:color w:val="auto"/>
        </w:rPr>
      </w:pPr>
      <w:r>
        <w:rPr>
          <w:rFonts w:ascii="Arial" w:cs="Arial" w:eastAsia="Arial" w:hAnsi="Arial"/>
          <w:sz w:val="18"/>
          <w:szCs w:val="18"/>
          <w:color w:val="auto"/>
        </w:rPr>
        <w:t>SBA on behalf of borrowers for another $131.6 million. On December 27, 2020, the Economic Aid Act extended the authority to make PPP loans through March 31, 2021, and revised certain PPP requirements. On March 30, 2021, the President signed the PPP Extension Act of 2021, which extended the PPP application deadline to May 31, 2021, or until funding is exhausted. As of March 31, 2021, the Company originated a total of $262.5 million in second round PPP loans representing 2,123 new and existing customers. At March 31, 2021, First Busey had $533.4 million in total PPP loans outstanding, with an amortized cost of $522.1 million, representing 3,441 customers.</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Results</w:t>
      </w:r>
    </w:p>
    <w:p>
      <w:pPr>
        <w:spacing w:after="0" w:line="198" w:lineRule="exact"/>
        <w:rPr>
          <w:sz w:val="20"/>
          <w:szCs w:val="20"/>
          <w:color w:val="auto"/>
        </w:rPr>
      </w:pPr>
    </w:p>
    <w:p>
      <w:pPr>
        <w:ind w:left="60" w:right="259"/>
        <w:spacing w:after="0" w:line="324" w:lineRule="auto"/>
        <w:rPr>
          <w:sz w:val="20"/>
          <w:szCs w:val="20"/>
          <w:color w:val="auto"/>
        </w:rPr>
      </w:pPr>
      <w:r>
        <w:rPr>
          <w:rFonts w:ascii="Arial" w:cs="Arial" w:eastAsia="Arial" w:hAnsi="Arial"/>
          <w:sz w:val="16"/>
          <w:szCs w:val="16"/>
          <w:color w:val="auto"/>
        </w:rPr>
        <w:t xml:space="preserve">Operating performance metrics presented in the table below have been derived from information used by management to monitor and manage the financial performance of the Company </w:t>
      </w:r>
      <w:r>
        <w:rPr>
          <w:rFonts w:ascii="Arial" w:cs="Arial" w:eastAsia="Arial" w:hAnsi="Arial"/>
          <w:sz w:val="16"/>
          <w:szCs w:val="16"/>
          <w:i w:val="1"/>
          <w:iCs w:val="1"/>
          <w:color w:val="auto"/>
        </w:rPr>
        <w:t>(dollars in thousands, except per share amounts)</w:t>
      </w:r>
      <w:r>
        <w:rPr>
          <w:rFonts w:ascii="Arial" w:cs="Arial" w:eastAsia="Arial" w:hAnsi="Arial"/>
          <w:sz w:val="16"/>
          <w:szCs w:val="16"/>
          <w:color w:val="auto"/>
        </w:rPr>
        <w:t>:</w:t>
      </w:r>
    </w:p>
    <w:p>
      <w:pPr>
        <w:spacing w:after="0" w:line="116"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8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6"/>
          </w:tcPr>
          <w:p>
            <w:pPr>
              <w:jc w:val="right"/>
              <w:ind w:right="33"/>
              <w:spacing w:after="0"/>
              <w:rPr>
                <w:sz w:val="20"/>
                <w:szCs w:val="20"/>
                <w:color w:val="auto"/>
              </w:rPr>
            </w:pPr>
            <w:r>
              <w:rPr>
                <w:rFonts w:ascii="Arial" w:cs="Arial" w:eastAsia="Arial" w:hAnsi="Arial"/>
                <w:sz w:val="14"/>
                <w:szCs w:val="14"/>
                <w:b w:val="1"/>
                <w:bCs w:val="1"/>
                <w:color w:val="auto"/>
              </w:rPr>
              <w:t>Three Months Ended</w:t>
            </w:r>
          </w:p>
        </w:tc>
        <w:tc>
          <w:tcPr>
            <w:tcW w:w="64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r>
      <w:tr>
        <w:trPr>
          <w:trHeight w:val="133"/>
        </w:trPr>
        <w:tc>
          <w:tcPr>
            <w:tcW w:w="8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right"/>
              <w:ind w:right="280"/>
              <w:spacing w:after="0" w:line="133" w:lineRule="exact"/>
              <w:rPr>
                <w:sz w:val="20"/>
                <w:szCs w:val="20"/>
                <w:color w:val="auto"/>
              </w:rPr>
            </w:pPr>
            <w:r>
              <w:rPr>
                <w:rFonts w:ascii="Arial" w:cs="Arial" w:eastAsia="Arial" w:hAnsi="Arial"/>
                <w:sz w:val="14"/>
                <w:szCs w:val="14"/>
                <w:b w:val="1"/>
                <w:bCs w:val="1"/>
                <w:color w:val="auto"/>
                <w:w w:val="95"/>
              </w:rPr>
              <w:t>March 31,</w:t>
            </w:r>
          </w:p>
        </w:tc>
        <w:tc>
          <w:tcPr>
            <w:tcW w:w="1020" w:type="dxa"/>
            <w:vAlign w:val="bottom"/>
            <w:gridSpan w:val="3"/>
          </w:tcPr>
          <w:p>
            <w:pPr>
              <w:ind w:left="20"/>
              <w:spacing w:after="0" w:line="133" w:lineRule="exact"/>
              <w:rPr>
                <w:sz w:val="20"/>
                <w:szCs w:val="20"/>
                <w:color w:val="auto"/>
              </w:rPr>
            </w:pPr>
            <w:r>
              <w:rPr>
                <w:rFonts w:ascii="Arial" w:cs="Arial" w:eastAsia="Arial" w:hAnsi="Arial"/>
                <w:sz w:val="14"/>
                <w:szCs w:val="14"/>
                <w:b w:val="1"/>
                <w:bCs w:val="1"/>
                <w:color w:val="auto"/>
              </w:rPr>
              <w:t>December 31,</w:t>
            </w:r>
          </w:p>
        </w:tc>
        <w:tc>
          <w:tcPr>
            <w:tcW w:w="820" w:type="dxa"/>
            <w:vAlign w:val="bottom"/>
            <w:gridSpan w:val="2"/>
          </w:tcPr>
          <w:p>
            <w:pPr>
              <w:jc w:val="right"/>
              <w:ind w:right="11"/>
              <w:spacing w:after="0" w:line="133" w:lineRule="exact"/>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1"/>
                <w:szCs w:val="11"/>
                <w:color w:val="auto"/>
              </w:rPr>
            </w:pPr>
          </w:p>
        </w:tc>
      </w:tr>
      <w:tr>
        <w:trPr>
          <w:trHeight w:val="185"/>
        </w:trPr>
        <w:tc>
          <w:tcPr>
            <w:tcW w:w="880" w:type="dxa"/>
            <w:vAlign w:val="bottom"/>
            <w:tcBorders>
              <w:bottom w:val="single" w:sz="8" w:color="CCEEFF"/>
            </w:tcBorders>
          </w:tcPr>
          <w:p>
            <w:pPr>
              <w:spacing w:after="0"/>
              <w:rPr>
                <w:sz w:val="16"/>
                <w:szCs w:val="16"/>
                <w:color w:val="auto"/>
              </w:rPr>
            </w:pPr>
          </w:p>
        </w:tc>
        <w:tc>
          <w:tcPr>
            <w:tcW w:w="1360" w:type="dxa"/>
            <w:vAlign w:val="bottom"/>
            <w:tcBorders>
              <w:bottom w:val="single" w:sz="8" w:color="CCEEFF"/>
            </w:tcBorders>
          </w:tcPr>
          <w:p>
            <w:pPr>
              <w:spacing w:after="0"/>
              <w:rPr>
                <w:sz w:val="16"/>
                <w:szCs w:val="16"/>
                <w:color w:val="auto"/>
              </w:rPr>
            </w:pPr>
          </w:p>
        </w:tc>
        <w:tc>
          <w:tcPr>
            <w:tcW w:w="36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6"/>
                <w:szCs w:val="16"/>
                <w:color w:val="auto"/>
              </w:rPr>
            </w:pPr>
          </w:p>
        </w:tc>
      </w:tr>
      <w:tr>
        <w:trPr>
          <w:trHeight w:val="196"/>
        </w:trPr>
        <w:tc>
          <w:tcPr>
            <w:tcW w:w="8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w w:val="98"/>
              </w:rPr>
              <w:t>Reported:</w:t>
            </w:r>
          </w:p>
        </w:tc>
        <w:tc>
          <w:tcPr>
            <w:tcW w:w="4980" w:type="dxa"/>
            <w:vAlign w:val="bottom"/>
            <w:gridSpan w:val="2"/>
            <w:shd w:val="clear" w:color="auto" w:fill="CCEEFF"/>
          </w:tcPr>
          <w:p>
            <w:pPr>
              <w:ind w:left="80"/>
              <w:spacing w:after="0" w:line="196" w:lineRule="exact"/>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37,816</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28,345</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15,364</w:t>
            </w:r>
          </w:p>
        </w:tc>
        <w:tc>
          <w:tcPr>
            <w:tcW w:w="180" w:type="dxa"/>
            <w:vAlign w:val="bottom"/>
            <w:shd w:val="clear" w:color="auto" w:fill="CCEEFF"/>
          </w:tcPr>
          <w:p>
            <w:pPr>
              <w:spacing w:after="0"/>
              <w:rPr>
                <w:sz w:val="17"/>
                <w:szCs w:val="17"/>
                <w:color w:val="auto"/>
              </w:rPr>
            </w:pPr>
          </w:p>
        </w:tc>
      </w:tr>
      <w:tr>
        <w:trPr>
          <w:trHeight w:val="203"/>
        </w:trPr>
        <w:tc>
          <w:tcPr>
            <w:tcW w:w="88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Adjusted:</w:t>
            </w:r>
          </w:p>
        </w:tc>
        <w:tc>
          <w:tcPr>
            <w:tcW w:w="4980" w:type="dxa"/>
            <w:vAlign w:val="bottom"/>
            <w:gridSpan w:val="2"/>
          </w:tcPr>
          <w:p>
            <w:pPr>
              <w:ind w:left="80"/>
              <w:spacing w:after="0" w:line="202" w:lineRule="exact"/>
              <w:rPr>
                <w:sz w:val="20"/>
                <w:szCs w:val="20"/>
                <w:color w:val="auto"/>
              </w:rPr>
            </w:pPr>
            <w:r>
              <w:rPr>
                <w:rFonts w:ascii="Arial" w:cs="Arial" w:eastAsia="Arial" w:hAnsi="Arial"/>
                <w:sz w:val="16"/>
                <w:szCs w:val="16"/>
                <w:color w:val="auto"/>
              </w:rPr>
              <w:t xml:space="preserve">Net income </w:t>
            </w:r>
            <w:r>
              <w:rPr>
                <w:rFonts w:ascii="Arial" w:cs="Arial" w:eastAsia="Arial" w:hAnsi="Arial"/>
                <w:sz w:val="23"/>
                <w:szCs w:val="23"/>
                <w:color w:val="auto"/>
                <w:vertAlign w:val="superscript"/>
              </w:rPr>
              <w:t>(1)</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38,065</w:t>
            </w:r>
          </w:p>
        </w:tc>
        <w:tc>
          <w:tcPr>
            <w:tcW w:w="160" w:type="dxa"/>
            <w:vAlign w:val="bottom"/>
          </w:tcPr>
          <w:p>
            <w:pPr>
              <w:spacing w:after="0"/>
              <w:rPr>
                <w:sz w:val="17"/>
                <w:szCs w:val="17"/>
                <w:color w:val="auto"/>
              </w:rPr>
            </w:pPr>
          </w:p>
        </w:tc>
        <w:tc>
          <w:tcPr>
            <w:tcW w:w="20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34,255</w:t>
            </w:r>
          </w:p>
        </w:tc>
        <w:tc>
          <w:tcPr>
            <w:tcW w:w="160" w:type="dxa"/>
            <w:vAlign w:val="bottom"/>
          </w:tcPr>
          <w:p>
            <w:pPr>
              <w:spacing w:after="0"/>
              <w:rPr>
                <w:sz w:val="17"/>
                <w:szCs w:val="17"/>
                <w:color w:val="auto"/>
              </w:rPr>
            </w:pP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15,479</w:t>
            </w:r>
          </w:p>
        </w:tc>
        <w:tc>
          <w:tcPr>
            <w:tcW w:w="180" w:type="dxa"/>
            <w:vAlign w:val="bottom"/>
          </w:tcPr>
          <w:p>
            <w:pPr>
              <w:spacing w:after="0"/>
              <w:rPr>
                <w:sz w:val="17"/>
                <w:szCs w:val="17"/>
                <w:color w:val="auto"/>
              </w:rPr>
            </w:pPr>
          </w:p>
        </w:tc>
      </w:tr>
      <w:tr>
        <w:trPr>
          <w:trHeight w:val="203"/>
        </w:trPr>
        <w:tc>
          <w:tcPr>
            <w:tcW w:w="8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3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02"/>
        </w:trPr>
        <w:tc>
          <w:tcPr>
            <w:tcW w:w="880" w:type="dxa"/>
            <w:vAlign w:val="bottom"/>
          </w:tcPr>
          <w:p>
            <w:pPr>
              <w:ind w:left="20"/>
              <w:spacing w:after="0" w:line="202" w:lineRule="exact"/>
              <w:rPr>
                <w:sz w:val="20"/>
                <w:szCs w:val="20"/>
                <w:color w:val="auto"/>
              </w:rPr>
            </w:pPr>
            <w:r>
              <w:rPr>
                <w:rFonts w:ascii="Arial" w:cs="Arial" w:eastAsia="Arial" w:hAnsi="Arial"/>
                <w:sz w:val="18"/>
                <w:szCs w:val="18"/>
                <w:b w:val="1"/>
                <w:bCs w:val="1"/>
                <w:color w:val="auto"/>
                <w:w w:val="98"/>
              </w:rPr>
              <w:t>Reported:</w:t>
            </w:r>
          </w:p>
        </w:tc>
        <w:tc>
          <w:tcPr>
            <w:tcW w:w="498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Diluted earnings per common share</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0.69</w:t>
            </w:r>
          </w:p>
        </w:tc>
        <w:tc>
          <w:tcPr>
            <w:tcW w:w="160" w:type="dxa"/>
            <w:vAlign w:val="bottom"/>
          </w:tcPr>
          <w:p>
            <w:pPr>
              <w:spacing w:after="0"/>
              <w:rPr>
                <w:sz w:val="17"/>
                <w:szCs w:val="17"/>
                <w:color w:val="auto"/>
              </w:rPr>
            </w:pPr>
          </w:p>
        </w:tc>
        <w:tc>
          <w:tcPr>
            <w:tcW w:w="20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0.52</w:t>
            </w:r>
          </w:p>
        </w:tc>
        <w:tc>
          <w:tcPr>
            <w:tcW w:w="160" w:type="dxa"/>
            <w:vAlign w:val="bottom"/>
          </w:tcPr>
          <w:p>
            <w:pPr>
              <w:spacing w:after="0"/>
              <w:rPr>
                <w:sz w:val="17"/>
                <w:szCs w:val="17"/>
                <w:color w:val="auto"/>
              </w:rPr>
            </w:pP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0.28</w:t>
            </w:r>
          </w:p>
        </w:tc>
        <w:tc>
          <w:tcPr>
            <w:tcW w:w="180" w:type="dxa"/>
            <w:vAlign w:val="bottom"/>
          </w:tcPr>
          <w:p>
            <w:pPr>
              <w:spacing w:after="0"/>
              <w:rPr>
                <w:sz w:val="17"/>
                <w:szCs w:val="17"/>
                <w:color w:val="auto"/>
              </w:rPr>
            </w:pPr>
          </w:p>
        </w:tc>
      </w:tr>
      <w:tr>
        <w:trPr>
          <w:trHeight w:val="203"/>
        </w:trPr>
        <w:tc>
          <w:tcPr>
            <w:tcW w:w="8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Adjusted:</w:t>
            </w:r>
          </w:p>
        </w:tc>
        <w:tc>
          <w:tcPr>
            <w:tcW w:w="4980" w:type="dxa"/>
            <w:vAlign w:val="bottom"/>
            <w:gridSpan w:val="2"/>
            <w:shd w:val="clear" w:color="auto" w:fill="CCEEFF"/>
          </w:tcPr>
          <w:p>
            <w:pPr>
              <w:ind w:left="80"/>
              <w:spacing w:after="0" w:line="202" w:lineRule="exact"/>
              <w:rPr>
                <w:sz w:val="20"/>
                <w:szCs w:val="20"/>
                <w:color w:val="auto"/>
              </w:rPr>
            </w:pPr>
            <w:r>
              <w:rPr>
                <w:rFonts w:ascii="Arial" w:cs="Arial" w:eastAsia="Arial" w:hAnsi="Arial"/>
                <w:sz w:val="16"/>
                <w:szCs w:val="16"/>
                <w:color w:val="auto"/>
              </w:rPr>
              <w:t xml:space="preserve">Diluted earnings per common share </w:t>
            </w:r>
            <w:r>
              <w:rPr>
                <w:rFonts w:ascii="Arial" w:cs="Arial" w:eastAsia="Arial" w:hAnsi="Arial"/>
                <w:sz w:val="23"/>
                <w:szCs w:val="23"/>
                <w:color w:val="auto"/>
                <w:vertAlign w:val="superscript"/>
              </w:rPr>
              <w:t>(2)</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0.69</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0.62</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0.28</w:t>
            </w:r>
          </w:p>
        </w:tc>
        <w:tc>
          <w:tcPr>
            <w:tcW w:w="180" w:type="dxa"/>
            <w:vAlign w:val="bottom"/>
            <w:shd w:val="clear" w:color="auto" w:fill="CCEEFF"/>
          </w:tcPr>
          <w:p>
            <w:pPr>
              <w:spacing w:after="0"/>
              <w:rPr>
                <w:sz w:val="17"/>
                <w:szCs w:val="17"/>
                <w:color w:val="auto"/>
              </w:rPr>
            </w:pPr>
          </w:p>
        </w:tc>
      </w:tr>
      <w:tr>
        <w:trPr>
          <w:trHeight w:val="203"/>
        </w:trPr>
        <w:tc>
          <w:tcPr>
            <w:tcW w:w="8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3"/>
        </w:trPr>
        <w:tc>
          <w:tcPr>
            <w:tcW w:w="8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w w:val="98"/>
              </w:rPr>
              <w:t>Reported:</w:t>
            </w:r>
          </w:p>
        </w:tc>
        <w:tc>
          <w:tcPr>
            <w:tcW w:w="4980" w:type="dxa"/>
            <w:vAlign w:val="bottom"/>
            <w:gridSpan w:val="2"/>
            <w:shd w:val="clear" w:color="auto" w:fill="CCEEFF"/>
          </w:tcPr>
          <w:p>
            <w:pPr>
              <w:ind w:left="80"/>
              <w:spacing w:after="0" w:line="202" w:lineRule="exact"/>
              <w:rPr>
                <w:sz w:val="20"/>
                <w:szCs w:val="20"/>
                <w:color w:val="auto"/>
              </w:rPr>
            </w:pPr>
            <w:r>
              <w:rPr>
                <w:rFonts w:ascii="Arial" w:cs="Arial" w:eastAsia="Arial" w:hAnsi="Arial"/>
                <w:sz w:val="16"/>
                <w:szCs w:val="16"/>
                <w:color w:val="auto"/>
              </w:rPr>
              <w:t xml:space="preserve">Return on average assets </w:t>
            </w:r>
            <w:r>
              <w:rPr>
                <w:rFonts w:ascii="Arial" w:cs="Arial" w:eastAsia="Arial" w:hAnsi="Arial"/>
                <w:sz w:val="23"/>
                <w:szCs w:val="23"/>
                <w:color w:val="auto"/>
                <w:vertAlign w:val="superscript"/>
              </w:rPr>
              <w:t>(3)</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1.45 %</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1.08 %</w:t>
            </w: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0.64 %</w:t>
            </w:r>
          </w:p>
        </w:tc>
      </w:tr>
      <w:tr>
        <w:trPr>
          <w:trHeight w:val="230"/>
        </w:trPr>
        <w:tc>
          <w:tcPr>
            <w:tcW w:w="880" w:type="dxa"/>
            <w:vAlign w:val="bottom"/>
          </w:tcPr>
          <w:p>
            <w:pPr>
              <w:ind w:left="20"/>
              <w:spacing w:after="0"/>
              <w:rPr>
                <w:sz w:val="20"/>
                <w:szCs w:val="20"/>
                <w:color w:val="auto"/>
              </w:rPr>
            </w:pPr>
            <w:r>
              <w:rPr>
                <w:rFonts w:ascii="Arial" w:cs="Arial" w:eastAsia="Arial" w:hAnsi="Arial"/>
                <w:sz w:val="18"/>
                <w:szCs w:val="18"/>
                <w:b w:val="1"/>
                <w:bCs w:val="1"/>
                <w:color w:val="auto"/>
              </w:rPr>
              <w:t>Adjusted:</w:t>
            </w:r>
          </w:p>
        </w:tc>
        <w:tc>
          <w:tcPr>
            <w:tcW w:w="4980" w:type="dxa"/>
            <w:vAlign w:val="bottom"/>
            <w:gridSpan w:val="2"/>
          </w:tcPr>
          <w:p>
            <w:pPr>
              <w:ind w:left="80"/>
              <w:spacing w:after="0" w:line="230" w:lineRule="exact"/>
              <w:rPr>
                <w:sz w:val="20"/>
                <w:szCs w:val="20"/>
                <w:color w:val="auto"/>
              </w:rPr>
            </w:pPr>
            <w:r>
              <w:rPr>
                <w:rFonts w:ascii="Arial" w:cs="Arial" w:eastAsia="Arial" w:hAnsi="Arial"/>
                <w:sz w:val="18"/>
                <w:szCs w:val="18"/>
                <w:color w:val="auto"/>
              </w:rPr>
              <w:t xml:space="preserve">Return on average assets </w:t>
            </w:r>
            <w:r>
              <w:rPr>
                <w:rFonts w:ascii="Arial" w:cs="Arial" w:eastAsia="Arial" w:hAnsi="Arial"/>
                <w:sz w:val="26"/>
                <w:szCs w:val="26"/>
                <w:color w:val="auto"/>
                <w:vertAlign w:val="superscript"/>
              </w:rPr>
              <w:t>(2), (3)</w:t>
            </w:r>
          </w:p>
        </w:tc>
        <w:tc>
          <w:tcPr>
            <w:tcW w:w="10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1.46 %</w:t>
            </w:r>
          </w:p>
        </w:tc>
        <w:tc>
          <w:tcPr>
            <w:tcW w:w="20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1.31 %</w:t>
            </w:r>
          </w:p>
        </w:tc>
        <w:tc>
          <w:tcPr>
            <w:tcW w:w="18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0.64 %</w:t>
            </w:r>
          </w:p>
        </w:tc>
      </w:tr>
      <w:tr>
        <w:trPr>
          <w:trHeight w:val="203"/>
        </w:trPr>
        <w:tc>
          <w:tcPr>
            <w:tcW w:w="8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3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03"/>
        </w:trPr>
        <w:tc>
          <w:tcPr>
            <w:tcW w:w="880" w:type="dxa"/>
            <w:vAlign w:val="bottom"/>
          </w:tcPr>
          <w:p>
            <w:pPr>
              <w:ind w:left="20"/>
              <w:spacing w:after="0" w:line="202" w:lineRule="exact"/>
              <w:rPr>
                <w:sz w:val="20"/>
                <w:szCs w:val="20"/>
                <w:color w:val="auto"/>
              </w:rPr>
            </w:pPr>
            <w:r>
              <w:rPr>
                <w:rFonts w:ascii="Arial" w:cs="Arial" w:eastAsia="Arial" w:hAnsi="Arial"/>
                <w:sz w:val="18"/>
                <w:szCs w:val="18"/>
                <w:b w:val="1"/>
                <w:bCs w:val="1"/>
                <w:color w:val="auto"/>
                <w:w w:val="98"/>
              </w:rPr>
              <w:t>Reported:</w:t>
            </w:r>
          </w:p>
        </w:tc>
        <w:tc>
          <w:tcPr>
            <w:tcW w:w="4980" w:type="dxa"/>
            <w:vAlign w:val="bottom"/>
            <w:gridSpan w:val="2"/>
          </w:tcPr>
          <w:p>
            <w:pPr>
              <w:ind w:left="80"/>
              <w:spacing w:after="0" w:line="202" w:lineRule="exact"/>
              <w:rPr>
                <w:sz w:val="20"/>
                <w:szCs w:val="20"/>
                <w:color w:val="auto"/>
              </w:rPr>
            </w:pPr>
            <w:r>
              <w:rPr>
                <w:rFonts w:ascii="Arial" w:cs="Arial" w:eastAsia="Arial" w:hAnsi="Arial"/>
                <w:sz w:val="16"/>
                <w:szCs w:val="16"/>
                <w:color w:val="auto"/>
              </w:rPr>
              <w:t xml:space="preserve">Return on average tangible common equity </w:t>
            </w:r>
            <w:r>
              <w:rPr>
                <w:rFonts w:ascii="Arial" w:cs="Arial" w:eastAsia="Arial" w:hAnsi="Arial"/>
                <w:sz w:val="23"/>
                <w:szCs w:val="23"/>
                <w:color w:val="auto"/>
                <w:vertAlign w:val="superscript"/>
              </w:rPr>
              <w:t>(1), (3)</w:t>
            </w:r>
          </w:p>
        </w:tc>
        <w:tc>
          <w:tcPr>
            <w:tcW w:w="100" w:type="dxa"/>
            <w:vAlign w:val="bottom"/>
          </w:tcPr>
          <w:p>
            <w:pPr>
              <w:spacing w:after="0"/>
              <w:rPr>
                <w:sz w:val="17"/>
                <w:szCs w:val="17"/>
                <w:color w:val="auto"/>
              </w:rPr>
            </w:pPr>
          </w:p>
        </w:tc>
        <w:tc>
          <w:tcPr>
            <w:tcW w:w="9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16.80 %</w:t>
            </w:r>
          </w:p>
        </w:tc>
        <w:tc>
          <w:tcPr>
            <w:tcW w:w="200" w:type="dxa"/>
            <w:vAlign w:val="bottom"/>
          </w:tcPr>
          <w:p>
            <w:pPr>
              <w:spacing w:after="0"/>
              <w:rPr>
                <w:sz w:val="17"/>
                <w:szCs w:val="17"/>
                <w:color w:val="auto"/>
              </w:rPr>
            </w:pPr>
          </w:p>
        </w:tc>
        <w:tc>
          <w:tcPr>
            <w:tcW w:w="8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12.58 %</w:t>
            </w:r>
          </w:p>
        </w:tc>
        <w:tc>
          <w:tcPr>
            <w:tcW w:w="180" w:type="dxa"/>
            <w:vAlign w:val="bottom"/>
          </w:tcPr>
          <w:p>
            <w:pPr>
              <w:spacing w:after="0"/>
              <w:rPr>
                <w:sz w:val="17"/>
                <w:szCs w:val="17"/>
                <w:color w:val="auto"/>
              </w:rPr>
            </w:pPr>
          </w:p>
        </w:tc>
        <w:tc>
          <w:tcPr>
            <w:tcW w:w="8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7.30 %</w:t>
            </w:r>
          </w:p>
        </w:tc>
      </w:tr>
      <w:tr>
        <w:trPr>
          <w:trHeight w:val="203"/>
        </w:trPr>
        <w:tc>
          <w:tcPr>
            <w:tcW w:w="8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Adjusted:</w:t>
            </w:r>
          </w:p>
        </w:tc>
        <w:tc>
          <w:tcPr>
            <w:tcW w:w="4980" w:type="dxa"/>
            <w:vAlign w:val="bottom"/>
            <w:gridSpan w:val="2"/>
            <w:shd w:val="clear" w:color="auto" w:fill="CCEEFF"/>
          </w:tcPr>
          <w:p>
            <w:pPr>
              <w:ind w:left="80"/>
              <w:spacing w:after="0" w:line="202" w:lineRule="exact"/>
              <w:rPr>
                <w:sz w:val="20"/>
                <w:szCs w:val="20"/>
                <w:color w:val="auto"/>
              </w:rPr>
            </w:pPr>
            <w:r>
              <w:rPr>
                <w:rFonts w:ascii="Arial" w:cs="Arial" w:eastAsia="Arial" w:hAnsi="Arial"/>
                <w:sz w:val="16"/>
                <w:szCs w:val="16"/>
                <w:color w:val="auto"/>
              </w:rPr>
              <w:t xml:space="preserve">Return on average tangible common equity </w:t>
            </w:r>
            <w:r>
              <w:rPr>
                <w:rFonts w:ascii="Arial" w:cs="Arial" w:eastAsia="Arial" w:hAnsi="Arial"/>
                <w:sz w:val="23"/>
                <w:szCs w:val="23"/>
                <w:color w:val="auto"/>
                <w:vertAlign w:val="superscript"/>
              </w:rPr>
              <w:t>(2), (3)</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16.91 %</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15.21 %</w:t>
            </w: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7.36 %</w:t>
            </w:r>
          </w:p>
        </w:tc>
      </w:tr>
      <w:tr>
        <w:trPr>
          <w:trHeight w:val="202"/>
        </w:trPr>
        <w:tc>
          <w:tcPr>
            <w:tcW w:w="8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3"/>
        </w:trPr>
        <w:tc>
          <w:tcPr>
            <w:tcW w:w="8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w w:val="98"/>
              </w:rPr>
              <w:t>Reported:</w:t>
            </w:r>
          </w:p>
        </w:tc>
        <w:tc>
          <w:tcPr>
            <w:tcW w:w="4980" w:type="dxa"/>
            <w:vAlign w:val="bottom"/>
            <w:gridSpan w:val="2"/>
            <w:shd w:val="clear" w:color="auto" w:fill="CCEEFF"/>
          </w:tcPr>
          <w:p>
            <w:pPr>
              <w:ind w:left="80"/>
              <w:spacing w:after="0" w:line="202" w:lineRule="exact"/>
              <w:rPr>
                <w:sz w:val="20"/>
                <w:szCs w:val="20"/>
                <w:color w:val="auto"/>
              </w:rPr>
            </w:pPr>
            <w:r>
              <w:rPr>
                <w:rFonts w:ascii="Arial" w:cs="Arial" w:eastAsia="Arial" w:hAnsi="Arial"/>
                <w:sz w:val="16"/>
                <w:szCs w:val="16"/>
                <w:color w:val="auto"/>
              </w:rPr>
              <w:t xml:space="preserve">Pre-provision net revenue </w:t>
            </w:r>
            <w:r>
              <w:rPr>
                <w:rFonts w:ascii="Arial" w:cs="Arial" w:eastAsia="Arial" w:hAnsi="Arial"/>
                <w:sz w:val="23"/>
                <w:szCs w:val="23"/>
                <w:color w:val="auto"/>
                <w:vertAlign w:val="superscript"/>
              </w:rPr>
              <w:t>(1)</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40,198</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38,507</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35,849</w:t>
            </w:r>
          </w:p>
        </w:tc>
        <w:tc>
          <w:tcPr>
            <w:tcW w:w="180" w:type="dxa"/>
            <w:vAlign w:val="bottom"/>
            <w:shd w:val="clear" w:color="auto" w:fill="CCEEFF"/>
          </w:tcPr>
          <w:p>
            <w:pPr>
              <w:spacing w:after="0"/>
              <w:rPr>
                <w:sz w:val="17"/>
                <w:szCs w:val="17"/>
                <w:color w:val="auto"/>
              </w:rPr>
            </w:pPr>
          </w:p>
        </w:tc>
      </w:tr>
      <w:tr>
        <w:trPr>
          <w:trHeight w:val="203"/>
        </w:trPr>
        <w:tc>
          <w:tcPr>
            <w:tcW w:w="88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Adjusted:</w:t>
            </w:r>
          </w:p>
        </w:tc>
        <w:tc>
          <w:tcPr>
            <w:tcW w:w="4980" w:type="dxa"/>
            <w:vAlign w:val="bottom"/>
            <w:gridSpan w:val="2"/>
          </w:tcPr>
          <w:p>
            <w:pPr>
              <w:ind w:left="80"/>
              <w:spacing w:after="0" w:line="202" w:lineRule="exact"/>
              <w:rPr>
                <w:sz w:val="20"/>
                <w:szCs w:val="20"/>
                <w:color w:val="auto"/>
              </w:rPr>
            </w:pPr>
            <w:r>
              <w:rPr>
                <w:rFonts w:ascii="Arial" w:cs="Arial" w:eastAsia="Arial" w:hAnsi="Arial"/>
                <w:sz w:val="16"/>
                <w:szCs w:val="16"/>
                <w:color w:val="auto"/>
              </w:rPr>
              <w:t xml:space="preserve">Pre-provision net revenue </w:t>
            </w:r>
            <w:r>
              <w:rPr>
                <w:rFonts w:ascii="Arial" w:cs="Arial" w:eastAsia="Arial" w:hAnsi="Arial"/>
                <w:sz w:val="23"/>
                <w:szCs w:val="23"/>
                <w:color w:val="auto"/>
                <w:vertAlign w:val="superscript"/>
              </w:rPr>
              <w:t>(1)</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42,753</w:t>
            </w:r>
          </w:p>
        </w:tc>
        <w:tc>
          <w:tcPr>
            <w:tcW w:w="160" w:type="dxa"/>
            <w:vAlign w:val="bottom"/>
          </w:tcPr>
          <w:p>
            <w:pPr>
              <w:spacing w:after="0"/>
              <w:rPr>
                <w:sz w:val="17"/>
                <w:szCs w:val="17"/>
                <w:color w:val="auto"/>
              </w:rPr>
            </w:pPr>
          </w:p>
        </w:tc>
        <w:tc>
          <w:tcPr>
            <w:tcW w:w="20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47,156</w:t>
            </w:r>
          </w:p>
        </w:tc>
        <w:tc>
          <w:tcPr>
            <w:tcW w:w="160" w:type="dxa"/>
            <w:vAlign w:val="bottom"/>
          </w:tcPr>
          <w:p>
            <w:pPr>
              <w:spacing w:after="0"/>
              <w:rPr>
                <w:sz w:val="17"/>
                <w:szCs w:val="17"/>
                <w:color w:val="auto"/>
              </w:rPr>
            </w:pP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38,211</w:t>
            </w:r>
          </w:p>
        </w:tc>
        <w:tc>
          <w:tcPr>
            <w:tcW w:w="180" w:type="dxa"/>
            <w:vAlign w:val="bottom"/>
          </w:tcPr>
          <w:p>
            <w:pPr>
              <w:spacing w:after="0"/>
              <w:rPr>
                <w:sz w:val="17"/>
                <w:szCs w:val="17"/>
                <w:color w:val="auto"/>
              </w:rPr>
            </w:pPr>
          </w:p>
        </w:tc>
      </w:tr>
      <w:tr>
        <w:trPr>
          <w:trHeight w:val="203"/>
        </w:trPr>
        <w:tc>
          <w:tcPr>
            <w:tcW w:w="8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3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03"/>
        </w:trPr>
        <w:tc>
          <w:tcPr>
            <w:tcW w:w="880" w:type="dxa"/>
            <w:vAlign w:val="bottom"/>
          </w:tcPr>
          <w:p>
            <w:pPr>
              <w:ind w:left="20"/>
              <w:spacing w:after="0" w:line="202" w:lineRule="exact"/>
              <w:rPr>
                <w:sz w:val="20"/>
                <w:szCs w:val="20"/>
                <w:color w:val="auto"/>
              </w:rPr>
            </w:pPr>
            <w:r>
              <w:rPr>
                <w:rFonts w:ascii="Arial" w:cs="Arial" w:eastAsia="Arial" w:hAnsi="Arial"/>
                <w:sz w:val="18"/>
                <w:szCs w:val="18"/>
                <w:b w:val="1"/>
                <w:bCs w:val="1"/>
                <w:color w:val="auto"/>
                <w:w w:val="98"/>
              </w:rPr>
              <w:t>Reported:</w:t>
            </w:r>
          </w:p>
        </w:tc>
        <w:tc>
          <w:tcPr>
            <w:tcW w:w="4980" w:type="dxa"/>
            <w:vAlign w:val="bottom"/>
            <w:gridSpan w:val="2"/>
          </w:tcPr>
          <w:p>
            <w:pPr>
              <w:ind w:left="80"/>
              <w:spacing w:after="0" w:line="202" w:lineRule="exact"/>
              <w:rPr>
                <w:sz w:val="20"/>
                <w:szCs w:val="20"/>
                <w:color w:val="auto"/>
              </w:rPr>
            </w:pPr>
            <w:r>
              <w:rPr>
                <w:rFonts w:ascii="Arial" w:cs="Arial" w:eastAsia="Arial" w:hAnsi="Arial"/>
                <w:sz w:val="16"/>
                <w:szCs w:val="16"/>
                <w:color w:val="auto"/>
              </w:rPr>
              <w:t xml:space="preserve">Pre-provision net revenue to average assets </w:t>
            </w:r>
            <w:r>
              <w:rPr>
                <w:rFonts w:ascii="Arial" w:cs="Arial" w:eastAsia="Arial" w:hAnsi="Arial"/>
                <w:sz w:val="23"/>
                <w:szCs w:val="23"/>
                <w:color w:val="auto"/>
                <w:vertAlign w:val="superscript"/>
              </w:rPr>
              <w:t>(1), (3)</w:t>
            </w:r>
          </w:p>
        </w:tc>
        <w:tc>
          <w:tcPr>
            <w:tcW w:w="100" w:type="dxa"/>
            <w:vAlign w:val="bottom"/>
          </w:tcPr>
          <w:p>
            <w:pPr>
              <w:spacing w:after="0"/>
              <w:rPr>
                <w:sz w:val="17"/>
                <w:szCs w:val="17"/>
                <w:color w:val="auto"/>
              </w:rPr>
            </w:pPr>
          </w:p>
        </w:tc>
        <w:tc>
          <w:tcPr>
            <w:tcW w:w="9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1.54 %</w:t>
            </w:r>
          </w:p>
        </w:tc>
        <w:tc>
          <w:tcPr>
            <w:tcW w:w="200" w:type="dxa"/>
            <w:vAlign w:val="bottom"/>
          </w:tcPr>
          <w:p>
            <w:pPr>
              <w:spacing w:after="0"/>
              <w:rPr>
                <w:sz w:val="17"/>
                <w:szCs w:val="17"/>
                <w:color w:val="auto"/>
              </w:rPr>
            </w:pPr>
          </w:p>
        </w:tc>
        <w:tc>
          <w:tcPr>
            <w:tcW w:w="8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1.47 %</w:t>
            </w:r>
          </w:p>
        </w:tc>
        <w:tc>
          <w:tcPr>
            <w:tcW w:w="180" w:type="dxa"/>
            <w:vAlign w:val="bottom"/>
          </w:tcPr>
          <w:p>
            <w:pPr>
              <w:spacing w:after="0"/>
              <w:rPr>
                <w:sz w:val="17"/>
                <w:szCs w:val="17"/>
                <w:color w:val="auto"/>
              </w:rPr>
            </w:pPr>
          </w:p>
        </w:tc>
        <w:tc>
          <w:tcPr>
            <w:tcW w:w="8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1.49 %</w:t>
            </w:r>
          </w:p>
        </w:tc>
      </w:tr>
      <w:tr>
        <w:trPr>
          <w:trHeight w:val="203"/>
        </w:trPr>
        <w:tc>
          <w:tcPr>
            <w:tcW w:w="8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Adjusted:</w:t>
            </w:r>
          </w:p>
        </w:tc>
        <w:tc>
          <w:tcPr>
            <w:tcW w:w="4980" w:type="dxa"/>
            <w:vAlign w:val="bottom"/>
            <w:gridSpan w:val="2"/>
            <w:shd w:val="clear" w:color="auto" w:fill="CCEEFF"/>
          </w:tcPr>
          <w:p>
            <w:pPr>
              <w:ind w:left="80"/>
              <w:spacing w:after="0" w:line="202" w:lineRule="exact"/>
              <w:rPr>
                <w:sz w:val="20"/>
                <w:szCs w:val="20"/>
                <w:color w:val="auto"/>
              </w:rPr>
            </w:pPr>
            <w:r>
              <w:rPr>
                <w:rFonts w:ascii="Arial" w:cs="Arial" w:eastAsia="Arial" w:hAnsi="Arial"/>
                <w:sz w:val="16"/>
                <w:szCs w:val="16"/>
                <w:color w:val="auto"/>
              </w:rPr>
              <w:t xml:space="preserve">Pre-provision net revenue to average assets </w:t>
            </w:r>
            <w:r>
              <w:rPr>
                <w:rFonts w:ascii="Arial" w:cs="Arial" w:eastAsia="Arial" w:hAnsi="Arial"/>
                <w:sz w:val="23"/>
                <w:szCs w:val="23"/>
                <w:color w:val="auto"/>
                <w:vertAlign w:val="superscript"/>
              </w:rPr>
              <w:t>(1), (3)</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1.64 %</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1.80 %</w:t>
            </w: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1.59 %</w:t>
            </w:r>
          </w:p>
        </w:tc>
      </w:tr>
      <w:tr>
        <w:trPr>
          <w:trHeight w:val="115"/>
        </w:trPr>
        <w:tc>
          <w:tcPr>
            <w:tcW w:w="88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3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r>
    </w:tbl>
    <w:p>
      <w:pPr>
        <w:spacing w:after="0" w:line="62" w:lineRule="exact"/>
        <w:rPr>
          <w:sz w:val="20"/>
          <w:szCs w:val="20"/>
          <w:color w:val="auto"/>
        </w:rPr>
      </w:pPr>
    </w:p>
    <w:p>
      <w:pPr>
        <w:ind w:left="720" w:hanging="319"/>
        <w:spacing w:after="0"/>
        <w:tabs>
          <w:tab w:leader="none" w:pos="720" w:val="left"/>
        </w:tabs>
        <w:numPr>
          <w:ilvl w:val="0"/>
          <w:numId w:val="8"/>
        </w:numPr>
        <w:rPr>
          <w:rFonts w:ascii="Arial" w:cs="Arial" w:eastAsia="Arial" w:hAnsi="Arial"/>
          <w:sz w:val="11"/>
          <w:szCs w:val="11"/>
          <w:color w:val="auto"/>
        </w:rPr>
      </w:pPr>
      <w:r>
        <w:rPr>
          <w:rFonts w:ascii="Arial" w:cs="Arial" w:eastAsia="Arial" w:hAnsi="Arial"/>
          <w:sz w:val="14"/>
          <w:szCs w:val="14"/>
          <w:color w:val="auto"/>
        </w:rPr>
        <w:t>A non-GAAP financial measure. See “</w:t>
      </w:r>
      <w:r>
        <w:rPr>
          <w:rFonts w:ascii="Arial" w:cs="Arial" w:eastAsia="Arial" w:hAnsi="Arial"/>
          <w:sz w:val="14"/>
          <w:szCs w:val="14"/>
          <w:i w:val="1"/>
          <w:iCs w:val="1"/>
          <w:color w:val="auto"/>
        </w:rPr>
        <w:t>Non-GAAP Financial Information</w:t>
      </w:r>
      <w:r>
        <w:rPr>
          <w:rFonts w:ascii="Arial" w:cs="Arial" w:eastAsia="Arial" w:hAnsi="Arial"/>
          <w:sz w:val="14"/>
          <w:szCs w:val="14"/>
          <w:color w:val="auto"/>
        </w:rPr>
        <w:t>” included in this Quarterly Report.</w:t>
      </w:r>
    </w:p>
    <w:p>
      <w:pPr>
        <w:spacing w:after="0" w:line="13" w:lineRule="exact"/>
        <w:rPr>
          <w:rFonts w:ascii="Arial" w:cs="Arial" w:eastAsia="Arial" w:hAnsi="Arial"/>
          <w:sz w:val="11"/>
          <w:szCs w:val="11"/>
          <w:color w:val="auto"/>
        </w:rPr>
      </w:pPr>
    </w:p>
    <w:p>
      <w:pPr>
        <w:ind w:left="720" w:hanging="319"/>
        <w:spacing w:after="0"/>
        <w:tabs>
          <w:tab w:leader="none" w:pos="720" w:val="left"/>
        </w:tabs>
        <w:numPr>
          <w:ilvl w:val="0"/>
          <w:numId w:val="8"/>
        </w:numPr>
        <w:rPr>
          <w:rFonts w:ascii="Arial" w:cs="Arial" w:eastAsia="Arial" w:hAnsi="Arial"/>
          <w:sz w:val="10"/>
          <w:szCs w:val="10"/>
          <w:color w:val="auto"/>
        </w:rPr>
      </w:pPr>
      <w:r>
        <w:rPr>
          <w:rFonts w:ascii="Arial" w:cs="Arial" w:eastAsia="Arial" w:hAnsi="Arial"/>
          <w:sz w:val="13"/>
          <w:szCs w:val="13"/>
          <w:color w:val="auto"/>
        </w:rPr>
        <w:t>Calculated using adjusted net income, a non-GAAP measure. See “</w:t>
      </w:r>
      <w:r>
        <w:rPr>
          <w:rFonts w:ascii="Arial" w:cs="Arial" w:eastAsia="Arial" w:hAnsi="Arial"/>
          <w:sz w:val="13"/>
          <w:szCs w:val="13"/>
          <w:i w:val="1"/>
          <w:iCs w:val="1"/>
          <w:color w:val="auto"/>
        </w:rPr>
        <w:t>Non-GAAP Financial Information</w:t>
      </w:r>
      <w:r>
        <w:rPr>
          <w:rFonts w:ascii="Arial" w:cs="Arial" w:eastAsia="Arial" w:hAnsi="Arial"/>
          <w:sz w:val="13"/>
          <w:szCs w:val="13"/>
          <w:color w:val="auto"/>
        </w:rPr>
        <w:t>” included in this Quarterly Report.</w:t>
      </w:r>
    </w:p>
    <w:p>
      <w:pPr>
        <w:spacing w:after="0" w:line="12" w:lineRule="exact"/>
        <w:rPr>
          <w:rFonts w:ascii="Arial" w:cs="Arial" w:eastAsia="Arial" w:hAnsi="Arial"/>
          <w:sz w:val="10"/>
          <w:szCs w:val="10"/>
          <w:color w:val="auto"/>
        </w:rPr>
      </w:pPr>
    </w:p>
    <w:p>
      <w:pPr>
        <w:ind w:left="720" w:hanging="319"/>
        <w:spacing w:after="0"/>
        <w:tabs>
          <w:tab w:leader="none" w:pos="720" w:val="left"/>
        </w:tabs>
        <w:numPr>
          <w:ilvl w:val="0"/>
          <w:numId w:val="8"/>
        </w:numPr>
        <w:rPr>
          <w:rFonts w:ascii="Arial" w:cs="Arial" w:eastAsia="Arial" w:hAnsi="Arial"/>
          <w:sz w:val="11"/>
          <w:szCs w:val="11"/>
          <w:color w:val="auto"/>
        </w:rPr>
      </w:pPr>
      <w:r>
        <w:rPr>
          <w:rFonts w:ascii="Arial" w:cs="Arial" w:eastAsia="Arial" w:hAnsi="Arial"/>
          <w:sz w:val="14"/>
          <w:szCs w:val="14"/>
          <w:color w:val="auto"/>
        </w:rPr>
        <w:t>Annualized measure.</w:t>
      </w:r>
    </w:p>
    <w:p>
      <w:pPr>
        <w:spacing w:after="0" w:line="196" w:lineRule="exact"/>
        <w:rPr>
          <w:sz w:val="20"/>
          <w:szCs w:val="20"/>
          <w:color w:val="auto"/>
        </w:rPr>
      </w:pPr>
    </w:p>
    <w:p>
      <w:pPr>
        <w:ind w:left="60" w:right="119"/>
        <w:spacing w:after="0" w:line="254" w:lineRule="auto"/>
        <w:rPr>
          <w:sz w:val="20"/>
          <w:szCs w:val="20"/>
          <w:color w:val="auto"/>
        </w:rPr>
      </w:pPr>
      <w:r>
        <w:rPr>
          <w:rFonts w:ascii="Arial" w:cs="Arial" w:eastAsia="Arial" w:hAnsi="Arial"/>
          <w:sz w:val="17"/>
          <w:szCs w:val="17"/>
          <w:color w:val="auto"/>
        </w:rPr>
        <w:t>The Company views certain non-operating items, including acquisition-related and restructuring charges, as adjustments to net income reported under GAAP. Non-operating pre-tax adjustments for the three months ended March 31, 2021, included $0.3 million of expenses related to prior acquisitions. A reconciliation of non-GAAP measures – including adjusted pre-provision net revenue, adjusted net income, adjusted earnings per share, adjusted return on average assets, adjusted net interest margin, adjusted efficiency ratio, tangible common equity, tangible common equity to tangible assets, tangible book value per share, and return on average tangible common equity – which the Company believes facilitates the assessment of its financial results and peer comparability, is included in tabular form in this Quarterly Report. See “</w:t>
      </w:r>
      <w:r>
        <w:rPr>
          <w:rFonts w:ascii="Arial" w:cs="Arial" w:eastAsia="Arial" w:hAnsi="Arial"/>
          <w:sz w:val="17"/>
          <w:szCs w:val="17"/>
          <w:i w:val="1"/>
          <w:iCs w:val="1"/>
          <w:color w:val="auto"/>
        </w:rPr>
        <w:t>Non-GAAP Financial Information</w:t>
      </w:r>
      <w:r>
        <w:rPr>
          <w:rFonts w:ascii="Arial" w:cs="Arial" w:eastAsia="Arial" w:hAnsi="Arial"/>
          <w:sz w:val="17"/>
          <w:szCs w:val="17"/>
          <w:color w:val="auto"/>
        </w:rPr>
        <w:t>.”</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Banking Center Markets</w:t>
      </w:r>
    </w:p>
    <w:p>
      <w:pPr>
        <w:spacing w:after="0" w:line="198" w:lineRule="exact"/>
        <w:rPr>
          <w:sz w:val="20"/>
          <w:szCs w:val="20"/>
          <w:color w:val="auto"/>
        </w:rPr>
      </w:pPr>
    </w:p>
    <w:p>
      <w:pPr>
        <w:ind w:left="60" w:right="139"/>
        <w:spacing w:after="0" w:line="241" w:lineRule="auto"/>
        <w:rPr>
          <w:sz w:val="20"/>
          <w:szCs w:val="20"/>
          <w:color w:val="auto"/>
        </w:rPr>
      </w:pPr>
      <w:r>
        <w:rPr>
          <w:rFonts w:ascii="Arial" w:cs="Arial" w:eastAsia="Arial" w:hAnsi="Arial"/>
          <w:sz w:val="18"/>
          <w:szCs w:val="18"/>
          <w:color w:val="auto"/>
        </w:rPr>
        <w:t>At March 31, 2021, Busey Bank had 53 banking centers in Illinois. Our Illinois markets feature several Fortune 1000 companies. Those organizations, coupled with large healthcare and higher education sectors, anchor the communities in which they are located and have provided a comparatively stable foundation for housing, employment, and small business. However, the financial condition of the state of Illinois, in which the largest portion of the Company’s customer base resides, is characterized by low credit ratings and budget deficits.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1" w:name="page42"/>
    <w:bookmarkEnd w:id="4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6" w:lineRule="exact"/>
        <w:rPr>
          <w:sz w:val="20"/>
          <w:szCs w:val="20"/>
          <w:color w:val="auto"/>
        </w:rPr>
      </w:pPr>
    </w:p>
    <w:p>
      <w:pPr>
        <w:ind w:left="60" w:right="79"/>
        <w:spacing w:after="0" w:line="294" w:lineRule="auto"/>
        <w:rPr>
          <w:sz w:val="20"/>
          <w:szCs w:val="20"/>
          <w:color w:val="auto"/>
        </w:rPr>
      </w:pPr>
      <w:r>
        <w:rPr>
          <w:rFonts w:ascii="Arial" w:cs="Arial" w:eastAsia="Arial" w:hAnsi="Arial"/>
          <w:sz w:val="16"/>
          <w:szCs w:val="16"/>
          <w:color w:val="auto"/>
        </w:rPr>
        <w:t>At March 31, 2021, Busey Bank had 10 banking centers in Missouri. St. Louis, Missouri has a diverse economy with major employment sectors including health care, financial services, professional and business services, and retail. Fourteen of our banking centers in Illinois are located within the boundaries of the St. Louis Metropolitan Statistical Area.</w:t>
      </w:r>
    </w:p>
    <w:p>
      <w:pPr>
        <w:spacing w:after="0" w:line="134" w:lineRule="exact"/>
        <w:rPr>
          <w:sz w:val="20"/>
          <w:szCs w:val="20"/>
          <w:color w:val="auto"/>
        </w:rPr>
      </w:pPr>
    </w:p>
    <w:p>
      <w:pPr>
        <w:ind w:left="60" w:right="539"/>
        <w:spacing w:after="0" w:line="291" w:lineRule="auto"/>
        <w:rPr>
          <w:sz w:val="20"/>
          <w:szCs w:val="20"/>
          <w:color w:val="auto"/>
        </w:rPr>
      </w:pPr>
      <w:r>
        <w:rPr>
          <w:rFonts w:ascii="Arial" w:cs="Arial" w:eastAsia="Arial" w:hAnsi="Arial"/>
          <w:sz w:val="17"/>
          <w:szCs w:val="17"/>
          <w:color w:val="auto"/>
        </w:rPr>
        <w:t>At March 31, 2021, Busey Bank had four banking centers in southwest Florida, an area which has experienced above average population growth, job growth, and an expanded housing market over the last several years.</w:t>
      </w:r>
    </w:p>
    <w:p>
      <w:pPr>
        <w:spacing w:after="0" w:line="133" w:lineRule="exact"/>
        <w:rPr>
          <w:sz w:val="20"/>
          <w:szCs w:val="20"/>
          <w:color w:val="auto"/>
        </w:rPr>
      </w:pPr>
    </w:p>
    <w:p>
      <w:pPr>
        <w:ind w:left="60" w:right="179"/>
        <w:spacing w:after="0" w:line="261" w:lineRule="auto"/>
        <w:rPr>
          <w:sz w:val="20"/>
          <w:szCs w:val="20"/>
          <w:color w:val="auto"/>
        </w:rPr>
      </w:pPr>
      <w:r>
        <w:rPr>
          <w:rFonts w:ascii="Arial" w:cs="Arial" w:eastAsia="Arial" w:hAnsi="Arial"/>
          <w:sz w:val="18"/>
          <w:szCs w:val="18"/>
          <w:color w:val="auto"/>
        </w:rPr>
        <w:t>At March 31, 2021, Busey Bank had one banking center in the Indianapolis, Indiana area, which is the most populous city of Indiana with a diverse economy, including the headquarters of many large corporations.</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Interest Income</w:t>
      </w:r>
    </w:p>
    <w:p>
      <w:pPr>
        <w:spacing w:after="0" w:line="198" w:lineRule="exact"/>
        <w:rPr>
          <w:sz w:val="20"/>
          <w:szCs w:val="20"/>
          <w:color w:val="auto"/>
        </w:rPr>
      </w:pPr>
    </w:p>
    <w:p>
      <w:pPr>
        <w:ind w:left="60" w:right="499"/>
        <w:spacing w:after="0" w:line="243" w:lineRule="auto"/>
        <w:rPr>
          <w:sz w:val="20"/>
          <w:szCs w:val="20"/>
          <w:color w:val="auto"/>
        </w:rPr>
      </w:pPr>
      <w:r>
        <w:rPr>
          <w:rFonts w:ascii="Arial" w:cs="Arial" w:eastAsia="Arial" w:hAnsi="Arial"/>
          <w:sz w:val="18"/>
          <w:szCs w:val="18"/>
          <w:color w:val="auto"/>
        </w:rPr>
        <w:t>Net interest income is the difference between interest income and fees earned on earning assets and interest expense incurred on interest-bearing liabilities. Interest rate levels and volume fluctuations within earning assets and interest-bearing liabilities impact net interest income. Net interest margin is tax-equivalent net interest income as a percent of average earning assets.</w:t>
      </w:r>
    </w:p>
    <w:p>
      <w:pPr>
        <w:spacing w:after="0" w:line="174" w:lineRule="exact"/>
        <w:rPr>
          <w:sz w:val="20"/>
          <w:szCs w:val="20"/>
          <w:color w:val="auto"/>
        </w:rPr>
      </w:pPr>
    </w:p>
    <w:p>
      <w:pPr>
        <w:ind w:left="60" w:right="199"/>
        <w:spacing w:after="0" w:line="259" w:lineRule="auto"/>
        <w:rPr>
          <w:sz w:val="20"/>
          <w:szCs w:val="20"/>
          <w:color w:val="auto"/>
        </w:rPr>
      </w:pPr>
      <w:r>
        <w:rPr>
          <w:rFonts w:ascii="Arial" w:cs="Arial" w:eastAsia="Arial" w:hAnsi="Arial"/>
          <w:sz w:val="17"/>
          <w:szCs w:val="17"/>
          <w:color w:val="auto"/>
        </w:rPr>
        <w:t>Certain assets with tax favorable treatment are evaluated on a tax-equivalent basis. Tax-equivalent basis assumes an income tax rate of 21%. Tax favorable assets generally have lower contractual pre-tax yields than fully taxable assets. A tax-equivalent analysis is performed by adding the tax savings to the earnings on tax favorable assets. After factoring in the tax favorable effects of these assets, the yields may be more appropriately evaluated against alternative earning assets. In addition to yield, various other risks are factored into the evaluation process.</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2" w:name="page43"/>
    <w:bookmarkEnd w:id="4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6"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Consolidated Average Balance Sheets and Interest Rates (Unaudited)</w:t>
      </w:r>
    </w:p>
    <w:p>
      <w:pPr>
        <w:spacing w:after="0" w:line="198" w:lineRule="exact"/>
        <w:rPr>
          <w:sz w:val="20"/>
          <w:szCs w:val="20"/>
          <w:color w:val="auto"/>
        </w:rPr>
      </w:pPr>
    </w:p>
    <w:p>
      <w:pPr>
        <w:ind w:left="60" w:right="259"/>
        <w:spacing w:after="0" w:line="243" w:lineRule="auto"/>
        <w:rPr>
          <w:sz w:val="20"/>
          <w:szCs w:val="20"/>
          <w:color w:val="auto"/>
        </w:rPr>
      </w:pPr>
      <w:r>
        <w:rPr>
          <w:rFonts w:ascii="Arial" w:cs="Arial" w:eastAsia="Arial" w:hAnsi="Arial"/>
          <w:sz w:val="18"/>
          <w:szCs w:val="18"/>
          <w:color w:val="auto"/>
        </w:rPr>
        <w:t xml:space="preserve">The following table shows our Consolidated Average Balance Sheets </w:t>
      </w:r>
      <w:r>
        <w:rPr>
          <w:rFonts w:ascii="Arial" w:cs="Arial" w:eastAsia="Arial" w:hAnsi="Arial"/>
          <w:sz w:val="18"/>
          <w:szCs w:val="18"/>
          <w:i w:val="1"/>
          <w:iCs w:val="1"/>
          <w:color w:val="auto"/>
        </w:rPr>
        <w:t>(dollars in thousands)</w:t>
      </w:r>
      <w:r>
        <w:rPr>
          <w:rFonts w:ascii="Arial" w:cs="Arial" w:eastAsia="Arial" w:hAnsi="Arial"/>
          <w:sz w:val="18"/>
          <w:szCs w:val="18"/>
          <w:color w:val="auto"/>
        </w:rPr>
        <w:t>, and details the major categories of assets and liabilities, the interest income earned on interest-earning assets, the interest expense paid for interest-bearing liabilities, and the related interest yields for the periods shown. All average information is provided on a daily average basis.</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2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6"/>
          </w:tcPr>
          <w:p>
            <w:pPr>
              <w:jc w:val="right"/>
              <w:ind w:right="60"/>
              <w:spacing w:after="0"/>
              <w:rPr>
                <w:sz w:val="20"/>
                <w:szCs w:val="20"/>
                <w:color w:val="auto"/>
              </w:rPr>
            </w:pPr>
            <w:r>
              <w:rPr>
                <w:rFonts w:ascii="Arial" w:cs="Arial" w:eastAsia="Arial" w:hAnsi="Arial"/>
                <w:sz w:val="14"/>
                <w:szCs w:val="14"/>
                <w:b w:val="1"/>
                <w:bCs w:val="1"/>
                <w:color w:val="auto"/>
              </w:rPr>
              <w:t>Three Months Ended March 31,</w:t>
            </w: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r>
      <w:tr>
        <w:trPr>
          <w:trHeight w:val="155"/>
        </w:trPr>
        <w:tc>
          <w:tcPr>
            <w:tcW w:w="2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48"/>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08"/>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r>
      <w:tr>
        <w:trPr>
          <w:trHeight w:val="132"/>
        </w:trPr>
        <w:tc>
          <w:tcPr>
            <w:tcW w:w="2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4"/>
                <w:szCs w:val="14"/>
                <w:b w:val="1"/>
                <w:bCs w:val="1"/>
                <w:color w:val="auto"/>
              </w:rPr>
              <w:t>Average</w:t>
            </w:r>
          </w:p>
        </w:tc>
        <w:tc>
          <w:tcPr>
            <w:tcW w:w="100" w:type="dxa"/>
            <w:vAlign w:val="bottom"/>
          </w:tcPr>
          <w:p>
            <w:pPr>
              <w:spacing w:after="0"/>
              <w:rPr>
                <w:sz w:val="11"/>
                <w:szCs w:val="11"/>
                <w:color w:val="auto"/>
              </w:rPr>
            </w:pPr>
          </w:p>
        </w:tc>
        <w:tc>
          <w:tcPr>
            <w:tcW w:w="680" w:type="dxa"/>
            <w:vAlign w:val="bottom"/>
          </w:tcPr>
          <w:p>
            <w:pPr>
              <w:jc w:val="right"/>
              <w:ind w:right="68"/>
              <w:spacing w:after="0" w:line="133" w:lineRule="exact"/>
              <w:rPr>
                <w:sz w:val="20"/>
                <w:szCs w:val="20"/>
                <w:color w:val="auto"/>
              </w:rPr>
            </w:pPr>
            <w:r>
              <w:rPr>
                <w:rFonts w:ascii="Arial" w:cs="Arial" w:eastAsia="Arial" w:hAnsi="Arial"/>
                <w:sz w:val="14"/>
                <w:szCs w:val="14"/>
                <w:b w:val="1"/>
                <w:bCs w:val="1"/>
                <w:color w:val="auto"/>
                <w:w w:val="98"/>
              </w:rPr>
              <w:t>Income/</w:t>
            </w:r>
          </w:p>
        </w:tc>
        <w:tc>
          <w:tcPr>
            <w:tcW w:w="160" w:type="dxa"/>
            <w:vAlign w:val="bottom"/>
          </w:tcPr>
          <w:p>
            <w:pPr>
              <w:spacing w:after="0"/>
              <w:rPr>
                <w:sz w:val="11"/>
                <w:szCs w:val="11"/>
                <w:color w:val="auto"/>
              </w:rPr>
            </w:pPr>
          </w:p>
        </w:tc>
        <w:tc>
          <w:tcPr>
            <w:tcW w:w="700" w:type="dxa"/>
            <w:vAlign w:val="bottom"/>
          </w:tcPr>
          <w:p>
            <w:pPr>
              <w:jc w:val="right"/>
              <w:ind w:right="88"/>
              <w:spacing w:after="0" w:line="133" w:lineRule="exact"/>
              <w:rPr>
                <w:sz w:val="20"/>
                <w:szCs w:val="20"/>
                <w:color w:val="auto"/>
              </w:rPr>
            </w:pPr>
            <w:r>
              <w:rPr>
                <w:rFonts w:ascii="Arial" w:cs="Arial" w:eastAsia="Arial" w:hAnsi="Arial"/>
                <w:sz w:val="14"/>
                <w:szCs w:val="14"/>
                <w:b w:val="1"/>
                <w:bCs w:val="1"/>
                <w:color w:val="auto"/>
              </w:rPr>
              <w:t>Yield/</w:t>
            </w: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right"/>
              <w:ind w:right="300"/>
              <w:spacing w:after="0" w:line="133"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1"/>
                <w:szCs w:val="11"/>
                <w:color w:val="auto"/>
              </w:rPr>
            </w:pPr>
          </w:p>
        </w:tc>
        <w:tc>
          <w:tcPr>
            <w:tcW w:w="840" w:type="dxa"/>
            <w:vAlign w:val="bottom"/>
            <w:gridSpan w:val="2"/>
          </w:tcPr>
          <w:p>
            <w:pPr>
              <w:ind w:left="40"/>
              <w:spacing w:after="0" w:line="133" w:lineRule="exact"/>
              <w:rPr>
                <w:sz w:val="20"/>
                <w:szCs w:val="20"/>
                <w:color w:val="auto"/>
              </w:rPr>
            </w:pPr>
            <w:r>
              <w:rPr>
                <w:rFonts w:ascii="Arial" w:cs="Arial" w:eastAsia="Arial" w:hAnsi="Arial"/>
                <w:sz w:val="14"/>
                <w:szCs w:val="14"/>
                <w:b w:val="1"/>
                <w:bCs w:val="1"/>
                <w:color w:val="auto"/>
              </w:rPr>
              <w:t>Income/</w:t>
            </w:r>
          </w:p>
        </w:tc>
        <w:tc>
          <w:tcPr>
            <w:tcW w:w="700" w:type="dxa"/>
            <w:vAlign w:val="bottom"/>
          </w:tcPr>
          <w:p>
            <w:pPr>
              <w:jc w:val="right"/>
              <w:ind w:right="88"/>
              <w:spacing w:after="0" w:line="133" w:lineRule="exact"/>
              <w:rPr>
                <w:sz w:val="20"/>
                <w:szCs w:val="20"/>
                <w:color w:val="auto"/>
              </w:rPr>
            </w:pPr>
            <w:r>
              <w:rPr>
                <w:rFonts w:ascii="Arial" w:cs="Arial" w:eastAsia="Arial" w:hAnsi="Arial"/>
                <w:sz w:val="14"/>
                <w:szCs w:val="14"/>
                <w:b w:val="1"/>
                <w:bCs w:val="1"/>
                <w:color w:val="auto"/>
              </w:rPr>
              <w:t>Yield/</w:t>
            </w:r>
          </w:p>
        </w:tc>
        <w:tc>
          <w:tcPr>
            <w:tcW w:w="220" w:type="dxa"/>
            <w:vAlign w:val="bottom"/>
          </w:tcPr>
          <w:p>
            <w:pPr>
              <w:spacing w:after="0"/>
              <w:rPr>
                <w:sz w:val="11"/>
                <w:szCs w:val="11"/>
                <w:color w:val="auto"/>
              </w:rPr>
            </w:pPr>
          </w:p>
        </w:tc>
      </w:tr>
      <w:tr>
        <w:trPr>
          <w:trHeight w:val="185"/>
        </w:trPr>
        <w:tc>
          <w:tcPr>
            <w:tcW w:w="2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Balance</w:t>
            </w:r>
          </w:p>
        </w:tc>
        <w:tc>
          <w:tcPr>
            <w:tcW w:w="100" w:type="dxa"/>
            <w:vAlign w:val="bottom"/>
          </w:tcPr>
          <w:p>
            <w:pPr>
              <w:spacing w:after="0"/>
              <w:rPr>
                <w:sz w:val="16"/>
                <w:szCs w:val="16"/>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b w:val="1"/>
                <w:bCs w:val="1"/>
                <w:color w:val="auto"/>
                <w:w w:val="90"/>
              </w:rPr>
              <w:t>Expense</w:t>
            </w:r>
          </w:p>
        </w:tc>
        <w:tc>
          <w:tcPr>
            <w:tcW w:w="160" w:type="dxa"/>
            <w:vAlign w:val="bottom"/>
          </w:tcPr>
          <w:p>
            <w:pPr>
              <w:spacing w:after="0"/>
              <w:rPr>
                <w:sz w:val="16"/>
                <w:szCs w:val="16"/>
                <w:color w:val="auto"/>
              </w:rPr>
            </w:pPr>
          </w:p>
        </w:tc>
        <w:tc>
          <w:tcPr>
            <w:tcW w:w="700" w:type="dxa"/>
            <w:vAlign w:val="bottom"/>
          </w:tcPr>
          <w:p>
            <w:pPr>
              <w:jc w:val="right"/>
              <w:ind w:right="68"/>
              <w:spacing w:after="0" w:line="186" w:lineRule="exact"/>
              <w:rPr>
                <w:sz w:val="20"/>
                <w:szCs w:val="20"/>
                <w:color w:val="auto"/>
              </w:rPr>
            </w:pPr>
            <w:r>
              <w:rPr>
                <w:rFonts w:ascii="Arial" w:cs="Arial" w:eastAsia="Arial" w:hAnsi="Arial"/>
                <w:sz w:val="14"/>
                <w:szCs w:val="14"/>
                <w:b w:val="1"/>
                <w:bCs w:val="1"/>
                <w:color w:val="auto"/>
              </w:rPr>
              <w:t>Rate</w:t>
            </w:r>
            <w:r>
              <w:rPr>
                <w:rFonts w:ascii="Arial" w:cs="Arial" w:eastAsia="Arial" w:hAnsi="Arial"/>
                <w:sz w:val="21"/>
                <w:szCs w:val="21"/>
                <w:color w:val="auto"/>
                <w:vertAlign w:val="superscript"/>
              </w:rPr>
              <w:t>(5)</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3"/>
              </w:rPr>
              <w:t>Balance</w:t>
            </w:r>
          </w:p>
        </w:tc>
        <w:tc>
          <w:tcPr>
            <w:tcW w:w="120" w:type="dxa"/>
            <w:vAlign w:val="bottom"/>
          </w:tcPr>
          <w:p>
            <w:pPr>
              <w:spacing w:after="0"/>
              <w:rPr>
                <w:sz w:val="16"/>
                <w:szCs w:val="16"/>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Expense</w:t>
            </w:r>
          </w:p>
        </w:tc>
        <w:tc>
          <w:tcPr>
            <w:tcW w:w="700" w:type="dxa"/>
            <w:vAlign w:val="bottom"/>
          </w:tcPr>
          <w:p>
            <w:pPr>
              <w:jc w:val="right"/>
              <w:ind w:right="68"/>
              <w:spacing w:after="0" w:line="186" w:lineRule="exact"/>
              <w:rPr>
                <w:sz w:val="20"/>
                <w:szCs w:val="20"/>
                <w:color w:val="auto"/>
              </w:rPr>
            </w:pPr>
            <w:r>
              <w:rPr>
                <w:rFonts w:ascii="Arial" w:cs="Arial" w:eastAsia="Arial" w:hAnsi="Arial"/>
                <w:sz w:val="14"/>
                <w:szCs w:val="14"/>
                <w:b w:val="1"/>
                <w:bCs w:val="1"/>
                <w:color w:val="auto"/>
              </w:rPr>
              <w:t>Rate</w:t>
            </w:r>
            <w:r>
              <w:rPr>
                <w:rFonts w:ascii="Arial" w:cs="Arial" w:eastAsia="Arial" w:hAnsi="Arial"/>
                <w:sz w:val="21"/>
                <w:szCs w:val="21"/>
                <w:color w:val="auto"/>
                <w:vertAlign w:val="superscript"/>
              </w:rPr>
              <w:t>(5)</w:t>
            </w:r>
          </w:p>
        </w:tc>
        <w:tc>
          <w:tcPr>
            <w:tcW w:w="220" w:type="dxa"/>
            <w:vAlign w:val="bottom"/>
          </w:tcPr>
          <w:p>
            <w:pPr>
              <w:spacing w:after="0"/>
              <w:rPr>
                <w:sz w:val="16"/>
                <w:szCs w:val="16"/>
                <w:color w:val="auto"/>
              </w:rPr>
            </w:pPr>
          </w:p>
        </w:tc>
      </w:tr>
      <w:tr>
        <w:trPr>
          <w:trHeight w:val="156"/>
        </w:trPr>
        <w:tc>
          <w:tcPr>
            <w:tcW w:w="3060" w:type="dxa"/>
            <w:vAlign w:val="bottom"/>
            <w:tcBorders>
              <w:top w:val="single" w:sz="8" w:color="CCEEFF"/>
            </w:tcBorders>
            <w:gridSpan w:val="2"/>
            <w:shd w:val="clear" w:color="auto" w:fill="CCEEFF"/>
          </w:tcPr>
          <w:p>
            <w:pPr>
              <w:ind w:left="20"/>
              <w:spacing w:after="0" w:line="155" w:lineRule="exact"/>
              <w:rPr>
                <w:sz w:val="20"/>
                <w:szCs w:val="20"/>
                <w:color w:val="auto"/>
              </w:rPr>
            </w:pPr>
            <w:r>
              <w:rPr>
                <w:rFonts w:ascii="Arial" w:cs="Arial" w:eastAsia="Arial" w:hAnsi="Arial"/>
                <w:sz w:val="14"/>
                <w:szCs w:val="14"/>
                <w:b w:val="1"/>
                <w:bCs w:val="1"/>
                <w:color w:val="auto"/>
              </w:rPr>
              <w:t>Assets</w:t>
            </w:r>
          </w:p>
        </w:tc>
        <w:tc>
          <w:tcPr>
            <w:tcW w:w="12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r>
      <w:tr>
        <w:trPr>
          <w:trHeight w:val="143"/>
        </w:trPr>
        <w:tc>
          <w:tcPr>
            <w:tcW w:w="3060" w:type="dxa"/>
            <w:vAlign w:val="bottom"/>
            <w:gridSpan w:val="2"/>
          </w:tcPr>
          <w:p>
            <w:pPr>
              <w:ind w:left="20"/>
              <w:spacing w:after="0" w:line="143" w:lineRule="exact"/>
              <w:rPr>
                <w:sz w:val="20"/>
                <w:szCs w:val="20"/>
                <w:color w:val="auto"/>
              </w:rPr>
            </w:pPr>
            <w:r>
              <w:rPr>
                <w:rFonts w:ascii="Arial" w:cs="Arial" w:eastAsia="Arial" w:hAnsi="Arial"/>
                <w:sz w:val="14"/>
                <w:szCs w:val="14"/>
                <w:color w:val="auto"/>
              </w:rPr>
              <w:t>Interest-bearing bank deposits and federal funds</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81"/>
        </w:trPr>
        <w:tc>
          <w:tcPr>
            <w:tcW w:w="3060" w:type="dxa"/>
            <w:vAlign w:val="bottom"/>
            <w:gridSpan w:val="2"/>
          </w:tcPr>
          <w:p>
            <w:pPr>
              <w:ind w:left="20"/>
              <w:spacing w:after="0"/>
              <w:rPr>
                <w:sz w:val="20"/>
                <w:szCs w:val="20"/>
                <w:color w:val="auto"/>
              </w:rPr>
            </w:pPr>
            <w:r>
              <w:rPr>
                <w:rFonts w:ascii="Arial" w:cs="Arial" w:eastAsia="Arial" w:hAnsi="Arial"/>
                <w:sz w:val="14"/>
                <w:szCs w:val="14"/>
                <w:color w:val="auto"/>
              </w:rPr>
              <w:t>sold</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422,577</w:t>
            </w:r>
          </w:p>
        </w:tc>
        <w:tc>
          <w:tcPr>
            <w:tcW w:w="1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150</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0.14</w:t>
            </w:r>
          </w:p>
        </w:tc>
        <w:tc>
          <w:tcPr>
            <w:tcW w:w="360" w:type="dxa"/>
            <w:vAlign w:val="bottom"/>
          </w:tcPr>
          <w:p>
            <w:pPr>
              <w:jc w:val="right"/>
              <w:ind w:right="168"/>
              <w:spacing w:after="0"/>
              <w:rPr>
                <w:sz w:val="20"/>
                <w:szCs w:val="20"/>
                <w:color w:val="auto"/>
              </w:rPr>
            </w:pPr>
            <w:r>
              <w:rPr>
                <w:rFonts w:ascii="Arial" w:cs="Arial" w:eastAsia="Arial" w:hAnsi="Arial"/>
                <w:sz w:val="14"/>
                <w:szCs w:val="14"/>
                <w:color w:val="auto"/>
                <w:w w:val="79"/>
              </w:rPr>
              <w: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358,740</w:t>
            </w:r>
          </w:p>
        </w:tc>
        <w:tc>
          <w:tcPr>
            <w:tcW w:w="16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1,238</w:t>
            </w: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1.39</w:t>
            </w:r>
          </w:p>
        </w:tc>
        <w:tc>
          <w:tcPr>
            <w:tcW w:w="220" w:type="dxa"/>
            <w:vAlign w:val="bottom"/>
          </w:tcPr>
          <w:p>
            <w:pPr>
              <w:jc w:val="right"/>
              <w:ind w:right="8"/>
              <w:spacing w:after="0"/>
              <w:rPr>
                <w:sz w:val="20"/>
                <w:szCs w:val="20"/>
                <w:color w:val="auto"/>
              </w:rPr>
            </w:pPr>
            <w:r>
              <w:rPr>
                <w:rFonts w:ascii="Arial" w:cs="Arial" w:eastAsia="Arial" w:hAnsi="Arial"/>
                <w:sz w:val="14"/>
                <w:szCs w:val="14"/>
                <w:color w:val="auto"/>
                <w:w w:val="96"/>
              </w:rPr>
              <w:t>%</w:t>
            </w:r>
          </w:p>
        </w:tc>
      </w:tr>
      <w:tr>
        <w:trPr>
          <w:trHeight w:val="162"/>
        </w:trPr>
        <w:tc>
          <w:tcPr>
            <w:tcW w:w="30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Investment securities:</w:t>
            </w: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r>
      <w:tr>
        <w:trPr>
          <w:trHeight w:val="162"/>
        </w:trPr>
        <w:tc>
          <w:tcPr>
            <w:tcW w:w="3060" w:type="dxa"/>
            <w:vAlign w:val="bottom"/>
            <w:gridSpan w:val="2"/>
          </w:tcPr>
          <w:p>
            <w:pPr>
              <w:ind w:left="220"/>
              <w:spacing w:after="0"/>
              <w:rPr>
                <w:sz w:val="20"/>
                <w:szCs w:val="20"/>
                <w:color w:val="auto"/>
              </w:rPr>
            </w:pPr>
            <w:r>
              <w:rPr>
                <w:rFonts w:ascii="Arial" w:cs="Arial" w:eastAsia="Arial" w:hAnsi="Arial"/>
                <w:sz w:val="14"/>
                <w:szCs w:val="14"/>
                <w:color w:val="auto"/>
              </w:rPr>
              <w:t>U.S. Government obligations</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94,003</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483</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2.08</w:t>
            </w:r>
          </w:p>
        </w:tc>
        <w:tc>
          <w:tcPr>
            <w:tcW w:w="360" w:type="dxa"/>
            <w:vAlign w:val="bottom"/>
          </w:tcPr>
          <w:p>
            <w:pPr>
              <w:jc w:val="right"/>
              <w:ind w:right="168"/>
              <w:spacing w:after="0"/>
              <w:rPr>
                <w:sz w:val="20"/>
                <w:szCs w:val="20"/>
                <w:color w:val="auto"/>
              </w:rPr>
            </w:pPr>
            <w:r>
              <w:rPr>
                <w:rFonts w:ascii="Arial" w:cs="Arial" w:eastAsia="Arial" w:hAnsi="Arial"/>
                <w:sz w:val="14"/>
                <w:szCs w:val="14"/>
                <w:color w:val="auto"/>
                <w:w w:val="79"/>
              </w:rPr>
              <w:t>%</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190,812</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1,091</w:t>
            </w: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2.30</w:t>
            </w:r>
          </w:p>
        </w:tc>
        <w:tc>
          <w:tcPr>
            <w:tcW w:w="220" w:type="dxa"/>
            <w:vAlign w:val="bottom"/>
          </w:tcPr>
          <w:p>
            <w:pPr>
              <w:jc w:val="right"/>
              <w:ind w:right="8"/>
              <w:spacing w:after="0"/>
              <w:rPr>
                <w:sz w:val="20"/>
                <w:szCs w:val="20"/>
                <w:color w:val="auto"/>
              </w:rPr>
            </w:pPr>
            <w:r>
              <w:rPr>
                <w:rFonts w:ascii="Arial" w:cs="Arial" w:eastAsia="Arial" w:hAnsi="Arial"/>
                <w:sz w:val="14"/>
                <w:szCs w:val="14"/>
                <w:color w:val="auto"/>
                <w:w w:val="96"/>
              </w:rPr>
              <w:t>%</w:t>
            </w:r>
          </w:p>
        </w:tc>
      </w:tr>
      <w:tr>
        <w:trPr>
          <w:trHeight w:val="139"/>
        </w:trPr>
        <w:tc>
          <w:tcPr>
            <w:tcW w:w="3060" w:type="dxa"/>
            <w:vAlign w:val="bottom"/>
            <w:gridSpan w:val="2"/>
            <w:shd w:val="clear" w:color="auto" w:fill="CCEEFF"/>
          </w:tcPr>
          <w:p>
            <w:pPr>
              <w:ind w:left="220"/>
              <w:spacing w:after="0" w:line="139" w:lineRule="exact"/>
              <w:rPr>
                <w:sz w:val="20"/>
                <w:szCs w:val="20"/>
                <w:color w:val="auto"/>
              </w:rPr>
            </w:pPr>
            <w:r>
              <w:rPr>
                <w:rFonts w:ascii="Arial" w:cs="Arial" w:eastAsia="Arial" w:hAnsi="Arial"/>
                <w:sz w:val="14"/>
                <w:szCs w:val="14"/>
                <w:color w:val="auto"/>
              </w:rPr>
              <w:t>Obligations of states and political</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r>
      <w:tr>
        <w:trPr>
          <w:trHeight w:val="185"/>
        </w:trPr>
        <w:tc>
          <w:tcPr>
            <w:tcW w:w="3060" w:type="dxa"/>
            <w:vAlign w:val="bottom"/>
            <w:gridSpan w:val="2"/>
            <w:shd w:val="clear" w:color="auto" w:fill="CCEEFF"/>
          </w:tcPr>
          <w:p>
            <w:pPr>
              <w:ind w:left="220"/>
              <w:spacing w:after="0" w:line="186" w:lineRule="exact"/>
              <w:rPr>
                <w:sz w:val="20"/>
                <w:szCs w:val="20"/>
                <w:color w:val="auto"/>
              </w:rPr>
            </w:pPr>
            <w:r>
              <w:rPr>
                <w:rFonts w:ascii="Arial" w:cs="Arial" w:eastAsia="Arial" w:hAnsi="Arial"/>
                <w:sz w:val="14"/>
                <w:szCs w:val="14"/>
                <w:color w:val="auto"/>
              </w:rPr>
              <w:t xml:space="preserve">subdivisions </w:t>
            </w:r>
            <w:r>
              <w:rPr>
                <w:rFonts w:ascii="Arial" w:cs="Arial" w:eastAsia="Arial" w:hAnsi="Arial"/>
                <w:sz w:val="21"/>
                <w:szCs w:val="21"/>
                <w:color w:val="auto"/>
                <w:vertAlign w:val="superscript"/>
              </w:rPr>
              <w:t>(1)</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296,023</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1,964</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2.69</w:t>
            </w:r>
          </w:p>
        </w:tc>
        <w:tc>
          <w:tcPr>
            <w:tcW w:w="3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9"/>
              </w:rPr>
              <w:t>%</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271,995</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2,014</w:t>
            </w: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2.98</w:t>
            </w:r>
          </w:p>
        </w:tc>
        <w:tc>
          <w:tcPr>
            <w:tcW w:w="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96"/>
              </w:rPr>
              <w:t>%</w:t>
            </w:r>
          </w:p>
        </w:tc>
      </w:tr>
      <w:tr>
        <w:trPr>
          <w:trHeight w:val="162"/>
        </w:trPr>
        <w:tc>
          <w:tcPr>
            <w:tcW w:w="3060" w:type="dxa"/>
            <w:vAlign w:val="bottom"/>
            <w:gridSpan w:val="2"/>
          </w:tcPr>
          <w:p>
            <w:pPr>
              <w:ind w:left="220"/>
              <w:spacing w:after="0"/>
              <w:rPr>
                <w:sz w:val="20"/>
                <w:szCs w:val="20"/>
                <w:color w:val="auto"/>
              </w:rPr>
            </w:pPr>
            <w:r>
              <w:rPr>
                <w:rFonts w:ascii="Arial" w:cs="Arial" w:eastAsia="Arial" w:hAnsi="Arial"/>
                <w:sz w:val="14"/>
                <w:szCs w:val="14"/>
                <w:color w:val="auto"/>
              </w:rPr>
              <w:t>Other securities</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2,171,654</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7,437</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1.39</w:t>
            </w:r>
          </w:p>
        </w:tc>
        <w:tc>
          <w:tcPr>
            <w:tcW w:w="360" w:type="dxa"/>
            <w:vAlign w:val="bottom"/>
          </w:tcPr>
          <w:p>
            <w:pPr>
              <w:jc w:val="right"/>
              <w:ind w:right="168"/>
              <w:spacing w:after="0"/>
              <w:rPr>
                <w:sz w:val="20"/>
                <w:szCs w:val="20"/>
                <w:color w:val="auto"/>
              </w:rPr>
            </w:pPr>
            <w:r>
              <w:rPr>
                <w:rFonts w:ascii="Arial" w:cs="Arial" w:eastAsia="Arial" w:hAnsi="Arial"/>
                <w:sz w:val="14"/>
                <w:szCs w:val="14"/>
                <w:color w:val="auto"/>
                <w:w w:val="79"/>
              </w:rPr>
              <w:t>%</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6"/>
              </w:rPr>
              <w:t>1,275,757</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7,859</w:t>
            </w: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2.48</w:t>
            </w:r>
          </w:p>
        </w:tc>
        <w:tc>
          <w:tcPr>
            <w:tcW w:w="220" w:type="dxa"/>
            <w:vAlign w:val="bottom"/>
          </w:tcPr>
          <w:p>
            <w:pPr>
              <w:jc w:val="right"/>
              <w:ind w:right="8"/>
              <w:spacing w:after="0"/>
              <w:rPr>
                <w:sz w:val="20"/>
                <w:szCs w:val="20"/>
                <w:color w:val="auto"/>
              </w:rPr>
            </w:pPr>
            <w:r>
              <w:rPr>
                <w:rFonts w:ascii="Arial" w:cs="Arial" w:eastAsia="Arial" w:hAnsi="Arial"/>
                <w:sz w:val="14"/>
                <w:szCs w:val="14"/>
                <w:color w:val="auto"/>
                <w:w w:val="96"/>
              </w:rPr>
              <w:t>%</w:t>
            </w:r>
          </w:p>
        </w:tc>
      </w:tr>
      <w:tr>
        <w:trPr>
          <w:trHeight w:val="162"/>
        </w:trPr>
        <w:tc>
          <w:tcPr>
            <w:tcW w:w="30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Loans held for sale</w:t>
            </w: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31,373</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2.02</w:t>
            </w:r>
          </w:p>
        </w:tc>
        <w:tc>
          <w:tcPr>
            <w:tcW w:w="3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9"/>
              </w:rPr>
              <w:t>%</w:t>
            </w: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61,963</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477</w:t>
            </w: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w:t>
            </w:r>
          </w:p>
        </w:tc>
        <w:tc>
          <w:tcPr>
            <w:tcW w:w="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96"/>
              </w:rPr>
              <w:t>%</w:t>
            </w:r>
          </w:p>
        </w:tc>
      </w:tr>
      <w:tr>
        <w:trPr>
          <w:trHeight w:val="162"/>
        </w:trPr>
        <w:tc>
          <w:tcPr>
            <w:tcW w:w="3060" w:type="dxa"/>
            <w:vAlign w:val="bottom"/>
            <w:gridSpan w:val="2"/>
          </w:tcPr>
          <w:p>
            <w:pPr>
              <w:ind w:left="20"/>
              <w:spacing w:after="0" w:line="162" w:lineRule="exact"/>
              <w:rPr>
                <w:sz w:val="20"/>
                <w:szCs w:val="20"/>
                <w:color w:val="auto"/>
              </w:rPr>
            </w:pPr>
            <w:r>
              <w:rPr>
                <w:rFonts w:ascii="Arial" w:cs="Arial" w:eastAsia="Arial" w:hAnsi="Arial"/>
                <w:sz w:val="13"/>
                <w:szCs w:val="13"/>
                <w:color w:val="auto"/>
              </w:rPr>
              <w:t xml:space="preserve">Portfolio loans </w:t>
            </w:r>
            <w:r>
              <w:rPr>
                <w:rFonts w:ascii="Arial" w:cs="Arial" w:eastAsia="Arial" w:hAnsi="Arial"/>
                <w:sz w:val="18"/>
                <w:szCs w:val="18"/>
                <w:color w:val="auto"/>
                <w:vertAlign w:val="superscript"/>
              </w:rPr>
              <w:t>(1), (2)</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6,736,664</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62,742</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3.78</w:t>
            </w:r>
          </w:p>
        </w:tc>
        <w:tc>
          <w:tcPr>
            <w:tcW w:w="360" w:type="dxa"/>
            <w:vAlign w:val="bottom"/>
          </w:tcPr>
          <w:p>
            <w:pPr>
              <w:jc w:val="right"/>
              <w:ind w:right="168"/>
              <w:spacing w:after="0"/>
              <w:rPr>
                <w:sz w:val="20"/>
                <w:szCs w:val="20"/>
                <w:color w:val="auto"/>
              </w:rPr>
            </w:pPr>
            <w:r>
              <w:rPr>
                <w:rFonts w:ascii="Arial" w:cs="Arial" w:eastAsia="Arial" w:hAnsi="Arial"/>
                <w:sz w:val="14"/>
                <w:szCs w:val="14"/>
                <w:color w:val="auto"/>
                <w:w w:val="79"/>
              </w:rPr>
              <w:t>%</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6"/>
              </w:rPr>
              <w:t>6,658,277</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72,484</w:t>
            </w: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4.38</w:t>
            </w:r>
          </w:p>
        </w:tc>
        <w:tc>
          <w:tcPr>
            <w:tcW w:w="220" w:type="dxa"/>
            <w:vAlign w:val="bottom"/>
          </w:tcPr>
          <w:p>
            <w:pPr>
              <w:jc w:val="right"/>
              <w:ind w:right="8"/>
              <w:spacing w:after="0"/>
              <w:rPr>
                <w:sz w:val="20"/>
                <w:szCs w:val="20"/>
                <w:color w:val="auto"/>
              </w:rPr>
            </w:pPr>
            <w:r>
              <w:rPr>
                <w:rFonts w:ascii="Arial" w:cs="Arial" w:eastAsia="Arial" w:hAnsi="Arial"/>
                <w:sz w:val="14"/>
                <w:szCs w:val="14"/>
                <w:color w:val="auto"/>
                <w:w w:val="96"/>
              </w:rPr>
              <w:t>%</w:t>
            </w:r>
          </w:p>
        </w:tc>
      </w:tr>
      <w:tr>
        <w:trPr>
          <w:trHeight w:val="156"/>
        </w:trPr>
        <w:tc>
          <w:tcPr>
            <w:tcW w:w="3060" w:type="dxa"/>
            <w:vAlign w:val="bottom"/>
            <w:tcBorders>
              <w:top w:val="single" w:sz="8" w:color="CCEEFF"/>
              <w:bottom w:val="single" w:sz="8" w:color="CCEEFF"/>
            </w:tcBorders>
            <w:gridSpan w:val="2"/>
            <w:shd w:val="clear" w:color="auto" w:fill="CCEEFF"/>
          </w:tcPr>
          <w:p>
            <w:pPr>
              <w:ind w:left="20"/>
              <w:spacing w:after="0" w:line="156" w:lineRule="exact"/>
              <w:rPr>
                <w:sz w:val="20"/>
                <w:szCs w:val="20"/>
                <w:color w:val="auto"/>
              </w:rPr>
            </w:pPr>
            <w:r>
              <w:rPr>
                <w:rFonts w:ascii="Arial" w:cs="Arial" w:eastAsia="Arial" w:hAnsi="Arial"/>
                <w:sz w:val="13"/>
                <w:szCs w:val="13"/>
                <w:color w:val="auto"/>
              </w:rPr>
              <w:t xml:space="preserve">Total interest-earning assets </w:t>
            </w:r>
            <w:r>
              <w:rPr>
                <w:rFonts w:ascii="Arial" w:cs="Arial" w:eastAsia="Arial" w:hAnsi="Arial"/>
                <w:sz w:val="18"/>
                <w:szCs w:val="18"/>
                <w:color w:val="auto"/>
                <w:vertAlign w:val="superscript"/>
              </w:rPr>
              <w:t>(1), (3)</w:t>
            </w:r>
          </w:p>
        </w:tc>
        <w:tc>
          <w:tcPr>
            <w:tcW w:w="120" w:type="dxa"/>
            <w:vAlign w:val="bottom"/>
            <w:tcBorders>
              <w:top w:val="single" w:sz="8" w:color="auto"/>
              <w:bottom w:val="single" w:sz="8" w:color="CCEEFF"/>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CCEEFF"/>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9,752,294</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72,932</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700" w:type="dxa"/>
            <w:vAlign w:val="bottom"/>
            <w:tcBorders>
              <w:top w:val="single" w:sz="8" w:color="auto"/>
              <w:bottom w:val="single" w:sz="8" w:color="CCEEFF"/>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3.03</w:t>
            </w:r>
          </w:p>
        </w:tc>
        <w:tc>
          <w:tcPr>
            <w:tcW w:w="360" w:type="dxa"/>
            <w:vAlign w:val="bottom"/>
            <w:tcBorders>
              <w:top w:val="single" w:sz="8" w:color="CCEEFF"/>
              <w:bottom w:val="single" w:sz="8" w:color="CCEEFF"/>
            </w:tcBorders>
            <w:shd w:val="clear" w:color="auto" w:fill="CCEEFF"/>
          </w:tcPr>
          <w:p>
            <w:pPr>
              <w:jc w:val="right"/>
              <w:ind w:right="168"/>
              <w:spacing w:after="0" w:line="155" w:lineRule="exact"/>
              <w:rPr>
                <w:sz w:val="20"/>
                <w:szCs w:val="20"/>
                <w:color w:val="auto"/>
              </w:rPr>
            </w:pPr>
            <w:r>
              <w:rPr>
                <w:rFonts w:ascii="Arial" w:cs="Arial" w:eastAsia="Arial" w:hAnsi="Arial"/>
                <w:sz w:val="14"/>
                <w:szCs w:val="14"/>
                <w:color w:val="auto"/>
                <w:w w:val="79"/>
              </w:rPr>
              <w:t>%</w:t>
            </w:r>
          </w:p>
        </w:tc>
        <w:tc>
          <w:tcPr>
            <w:tcW w:w="120" w:type="dxa"/>
            <w:vAlign w:val="bottom"/>
            <w:tcBorders>
              <w:top w:val="single" w:sz="8" w:color="auto"/>
              <w:bottom w:val="single" w:sz="8" w:color="CCEEFF"/>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CCEEFF"/>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96"/>
              </w:rPr>
              <w:t>8,817,544</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85,163</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700" w:type="dxa"/>
            <w:vAlign w:val="bottom"/>
            <w:tcBorders>
              <w:top w:val="single" w:sz="8" w:color="auto"/>
              <w:bottom w:val="single" w:sz="8" w:color="CCEEFF"/>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3.88</w:t>
            </w:r>
          </w:p>
        </w:tc>
        <w:tc>
          <w:tcPr>
            <w:tcW w:w="220" w:type="dxa"/>
            <w:vAlign w:val="bottom"/>
            <w:tcBorders>
              <w:top w:val="single" w:sz="8" w:color="CCEEFF"/>
              <w:bottom w:val="single" w:sz="8" w:color="CCEEFF"/>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w w:val="96"/>
              </w:rPr>
              <w:t>%</w:t>
            </w:r>
          </w:p>
        </w:tc>
      </w:tr>
      <w:tr>
        <w:trPr>
          <w:trHeight w:val="20"/>
        </w:trPr>
        <w:tc>
          <w:tcPr>
            <w:tcW w:w="2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43"/>
        </w:trPr>
        <w:tc>
          <w:tcPr>
            <w:tcW w:w="2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62"/>
        </w:trPr>
        <w:tc>
          <w:tcPr>
            <w:tcW w:w="30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Cash and due from banks</w:t>
            </w: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113,880</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118,502</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r>
      <w:tr>
        <w:trPr>
          <w:trHeight w:val="162"/>
        </w:trPr>
        <w:tc>
          <w:tcPr>
            <w:tcW w:w="3060" w:type="dxa"/>
            <w:vAlign w:val="bottom"/>
            <w:gridSpan w:val="2"/>
          </w:tcPr>
          <w:p>
            <w:pPr>
              <w:ind w:left="20"/>
              <w:spacing w:after="0"/>
              <w:rPr>
                <w:sz w:val="20"/>
                <w:szCs w:val="20"/>
                <w:color w:val="auto"/>
              </w:rPr>
            </w:pPr>
            <w:r>
              <w:rPr>
                <w:rFonts w:ascii="Arial" w:cs="Arial" w:eastAsia="Arial" w:hAnsi="Arial"/>
                <w:sz w:val="14"/>
                <w:szCs w:val="14"/>
                <w:color w:val="auto"/>
              </w:rPr>
              <w:t>Premises and equipment</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134,570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151,214</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62"/>
        </w:trPr>
        <w:tc>
          <w:tcPr>
            <w:tcW w:w="30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ACL</w:t>
            </w: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(102,322)</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(69,862)</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r>
      <w:tr>
        <w:trPr>
          <w:trHeight w:val="162"/>
        </w:trPr>
        <w:tc>
          <w:tcPr>
            <w:tcW w:w="30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Other assets</w:t>
            </w: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695,823</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670,779</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r>
      <w:tr>
        <w:trPr>
          <w:trHeight w:val="156"/>
        </w:trPr>
        <w:tc>
          <w:tcPr>
            <w:tcW w:w="3060" w:type="dxa"/>
            <w:vAlign w:val="bottom"/>
            <w:tcBorders>
              <w:bottom w:val="single" w:sz="8" w:color="CCEEFF"/>
            </w:tcBorders>
            <w:gridSpan w:val="2"/>
            <w:shd w:val="clear" w:color="auto" w:fill="CCEEFF"/>
          </w:tcPr>
          <w:p>
            <w:pPr>
              <w:ind w:left="20"/>
              <w:spacing w:after="0" w:line="155" w:lineRule="exact"/>
              <w:rPr>
                <w:sz w:val="20"/>
                <w:szCs w:val="20"/>
                <w:color w:val="auto"/>
              </w:rPr>
            </w:pPr>
            <w:r>
              <w:rPr>
                <w:rFonts w:ascii="Arial" w:cs="Arial" w:eastAsia="Arial" w:hAnsi="Arial"/>
                <w:sz w:val="14"/>
                <w:szCs w:val="14"/>
                <w:color w:val="auto"/>
              </w:rPr>
              <w:t>Total assets</w:t>
            </w:r>
          </w:p>
        </w:tc>
        <w:tc>
          <w:tcPr>
            <w:tcW w:w="1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94"/>
              </w:rPr>
              <w:t>10,594,245</w:t>
            </w:r>
          </w:p>
        </w:tc>
        <w:tc>
          <w:tcPr>
            <w:tcW w:w="1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96"/>
              </w:rPr>
              <w:t>9,688,177</w:t>
            </w:r>
          </w:p>
        </w:tc>
        <w:tc>
          <w:tcPr>
            <w:tcW w:w="1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r>
      <w:tr>
        <w:trPr>
          <w:trHeight w:val="20"/>
        </w:trPr>
        <w:tc>
          <w:tcPr>
            <w:tcW w:w="2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43"/>
        </w:trPr>
        <w:tc>
          <w:tcPr>
            <w:tcW w:w="2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62"/>
        </w:trPr>
        <w:tc>
          <w:tcPr>
            <w:tcW w:w="306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 and Stockholders’ Equity</w:t>
            </w: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r>
      <w:tr>
        <w:trPr>
          <w:trHeight w:val="162"/>
        </w:trPr>
        <w:tc>
          <w:tcPr>
            <w:tcW w:w="3060" w:type="dxa"/>
            <w:vAlign w:val="bottom"/>
            <w:gridSpan w:val="2"/>
          </w:tcPr>
          <w:p>
            <w:pPr>
              <w:ind w:left="20"/>
              <w:spacing w:after="0"/>
              <w:rPr>
                <w:sz w:val="20"/>
                <w:szCs w:val="20"/>
                <w:color w:val="auto"/>
              </w:rPr>
            </w:pPr>
            <w:r>
              <w:rPr>
                <w:rFonts w:ascii="Arial" w:cs="Arial" w:eastAsia="Arial" w:hAnsi="Arial"/>
                <w:sz w:val="14"/>
                <w:szCs w:val="14"/>
                <w:color w:val="auto"/>
              </w:rPr>
              <w:t>Interest-bearing transaction deposits</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2,310,402</w:t>
            </w:r>
          </w:p>
        </w:tc>
        <w:tc>
          <w:tcPr>
            <w:tcW w:w="1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512</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0.09</w:t>
            </w:r>
          </w:p>
        </w:tc>
        <w:tc>
          <w:tcPr>
            <w:tcW w:w="360" w:type="dxa"/>
            <w:vAlign w:val="bottom"/>
          </w:tcPr>
          <w:p>
            <w:pPr>
              <w:jc w:val="right"/>
              <w:ind w:right="168"/>
              <w:spacing w:after="0"/>
              <w:rPr>
                <w:sz w:val="20"/>
                <w:szCs w:val="20"/>
                <w:color w:val="auto"/>
              </w:rPr>
            </w:pPr>
            <w:r>
              <w:rPr>
                <w:rFonts w:ascii="Arial" w:cs="Arial" w:eastAsia="Arial" w:hAnsi="Arial"/>
                <w:sz w:val="14"/>
                <w:szCs w:val="14"/>
                <w:color w:val="auto"/>
                <w:w w:val="79"/>
              </w:rPr>
              <w: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w w:val="96"/>
              </w:rPr>
              <w:t>1,989,478</w:t>
            </w:r>
          </w:p>
        </w:tc>
        <w:tc>
          <w:tcPr>
            <w:tcW w:w="16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2,413</w:t>
            </w: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0.49</w:t>
            </w:r>
          </w:p>
        </w:tc>
        <w:tc>
          <w:tcPr>
            <w:tcW w:w="220" w:type="dxa"/>
            <w:vAlign w:val="bottom"/>
          </w:tcPr>
          <w:p>
            <w:pPr>
              <w:jc w:val="right"/>
              <w:ind w:right="8"/>
              <w:spacing w:after="0"/>
              <w:rPr>
                <w:sz w:val="20"/>
                <w:szCs w:val="20"/>
                <w:color w:val="auto"/>
              </w:rPr>
            </w:pPr>
            <w:r>
              <w:rPr>
                <w:rFonts w:ascii="Arial" w:cs="Arial" w:eastAsia="Arial" w:hAnsi="Arial"/>
                <w:sz w:val="14"/>
                <w:szCs w:val="14"/>
                <w:color w:val="auto"/>
                <w:w w:val="96"/>
              </w:rPr>
              <w:t>%</w:t>
            </w:r>
          </w:p>
        </w:tc>
      </w:tr>
      <w:tr>
        <w:trPr>
          <w:trHeight w:val="162"/>
        </w:trPr>
        <w:tc>
          <w:tcPr>
            <w:tcW w:w="30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Savings and money market deposits</w:t>
            </w: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2,655,559</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0.10</w:t>
            </w:r>
          </w:p>
        </w:tc>
        <w:tc>
          <w:tcPr>
            <w:tcW w:w="3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9"/>
              </w:rPr>
              <w:t>%</w:t>
            </w: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2,571,469</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3,265</w:t>
            </w: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0.51</w:t>
            </w:r>
          </w:p>
        </w:tc>
        <w:tc>
          <w:tcPr>
            <w:tcW w:w="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96"/>
              </w:rPr>
              <w:t>%</w:t>
            </w:r>
          </w:p>
        </w:tc>
      </w:tr>
      <w:tr>
        <w:trPr>
          <w:trHeight w:val="162"/>
        </w:trPr>
        <w:tc>
          <w:tcPr>
            <w:tcW w:w="3060" w:type="dxa"/>
            <w:vAlign w:val="bottom"/>
            <w:gridSpan w:val="2"/>
          </w:tcPr>
          <w:p>
            <w:pPr>
              <w:ind w:left="20"/>
              <w:spacing w:after="0"/>
              <w:rPr>
                <w:sz w:val="20"/>
                <w:szCs w:val="20"/>
                <w:color w:val="auto"/>
              </w:rPr>
            </w:pPr>
            <w:r>
              <w:rPr>
                <w:rFonts w:ascii="Arial" w:cs="Arial" w:eastAsia="Arial" w:hAnsi="Arial"/>
                <w:sz w:val="14"/>
                <w:szCs w:val="14"/>
                <w:color w:val="auto"/>
              </w:rPr>
              <w:t>Time deposits</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1,067,652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2,585</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0.98</w:t>
            </w:r>
          </w:p>
        </w:tc>
        <w:tc>
          <w:tcPr>
            <w:tcW w:w="360" w:type="dxa"/>
            <w:vAlign w:val="bottom"/>
          </w:tcPr>
          <w:p>
            <w:pPr>
              <w:jc w:val="right"/>
              <w:ind w:right="168"/>
              <w:spacing w:after="0"/>
              <w:rPr>
                <w:sz w:val="20"/>
                <w:szCs w:val="20"/>
                <w:color w:val="auto"/>
              </w:rPr>
            </w:pPr>
            <w:r>
              <w:rPr>
                <w:rFonts w:ascii="Arial" w:cs="Arial" w:eastAsia="Arial" w:hAnsi="Arial"/>
                <w:sz w:val="14"/>
                <w:szCs w:val="14"/>
                <w:color w:val="auto"/>
                <w:w w:val="79"/>
              </w:rPr>
              <w:t>%</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6"/>
              </w:rPr>
              <w:t>1,521,025</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6,549</w:t>
            </w: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1.73</w:t>
            </w:r>
          </w:p>
        </w:tc>
        <w:tc>
          <w:tcPr>
            <w:tcW w:w="220" w:type="dxa"/>
            <w:vAlign w:val="bottom"/>
          </w:tcPr>
          <w:p>
            <w:pPr>
              <w:jc w:val="right"/>
              <w:ind w:right="8"/>
              <w:spacing w:after="0"/>
              <w:rPr>
                <w:sz w:val="20"/>
                <w:szCs w:val="20"/>
                <w:color w:val="auto"/>
              </w:rPr>
            </w:pPr>
            <w:r>
              <w:rPr>
                <w:rFonts w:ascii="Arial" w:cs="Arial" w:eastAsia="Arial" w:hAnsi="Arial"/>
                <w:sz w:val="14"/>
                <w:szCs w:val="14"/>
                <w:color w:val="auto"/>
                <w:w w:val="96"/>
              </w:rPr>
              <w:t>%</w:t>
            </w:r>
          </w:p>
        </w:tc>
      </w:tr>
      <w:tr>
        <w:trPr>
          <w:trHeight w:val="143"/>
        </w:trPr>
        <w:tc>
          <w:tcPr>
            <w:tcW w:w="3060" w:type="dxa"/>
            <w:vAlign w:val="bottom"/>
            <w:gridSpan w:val="2"/>
            <w:shd w:val="clear" w:color="auto" w:fill="CCEEFF"/>
          </w:tcPr>
          <w:p>
            <w:pPr>
              <w:ind w:left="20"/>
              <w:spacing w:after="0" w:line="143" w:lineRule="exact"/>
              <w:rPr>
                <w:sz w:val="20"/>
                <w:szCs w:val="20"/>
                <w:color w:val="auto"/>
              </w:rPr>
            </w:pPr>
            <w:r>
              <w:rPr>
                <w:rFonts w:ascii="Arial" w:cs="Arial" w:eastAsia="Arial" w:hAnsi="Arial"/>
                <w:sz w:val="14"/>
                <w:szCs w:val="14"/>
                <w:color w:val="auto"/>
              </w:rPr>
              <w:t>Federal funds purchased and repurchase</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r>
      <w:tr>
        <w:trPr>
          <w:trHeight w:val="181"/>
        </w:trPr>
        <w:tc>
          <w:tcPr>
            <w:tcW w:w="30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agreements</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184,694</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0.13</w:t>
            </w:r>
          </w:p>
        </w:tc>
        <w:tc>
          <w:tcPr>
            <w:tcW w:w="3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9"/>
              </w:rPr>
              <w:t>%</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182,280</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408</w:t>
            </w: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0.90</w:t>
            </w:r>
          </w:p>
        </w:tc>
        <w:tc>
          <w:tcPr>
            <w:tcW w:w="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96"/>
              </w:rPr>
              <w:t>%</w:t>
            </w:r>
          </w:p>
        </w:tc>
      </w:tr>
      <w:tr>
        <w:trPr>
          <w:trHeight w:val="162"/>
        </w:trPr>
        <w:tc>
          <w:tcPr>
            <w:tcW w:w="3060" w:type="dxa"/>
            <w:vAlign w:val="bottom"/>
            <w:gridSpan w:val="2"/>
          </w:tcPr>
          <w:p>
            <w:pPr>
              <w:ind w:left="20"/>
              <w:spacing w:after="0" w:line="162" w:lineRule="exact"/>
              <w:rPr>
                <w:sz w:val="20"/>
                <w:szCs w:val="20"/>
                <w:color w:val="auto"/>
              </w:rPr>
            </w:pPr>
            <w:r>
              <w:rPr>
                <w:rFonts w:ascii="Arial" w:cs="Arial" w:eastAsia="Arial" w:hAnsi="Arial"/>
                <w:sz w:val="13"/>
                <w:szCs w:val="13"/>
                <w:color w:val="auto"/>
              </w:rPr>
              <w:t xml:space="preserve">Borrowings </w:t>
            </w:r>
            <w:r>
              <w:rPr>
                <w:rFonts w:ascii="Arial" w:cs="Arial" w:eastAsia="Arial" w:hAnsi="Arial"/>
                <w:sz w:val="18"/>
                <w:szCs w:val="18"/>
                <w:color w:val="auto"/>
                <w:vertAlign w:val="superscript"/>
              </w:rPr>
              <w:t>(4)</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231,406</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2,924</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5.12</w:t>
            </w:r>
          </w:p>
        </w:tc>
        <w:tc>
          <w:tcPr>
            <w:tcW w:w="360" w:type="dxa"/>
            <w:vAlign w:val="bottom"/>
          </w:tcPr>
          <w:p>
            <w:pPr>
              <w:jc w:val="right"/>
              <w:ind w:right="168"/>
              <w:spacing w:after="0"/>
              <w:rPr>
                <w:sz w:val="20"/>
                <w:szCs w:val="20"/>
                <w:color w:val="auto"/>
              </w:rPr>
            </w:pPr>
            <w:r>
              <w:rPr>
                <w:rFonts w:ascii="Arial" w:cs="Arial" w:eastAsia="Arial" w:hAnsi="Arial"/>
                <w:sz w:val="14"/>
                <w:szCs w:val="14"/>
                <w:color w:val="auto"/>
                <w:w w:val="79"/>
              </w:rPr>
              <w:t>%</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176,655</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1,621</w:t>
            </w: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3.69</w:t>
            </w:r>
          </w:p>
        </w:tc>
        <w:tc>
          <w:tcPr>
            <w:tcW w:w="220" w:type="dxa"/>
            <w:vAlign w:val="bottom"/>
          </w:tcPr>
          <w:p>
            <w:pPr>
              <w:jc w:val="right"/>
              <w:ind w:right="8"/>
              <w:spacing w:after="0"/>
              <w:rPr>
                <w:sz w:val="20"/>
                <w:szCs w:val="20"/>
                <w:color w:val="auto"/>
              </w:rPr>
            </w:pPr>
            <w:r>
              <w:rPr>
                <w:rFonts w:ascii="Arial" w:cs="Arial" w:eastAsia="Arial" w:hAnsi="Arial"/>
                <w:sz w:val="14"/>
                <w:szCs w:val="14"/>
                <w:color w:val="auto"/>
                <w:w w:val="96"/>
              </w:rPr>
              <w:t>%</w:t>
            </w:r>
          </w:p>
        </w:tc>
      </w:tr>
      <w:tr>
        <w:trPr>
          <w:trHeight w:val="143"/>
        </w:trPr>
        <w:tc>
          <w:tcPr>
            <w:tcW w:w="3060" w:type="dxa"/>
            <w:vAlign w:val="bottom"/>
            <w:gridSpan w:val="2"/>
            <w:shd w:val="clear" w:color="auto" w:fill="CCEEFF"/>
          </w:tcPr>
          <w:p>
            <w:pPr>
              <w:ind w:left="20"/>
              <w:spacing w:after="0" w:line="143" w:lineRule="exact"/>
              <w:rPr>
                <w:sz w:val="20"/>
                <w:szCs w:val="20"/>
                <w:color w:val="auto"/>
              </w:rPr>
            </w:pPr>
            <w:r>
              <w:rPr>
                <w:rFonts w:ascii="Arial" w:cs="Arial" w:eastAsia="Arial" w:hAnsi="Arial"/>
                <w:sz w:val="14"/>
                <w:szCs w:val="14"/>
                <w:color w:val="auto"/>
                <w:w w:val="96"/>
              </w:rPr>
              <w:t>Junior subordinated debt issued to unconsolidated</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r>
      <w:tr>
        <w:trPr>
          <w:trHeight w:val="181"/>
        </w:trPr>
        <w:tc>
          <w:tcPr>
            <w:tcW w:w="30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trusts</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71,482</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4.11</w:t>
            </w:r>
          </w:p>
        </w:tc>
        <w:tc>
          <w:tcPr>
            <w:tcW w:w="3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9"/>
              </w:rPr>
              <w:t>%</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71,310</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744</w:t>
            </w: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4.20</w:t>
            </w:r>
          </w:p>
        </w:tc>
        <w:tc>
          <w:tcPr>
            <w:tcW w:w="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96"/>
              </w:rPr>
              <w:t>%</w:t>
            </w:r>
          </w:p>
        </w:tc>
      </w:tr>
      <w:tr>
        <w:trPr>
          <w:trHeight w:val="195"/>
        </w:trPr>
        <w:tc>
          <w:tcPr>
            <w:tcW w:w="3060" w:type="dxa"/>
            <w:vAlign w:val="bottom"/>
            <w:tcBorders>
              <w:bottom w:val="single" w:sz="8" w:color="CCEEFF"/>
            </w:tcBorders>
            <w:gridSpan w:val="2"/>
          </w:tcPr>
          <w:p>
            <w:pPr>
              <w:ind w:left="20"/>
              <w:spacing w:after="0" w:line="155" w:lineRule="exact"/>
              <w:rPr>
                <w:sz w:val="20"/>
                <w:szCs w:val="20"/>
                <w:color w:val="auto"/>
              </w:rPr>
            </w:pPr>
            <w:r>
              <w:rPr>
                <w:rFonts w:ascii="Arial" w:cs="Arial" w:eastAsia="Arial" w:hAnsi="Arial"/>
                <w:sz w:val="14"/>
                <w:szCs w:val="14"/>
                <w:color w:val="auto"/>
              </w:rPr>
              <w:t>Total interest-bearing liabilities</w:t>
            </w:r>
          </w:p>
        </w:tc>
        <w:tc>
          <w:tcPr>
            <w:tcW w:w="120" w:type="dxa"/>
            <w:vAlign w:val="bottom"/>
            <w:tcBorders>
              <w:top w:val="single" w:sz="8" w:color="auto"/>
              <w:bottom w:val="single" w:sz="8" w:color="CCEEFF"/>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CCEEFF"/>
            </w:tcBorders>
          </w:tcPr>
          <w:p>
            <w:pPr>
              <w:jc w:val="right"/>
              <w:spacing w:after="0" w:line="155" w:lineRule="exact"/>
              <w:rPr>
                <w:sz w:val="20"/>
                <w:szCs w:val="20"/>
                <w:color w:val="auto"/>
              </w:rPr>
            </w:pPr>
            <w:r>
              <w:rPr>
                <w:rFonts w:ascii="Arial" w:cs="Arial" w:eastAsia="Arial" w:hAnsi="Arial"/>
                <w:sz w:val="14"/>
                <w:szCs w:val="14"/>
                <w:color w:val="auto"/>
              </w:rPr>
              <w:t>6,521,195</w:t>
            </w:r>
          </w:p>
        </w:tc>
        <w:tc>
          <w:tcPr>
            <w:tcW w:w="16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7,438</w:t>
            </w:r>
          </w:p>
        </w:tc>
        <w:tc>
          <w:tcPr>
            <w:tcW w:w="160" w:type="dxa"/>
            <w:vAlign w:val="bottom"/>
            <w:tcBorders>
              <w:bottom w:val="single" w:sz="8" w:color="CCEEFF"/>
            </w:tcBorders>
          </w:tcPr>
          <w:p>
            <w:pPr>
              <w:spacing w:after="0"/>
              <w:rPr>
                <w:sz w:val="17"/>
                <w:szCs w:val="17"/>
                <w:color w:val="auto"/>
              </w:rPr>
            </w:pPr>
          </w:p>
        </w:tc>
        <w:tc>
          <w:tcPr>
            <w:tcW w:w="700" w:type="dxa"/>
            <w:vAlign w:val="bottom"/>
            <w:tcBorders>
              <w:top w:val="single" w:sz="8" w:color="auto"/>
              <w:bottom w:val="single" w:sz="8" w:color="CCEEFF"/>
            </w:tcBorders>
          </w:tcPr>
          <w:p>
            <w:pPr>
              <w:jc w:val="right"/>
              <w:spacing w:after="0" w:line="155" w:lineRule="exact"/>
              <w:rPr>
                <w:sz w:val="20"/>
                <w:szCs w:val="20"/>
                <w:color w:val="auto"/>
              </w:rPr>
            </w:pPr>
            <w:r>
              <w:rPr>
                <w:rFonts w:ascii="Arial" w:cs="Arial" w:eastAsia="Arial" w:hAnsi="Arial"/>
                <w:sz w:val="14"/>
                <w:szCs w:val="14"/>
                <w:color w:val="auto"/>
              </w:rPr>
              <w:t>0.46</w:t>
            </w:r>
          </w:p>
        </w:tc>
        <w:tc>
          <w:tcPr>
            <w:tcW w:w="360" w:type="dxa"/>
            <w:vAlign w:val="bottom"/>
            <w:tcBorders>
              <w:bottom w:val="single" w:sz="8" w:color="CCEEFF"/>
            </w:tcBorders>
          </w:tcPr>
          <w:p>
            <w:pPr>
              <w:jc w:val="right"/>
              <w:ind w:right="168"/>
              <w:spacing w:after="0" w:line="155" w:lineRule="exact"/>
              <w:rPr>
                <w:sz w:val="20"/>
                <w:szCs w:val="20"/>
                <w:color w:val="auto"/>
              </w:rPr>
            </w:pPr>
            <w:r>
              <w:rPr>
                <w:rFonts w:ascii="Arial" w:cs="Arial" w:eastAsia="Arial" w:hAnsi="Arial"/>
                <w:sz w:val="14"/>
                <w:szCs w:val="14"/>
                <w:color w:val="auto"/>
                <w:w w:val="79"/>
              </w:rPr>
              <w:t>%</w:t>
            </w:r>
          </w:p>
        </w:tc>
        <w:tc>
          <w:tcPr>
            <w:tcW w:w="120" w:type="dxa"/>
            <w:vAlign w:val="bottom"/>
            <w:tcBorders>
              <w:top w:val="single" w:sz="8" w:color="auto"/>
              <w:bottom w:val="single" w:sz="8" w:color="CCEEFF"/>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CCEEFF"/>
            </w:tcBorders>
          </w:tcPr>
          <w:p>
            <w:pPr>
              <w:jc w:val="right"/>
              <w:spacing w:after="0" w:line="155" w:lineRule="exact"/>
              <w:rPr>
                <w:sz w:val="20"/>
                <w:szCs w:val="20"/>
                <w:color w:val="auto"/>
              </w:rPr>
            </w:pPr>
            <w:r>
              <w:rPr>
                <w:rFonts w:ascii="Arial" w:cs="Arial" w:eastAsia="Arial" w:hAnsi="Arial"/>
                <w:sz w:val="14"/>
                <w:szCs w:val="14"/>
                <w:color w:val="auto"/>
                <w:w w:val="96"/>
              </w:rPr>
              <w:t>6,512,217</w:t>
            </w:r>
          </w:p>
        </w:tc>
        <w:tc>
          <w:tcPr>
            <w:tcW w:w="16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15,000</w:t>
            </w:r>
          </w:p>
        </w:tc>
        <w:tc>
          <w:tcPr>
            <w:tcW w:w="160" w:type="dxa"/>
            <w:vAlign w:val="bottom"/>
            <w:tcBorders>
              <w:bottom w:val="single" w:sz="8" w:color="CCEEFF"/>
            </w:tcBorders>
          </w:tcPr>
          <w:p>
            <w:pPr>
              <w:spacing w:after="0"/>
              <w:rPr>
                <w:sz w:val="17"/>
                <w:szCs w:val="17"/>
                <w:color w:val="auto"/>
              </w:rPr>
            </w:pPr>
          </w:p>
        </w:tc>
        <w:tc>
          <w:tcPr>
            <w:tcW w:w="700" w:type="dxa"/>
            <w:vAlign w:val="bottom"/>
            <w:tcBorders>
              <w:top w:val="single" w:sz="8" w:color="auto"/>
              <w:bottom w:val="single" w:sz="8" w:color="CCEEFF"/>
            </w:tcBorders>
          </w:tcPr>
          <w:p>
            <w:pPr>
              <w:jc w:val="right"/>
              <w:spacing w:after="0" w:line="155" w:lineRule="exact"/>
              <w:rPr>
                <w:sz w:val="20"/>
                <w:szCs w:val="20"/>
                <w:color w:val="auto"/>
              </w:rPr>
            </w:pPr>
            <w:r>
              <w:rPr>
                <w:rFonts w:ascii="Arial" w:cs="Arial" w:eastAsia="Arial" w:hAnsi="Arial"/>
                <w:sz w:val="14"/>
                <w:szCs w:val="14"/>
                <w:color w:val="auto"/>
              </w:rPr>
              <w:t>0.93</w:t>
            </w:r>
          </w:p>
        </w:tc>
        <w:tc>
          <w:tcPr>
            <w:tcW w:w="220" w:type="dxa"/>
            <w:vAlign w:val="bottom"/>
            <w:tcBorders>
              <w:bottom w:val="single" w:sz="8" w:color="CCEEFF"/>
            </w:tcBorders>
          </w:tcPr>
          <w:p>
            <w:pPr>
              <w:jc w:val="right"/>
              <w:ind w:right="8"/>
              <w:spacing w:after="0" w:line="155" w:lineRule="exact"/>
              <w:rPr>
                <w:sz w:val="20"/>
                <w:szCs w:val="20"/>
                <w:color w:val="auto"/>
              </w:rPr>
            </w:pPr>
            <w:r>
              <w:rPr>
                <w:rFonts w:ascii="Arial" w:cs="Arial" w:eastAsia="Arial" w:hAnsi="Arial"/>
                <w:sz w:val="14"/>
                <w:szCs w:val="14"/>
                <w:color w:val="auto"/>
                <w:w w:val="96"/>
              </w:rPr>
              <w:t>%</w:t>
            </w:r>
          </w:p>
        </w:tc>
      </w:tr>
      <w:tr>
        <w:trPr>
          <w:trHeight w:val="143"/>
        </w:trPr>
        <w:tc>
          <w:tcPr>
            <w:tcW w:w="2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r>
      <w:tr>
        <w:trPr>
          <w:trHeight w:val="202"/>
        </w:trPr>
        <w:tc>
          <w:tcPr>
            <w:tcW w:w="3060" w:type="dxa"/>
            <w:vAlign w:val="bottom"/>
            <w:gridSpan w:val="2"/>
          </w:tcPr>
          <w:p>
            <w:pPr>
              <w:ind w:left="20"/>
              <w:spacing w:after="0" w:line="162" w:lineRule="exact"/>
              <w:rPr>
                <w:sz w:val="20"/>
                <w:szCs w:val="20"/>
                <w:color w:val="auto"/>
              </w:rPr>
            </w:pPr>
            <w:r>
              <w:rPr>
                <w:rFonts w:ascii="Arial" w:cs="Arial" w:eastAsia="Arial" w:hAnsi="Arial"/>
                <w:sz w:val="13"/>
                <w:szCs w:val="13"/>
                <w:color w:val="auto"/>
              </w:rPr>
              <w:t xml:space="preserve">Net interest spread </w:t>
            </w:r>
            <w:r>
              <w:rPr>
                <w:rFonts w:ascii="Arial" w:cs="Arial" w:eastAsia="Arial" w:hAnsi="Arial"/>
                <w:sz w:val="18"/>
                <w:szCs w:val="18"/>
                <w:color w:val="auto"/>
                <w:vertAlign w:val="superscript"/>
              </w:rPr>
              <w:t>(1)</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2.57</w:t>
            </w:r>
          </w:p>
        </w:tc>
        <w:tc>
          <w:tcPr>
            <w:tcW w:w="360" w:type="dxa"/>
            <w:vAlign w:val="bottom"/>
          </w:tcPr>
          <w:p>
            <w:pPr>
              <w:jc w:val="right"/>
              <w:ind w:right="168"/>
              <w:spacing w:after="0"/>
              <w:rPr>
                <w:sz w:val="20"/>
                <w:szCs w:val="20"/>
                <w:color w:val="auto"/>
              </w:rPr>
            </w:pPr>
            <w:r>
              <w:rPr>
                <w:rFonts w:ascii="Arial" w:cs="Arial" w:eastAsia="Arial" w:hAnsi="Arial"/>
                <w:sz w:val="14"/>
                <w:szCs w:val="14"/>
                <w:color w:val="auto"/>
                <w:w w:val="79"/>
              </w:rPr>
              <w:t>%</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2.95</w:t>
            </w:r>
          </w:p>
        </w:tc>
        <w:tc>
          <w:tcPr>
            <w:tcW w:w="220" w:type="dxa"/>
            <w:vAlign w:val="bottom"/>
          </w:tcPr>
          <w:p>
            <w:pPr>
              <w:jc w:val="right"/>
              <w:ind w:right="8"/>
              <w:spacing w:after="0"/>
              <w:rPr>
                <w:sz w:val="20"/>
                <w:szCs w:val="20"/>
                <w:color w:val="auto"/>
              </w:rPr>
            </w:pPr>
            <w:r>
              <w:rPr>
                <w:rFonts w:ascii="Arial" w:cs="Arial" w:eastAsia="Arial" w:hAnsi="Arial"/>
                <w:sz w:val="14"/>
                <w:szCs w:val="14"/>
                <w:color w:val="auto"/>
                <w:w w:val="96"/>
              </w:rPr>
              <w:t>%</w:t>
            </w:r>
          </w:p>
        </w:tc>
      </w:tr>
      <w:tr>
        <w:trPr>
          <w:trHeight w:val="143"/>
        </w:trPr>
        <w:tc>
          <w:tcPr>
            <w:tcW w:w="224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r>
      <w:tr>
        <w:trPr>
          <w:trHeight w:val="162"/>
        </w:trPr>
        <w:tc>
          <w:tcPr>
            <w:tcW w:w="3060" w:type="dxa"/>
            <w:vAlign w:val="bottom"/>
            <w:gridSpan w:val="2"/>
          </w:tcPr>
          <w:p>
            <w:pPr>
              <w:ind w:left="20"/>
              <w:spacing w:after="0"/>
              <w:rPr>
                <w:sz w:val="20"/>
                <w:szCs w:val="20"/>
                <w:color w:val="auto"/>
              </w:rPr>
            </w:pPr>
            <w:r>
              <w:rPr>
                <w:rFonts w:ascii="Arial" w:cs="Arial" w:eastAsia="Arial" w:hAnsi="Arial"/>
                <w:sz w:val="14"/>
                <w:szCs w:val="14"/>
                <w:color w:val="auto"/>
              </w:rPr>
              <w:t>Noninterest-bearing deposits</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2,688,845</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6"/>
              </w:rPr>
              <w:t>1,842,743</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62"/>
        </w:trPr>
        <w:tc>
          <w:tcPr>
            <w:tcW w:w="30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liabilities</w:t>
            </w: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108,511</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115,057</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r>
      <w:tr>
        <w:trPr>
          <w:trHeight w:val="162"/>
        </w:trPr>
        <w:tc>
          <w:tcPr>
            <w:tcW w:w="30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Stockholders’ equity</w:t>
            </w: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1,275,694</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1,218,160</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r>
      <w:tr>
        <w:trPr>
          <w:trHeight w:val="155"/>
        </w:trPr>
        <w:tc>
          <w:tcPr>
            <w:tcW w:w="3060" w:type="dxa"/>
            <w:vAlign w:val="bottom"/>
            <w:tcBorders>
              <w:bottom w:val="single" w:sz="8" w:color="CCEEFF"/>
            </w:tcBorders>
            <w:gridSpan w:val="2"/>
            <w:shd w:val="clear" w:color="auto" w:fill="CCEEFF"/>
          </w:tcPr>
          <w:p>
            <w:pPr>
              <w:ind w:left="20"/>
              <w:spacing w:after="0" w:line="155" w:lineRule="exact"/>
              <w:rPr>
                <w:sz w:val="20"/>
                <w:szCs w:val="20"/>
                <w:color w:val="auto"/>
              </w:rPr>
            </w:pPr>
            <w:r>
              <w:rPr>
                <w:rFonts w:ascii="Arial" w:cs="Arial" w:eastAsia="Arial" w:hAnsi="Arial"/>
                <w:sz w:val="14"/>
                <w:szCs w:val="14"/>
                <w:color w:val="auto"/>
              </w:rPr>
              <w:t>Total liabilities and stockholders’ equity</w:t>
            </w:r>
          </w:p>
        </w:tc>
        <w:tc>
          <w:tcPr>
            <w:tcW w:w="1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94"/>
              </w:rPr>
              <w:t>10,594,245</w:t>
            </w:r>
          </w:p>
        </w:tc>
        <w:tc>
          <w:tcPr>
            <w:tcW w:w="1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96"/>
              </w:rPr>
              <w:t>9,688,177</w:t>
            </w:r>
          </w:p>
        </w:tc>
        <w:tc>
          <w:tcPr>
            <w:tcW w:w="1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r>
      <w:tr>
        <w:trPr>
          <w:trHeight w:val="20"/>
        </w:trPr>
        <w:tc>
          <w:tcPr>
            <w:tcW w:w="2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43"/>
        </w:trPr>
        <w:tc>
          <w:tcPr>
            <w:tcW w:w="2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62"/>
        </w:trPr>
        <w:tc>
          <w:tcPr>
            <w:tcW w:w="3060" w:type="dxa"/>
            <w:vAlign w:val="bottom"/>
            <w:gridSpan w:val="2"/>
            <w:shd w:val="clear" w:color="auto" w:fill="CCEEFF"/>
          </w:tcPr>
          <w:p>
            <w:pPr>
              <w:ind w:left="20"/>
              <w:spacing w:after="0" w:line="162" w:lineRule="exact"/>
              <w:rPr>
                <w:sz w:val="20"/>
                <w:szCs w:val="20"/>
                <w:color w:val="auto"/>
              </w:rPr>
            </w:pPr>
            <w:r>
              <w:rPr>
                <w:rFonts w:ascii="Arial" w:cs="Arial" w:eastAsia="Arial" w:hAnsi="Arial"/>
                <w:sz w:val="13"/>
                <w:szCs w:val="13"/>
                <w:color w:val="auto"/>
              </w:rPr>
              <w:t xml:space="preserve">Interest income / earning assets </w:t>
            </w:r>
            <w:r>
              <w:rPr>
                <w:rFonts w:ascii="Arial" w:cs="Arial" w:eastAsia="Arial" w:hAnsi="Arial"/>
                <w:sz w:val="18"/>
                <w:szCs w:val="18"/>
                <w:color w:val="auto"/>
                <w:vertAlign w:val="superscript"/>
              </w:rPr>
              <w:t>(1), (3)</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9,752,294</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72,932</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3.03</w:t>
            </w:r>
          </w:p>
        </w:tc>
        <w:tc>
          <w:tcPr>
            <w:tcW w:w="3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9"/>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8,817,544</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85,163</w:t>
            </w: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3.88</w:t>
            </w:r>
          </w:p>
        </w:tc>
        <w:tc>
          <w:tcPr>
            <w:tcW w:w="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96"/>
              </w:rPr>
              <w:t>%</w:t>
            </w:r>
          </w:p>
        </w:tc>
      </w:tr>
      <w:tr>
        <w:trPr>
          <w:trHeight w:val="162"/>
        </w:trPr>
        <w:tc>
          <w:tcPr>
            <w:tcW w:w="3060" w:type="dxa"/>
            <w:vAlign w:val="bottom"/>
            <w:gridSpan w:val="2"/>
          </w:tcPr>
          <w:p>
            <w:pPr>
              <w:ind w:left="20"/>
              <w:spacing w:after="0"/>
              <w:rPr>
                <w:sz w:val="20"/>
                <w:szCs w:val="20"/>
                <w:color w:val="auto"/>
              </w:rPr>
            </w:pPr>
            <w:r>
              <w:rPr>
                <w:rFonts w:ascii="Arial" w:cs="Arial" w:eastAsia="Arial" w:hAnsi="Arial"/>
                <w:sz w:val="14"/>
                <w:szCs w:val="14"/>
                <w:color w:val="auto"/>
              </w:rPr>
              <w:t>Interest expense / earning assets</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9,752,294</w:t>
            </w:r>
          </w:p>
        </w:tc>
        <w:tc>
          <w:tcPr>
            <w:tcW w:w="1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7,438</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0.31</w:t>
            </w:r>
          </w:p>
        </w:tc>
        <w:tc>
          <w:tcPr>
            <w:tcW w:w="360" w:type="dxa"/>
            <w:vAlign w:val="bottom"/>
          </w:tcPr>
          <w:p>
            <w:pPr>
              <w:jc w:val="right"/>
              <w:ind w:right="168"/>
              <w:spacing w:after="0"/>
              <w:rPr>
                <w:sz w:val="20"/>
                <w:szCs w:val="20"/>
                <w:color w:val="auto"/>
              </w:rPr>
            </w:pPr>
            <w:r>
              <w:rPr>
                <w:rFonts w:ascii="Arial" w:cs="Arial" w:eastAsia="Arial" w:hAnsi="Arial"/>
                <w:sz w:val="14"/>
                <w:szCs w:val="14"/>
                <w:color w:val="auto"/>
                <w:w w:val="79"/>
              </w:rPr>
              <w: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w w:val="96"/>
              </w:rPr>
              <w:t>8,817,544</w:t>
            </w:r>
          </w:p>
        </w:tc>
        <w:tc>
          <w:tcPr>
            <w:tcW w:w="16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15,000</w:t>
            </w: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0.68</w:t>
            </w:r>
          </w:p>
        </w:tc>
        <w:tc>
          <w:tcPr>
            <w:tcW w:w="220" w:type="dxa"/>
            <w:vAlign w:val="bottom"/>
          </w:tcPr>
          <w:p>
            <w:pPr>
              <w:jc w:val="right"/>
              <w:ind w:right="8"/>
              <w:spacing w:after="0"/>
              <w:rPr>
                <w:sz w:val="20"/>
                <w:szCs w:val="20"/>
                <w:color w:val="auto"/>
              </w:rPr>
            </w:pPr>
            <w:r>
              <w:rPr>
                <w:rFonts w:ascii="Arial" w:cs="Arial" w:eastAsia="Arial" w:hAnsi="Arial"/>
                <w:sz w:val="14"/>
                <w:szCs w:val="14"/>
                <w:color w:val="auto"/>
                <w:w w:val="96"/>
              </w:rPr>
              <w:t>%</w:t>
            </w:r>
          </w:p>
        </w:tc>
      </w:tr>
      <w:tr>
        <w:trPr>
          <w:trHeight w:val="156"/>
        </w:trPr>
        <w:tc>
          <w:tcPr>
            <w:tcW w:w="3060" w:type="dxa"/>
            <w:vAlign w:val="bottom"/>
            <w:tcBorders>
              <w:top w:val="single" w:sz="8" w:color="CCEEFF"/>
              <w:bottom w:val="single" w:sz="8" w:color="CCEEFF"/>
            </w:tcBorders>
            <w:gridSpan w:val="2"/>
            <w:shd w:val="clear" w:color="auto" w:fill="CCEEFF"/>
          </w:tcPr>
          <w:p>
            <w:pPr>
              <w:ind w:left="20"/>
              <w:spacing w:after="0" w:line="156" w:lineRule="exact"/>
              <w:rPr>
                <w:sz w:val="20"/>
                <w:szCs w:val="20"/>
                <w:color w:val="auto"/>
              </w:rPr>
            </w:pPr>
            <w:r>
              <w:rPr>
                <w:rFonts w:ascii="Arial" w:cs="Arial" w:eastAsia="Arial" w:hAnsi="Arial"/>
                <w:sz w:val="13"/>
                <w:szCs w:val="13"/>
                <w:color w:val="auto"/>
              </w:rPr>
              <w:t xml:space="preserve">Net interest margin </w:t>
            </w:r>
            <w:r>
              <w:rPr>
                <w:rFonts w:ascii="Arial" w:cs="Arial" w:eastAsia="Arial" w:hAnsi="Arial"/>
                <w:sz w:val="18"/>
                <w:szCs w:val="18"/>
                <w:color w:val="auto"/>
                <w:vertAlign w:val="superscript"/>
              </w:rPr>
              <w:t>(1)</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74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65,494</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7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2.72</w:t>
            </w:r>
          </w:p>
        </w:tc>
        <w:tc>
          <w:tcPr>
            <w:tcW w:w="360" w:type="dxa"/>
            <w:vAlign w:val="bottom"/>
            <w:tcBorders>
              <w:top w:val="single" w:sz="8" w:color="CCEEFF"/>
              <w:bottom w:val="single" w:sz="8" w:color="CCEEFF"/>
            </w:tcBorders>
            <w:shd w:val="clear" w:color="auto" w:fill="CCEEFF"/>
          </w:tcPr>
          <w:p>
            <w:pPr>
              <w:jc w:val="right"/>
              <w:ind w:right="168"/>
              <w:spacing w:after="0" w:line="155" w:lineRule="exact"/>
              <w:rPr>
                <w:sz w:val="20"/>
                <w:szCs w:val="20"/>
                <w:color w:val="auto"/>
              </w:rPr>
            </w:pPr>
            <w:r>
              <w:rPr>
                <w:rFonts w:ascii="Arial" w:cs="Arial" w:eastAsia="Arial" w:hAnsi="Arial"/>
                <w:sz w:val="14"/>
                <w:szCs w:val="14"/>
                <w:color w:val="auto"/>
                <w:w w:val="79"/>
              </w:rPr>
              <w:t>%</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66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70,163</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7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3.20</w:t>
            </w:r>
          </w:p>
        </w:tc>
        <w:tc>
          <w:tcPr>
            <w:tcW w:w="220" w:type="dxa"/>
            <w:vAlign w:val="bottom"/>
            <w:tcBorders>
              <w:top w:val="single" w:sz="8" w:color="CCEEFF"/>
              <w:bottom w:val="single" w:sz="8" w:color="CCEEFF"/>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w w:val="96"/>
              </w:rPr>
              <w:t>%</w:t>
            </w:r>
          </w:p>
        </w:tc>
      </w:tr>
      <w:tr>
        <w:trPr>
          <w:trHeight w:val="20"/>
        </w:trPr>
        <w:tc>
          <w:tcPr>
            <w:tcW w:w="2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r>
    </w:tbl>
    <w:p>
      <w:pPr>
        <w:spacing w:after="0" w:line="62" w:lineRule="exact"/>
        <w:rPr>
          <w:sz w:val="20"/>
          <w:szCs w:val="20"/>
          <w:color w:val="auto"/>
        </w:rPr>
      </w:pPr>
    </w:p>
    <w:p>
      <w:pPr>
        <w:ind w:left="480" w:hanging="322"/>
        <w:spacing w:after="0"/>
        <w:tabs>
          <w:tab w:leader="none" w:pos="480" w:val="left"/>
        </w:tabs>
        <w:numPr>
          <w:ilvl w:val="0"/>
          <w:numId w:val="9"/>
        </w:numPr>
        <w:rPr>
          <w:rFonts w:ascii="Arial" w:cs="Arial" w:eastAsia="Arial" w:hAnsi="Arial"/>
          <w:sz w:val="13"/>
          <w:szCs w:val="13"/>
          <w:color w:val="auto"/>
        </w:rPr>
      </w:pPr>
      <w:r>
        <w:rPr>
          <w:rFonts w:ascii="Arial" w:cs="Arial" w:eastAsia="Arial" w:hAnsi="Arial"/>
          <w:sz w:val="14"/>
          <w:szCs w:val="14"/>
          <w:color w:val="auto"/>
        </w:rPr>
        <w:t>On a tax-equivalent basis and assuming an income tax rate of 21%.</w:t>
      </w:r>
    </w:p>
    <w:p>
      <w:pPr>
        <w:spacing w:after="0" w:line="13" w:lineRule="exact"/>
        <w:rPr>
          <w:rFonts w:ascii="Arial" w:cs="Arial" w:eastAsia="Arial" w:hAnsi="Arial"/>
          <w:sz w:val="13"/>
          <w:szCs w:val="13"/>
          <w:color w:val="auto"/>
        </w:rPr>
      </w:pPr>
    </w:p>
    <w:p>
      <w:pPr>
        <w:ind w:left="480" w:hanging="322"/>
        <w:spacing w:after="0"/>
        <w:tabs>
          <w:tab w:leader="none" w:pos="480" w:val="left"/>
        </w:tabs>
        <w:numPr>
          <w:ilvl w:val="0"/>
          <w:numId w:val="9"/>
        </w:numPr>
        <w:rPr>
          <w:rFonts w:ascii="Arial" w:cs="Arial" w:eastAsia="Arial" w:hAnsi="Arial"/>
          <w:sz w:val="13"/>
          <w:szCs w:val="13"/>
          <w:color w:val="auto"/>
        </w:rPr>
      </w:pPr>
      <w:r>
        <w:rPr>
          <w:rFonts w:ascii="Arial" w:cs="Arial" w:eastAsia="Arial" w:hAnsi="Arial"/>
          <w:sz w:val="14"/>
          <w:szCs w:val="14"/>
          <w:color w:val="auto"/>
        </w:rPr>
        <w:t>Non-accrual loans have been included in average portfolio loans.</w:t>
      </w:r>
    </w:p>
    <w:p>
      <w:pPr>
        <w:spacing w:after="0" w:line="1" w:lineRule="exact"/>
        <w:rPr>
          <w:rFonts w:ascii="Arial" w:cs="Arial" w:eastAsia="Arial" w:hAnsi="Arial"/>
          <w:sz w:val="13"/>
          <w:szCs w:val="13"/>
          <w:color w:val="auto"/>
        </w:rPr>
      </w:pPr>
    </w:p>
    <w:p>
      <w:pPr>
        <w:ind w:left="480" w:right="79" w:hanging="322"/>
        <w:spacing w:after="0" w:line="241" w:lineRule="auto"/>
        <w:tabs>
          <w:tab w:leader="none" w:pos="480" w:val="left"/>
        </w:tabs>
        <w:numPr>
          <w:ilvl w:val="0"/>
          <w:numId w:val="9"/>
        </w:numPr>
        <w:rPr>
          <w:rFonts w:ascii="Arial" w:cs="Arial" w:eastAsia="Arial" w:hAnsi="Arial"/>
          <w:sz w:val="13"/>
          <w:szCs w:val="13"/>
          <w:color w:val="auto"/>
        </w:rPr>
      </w:pPr>
      <w:r>
        <w:rPr>
          <w:rFonts w:ascii="Arial" w:cs="Arial" w:eastAsia="Arial" w:hAnsi="Arial"/>
          <w:sz w:val="14"/>
          <w:szCs w:val="14"/>
          <w:color w:val="auto"/>
        </w:rPr>
        <w:t>Interest income includes a tax-equivalent adjustment of $0.6 million and $0.7 million for the three months ended March 31, 2021 and 2020, respectively.</w:t>
      </w:r>
    </w:p>
    <w:p>
      <w:pPr>
        <w:ind w:left="480" w:hanging="322"/>
        <w:spacing w:after="0"/>
        <w:tabs>
          <w:tab w:leader="none" w:pos="480" w:val="left"/>
        </w:tabs>
        <w:numPr>
          <w:ilvl w:val="0"/>
          <w:numId w:val="9"/>
        </w:numPr>
        <w:rPr>
          <w:rFonts w:ascii="Arial" w:cs="Arial" w:eastAsia="Arial" w:hAnsi="Arial"/>
          <w:sz w:val="13"/>
          <w:szCs w:val="13"/>
          <w:color w:val="auto"/>
        </w:rPr>
      </w:pPr>
      <w:r>
        <w:rPr>
          <w:rFonts w:ascii="Arial" w:cs="Arial" w:eastAsia="Arial" w:hAnsi="Arial"/>
          <w:sz w:val="14"/>
          <w:szCs w:val="14"/>
          <w:color w:val="auto"/>
        </w:rPr>
        <w:t>Includes short-term and long-term borrowings. Interest expense includes a non-usage fee on a revolving loan.</w:t>
      </w:r>
    </w:p>
    <w:p>
      <w:pPr>
        <w:spacing w:after="0" w:line="1" w:lineRule="exact"/>
        <w:rPr>
          <w:rFonts w:ascii="Arial" w:cs="Arial" w:eastAsia="Arial" w:hAnsi="Arial"/>
          <w:sz w:val="13"/>
          <w:szCs w:val="13"/>
          <w:color w:val="auto"/>
        </w:rPr>
      </w:pPr>
    </w:p>
    <w:p>
      <w:pPr>
        <w:ind w:left="480" w:hanging="322"/>
        <w:spacing w:after="0"/>
        <w:tabs>
          <w:tab w:leader="none" w:pos="480" w:val="left"/>
        </w:tabs>
        <w:numPr>
          <w:ilvl w:val="0"/>
          <w:numId w:val="9"/>
        </w:numPr>
        <w:rPr>
          <w:rFonts w:ascii="Arial" w:cs="Arial" w:eastAsia="Arial" w:hAnsi="Arial"/>
          <w:sz w:val="13"/>
          <w:szCs w:val="13"/>
          <w:color w:val="auto"/>
        </w:rPr>
      </w:pPr>
      <w:r>
        <w:rPr>
          <w:rFonts w:ascii="Arial" w:cs="Arial" w:eastAsia="Arial" w:hAnsi="Arial"/>
          <w:sz w:val="14"/>
          <w:szCs w:val="14"/>
          <w:color w:val="auto"/>
        </w:rPr>
        <w:t>Annualized.</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3" w:name="page44"/>
    <w:bookmarkEnd w:id="4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6"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Earning Assets, Sources of Funds, and Net Interest Margin</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Changes in average earning assets are summarized as follows for the periods presented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4820" w:type="dxa"/>
            <w:vAlign w:val="bottom"/>
          </w:tcPr>
          <w:p>
            <w:pPr>
              <w:spacing w:after="0"/>
              <w:rPr>
                <w:sz w:val="16"/>
                <w:szCs w:val="16"/>
                <w:color w:val="auto"/>
              </w:rPr>
            </w:pPr>
          </w:p>
        </w:tc>
        <w:tc>
          <w:tcPr>
            <w:tcW w:w="2280" w:type="dxa"/>
            <w:vAlign w:val="bottom"/>
            <w:gridSpan w:val="4"/>
          </w:tcPr>
          <w:p>
            <w:pPr>
              <w:ind w:left="60"/>
              <w:spacing w:after="0"/>
              <w:rPr>
                <w:sz w:val="20"/>
                <w:szCs w:val="20"/>
                <w:color w:val="auto"/>
              </w:rPr>
            </w:pPr>
            <w:r>
              <w:rPr>
                <w:rFonts w:ascii="Arial" w:cs="Arial" w:eastAsia="Arial" w:hAnsi="Arial"/>
                <w:sz w:val="14"/>
                <w:szCs w:val="14"/>
                <w:b w:val="1"/>
                <w:bCs w:val="1"/>
                <w:color w:val="auto"/>
              </w:rPr>
              <w:t>Three Months Ended March 31,</w:t>
            </w:r>
          </w:p>
        </w:tc>
        <w:tc>
          <w:tcPr>
            <w:tcW w:w="9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Change</w:t>
            </w:r>
          </w:p>
        </w:tc>
        <w:tc>
          <w:tcPr>
            <w:tcW w:w="840" w:type="dxa"/>
            <w:vAlign w:val="bottom"/>
            <w:gridSpan w:val="2"/>
            <w:vMerge w:val="restart"/>
          </w:tcPr>
          <w:p>
            <w:pPr>
              <w:jc w:val="right"/>
              <w:ind w:right="70"/>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55"/>
        </w:trPr>
        <w:tc>
          <w:tcPr>
            <w:tcW w:w="4820" w:type="dxa"/>
            <w:vAlign w:val="bottom"/>
          </w:tcPr>
          <w:p>
            <w:pPr>
              <w:spacing w:after="0"/>
              <w:rPr>
                <w:sz w:val="13"/>
                <w:szCs w:val="13"/>
                <w:color w:val="auto"/>
              </w:rPr>
            </w:pPr>
          </w:p>
        </w:tc>
        <w:tc>
          <w:tcPr>
            <w:tcW w:w="960" w:type="dxa"/>
            <w:vAlign w:val="bottom"/>
            <w:tcBorders>
              <w:top w:val="single" w:sz="8" w:color="auto"/>
            </w:tcBorders>
          </w:tcPr>
          <w:p>
            <w:pPr>
              <w:jc w:val="right"/>
              <w:ind w:right="255"/>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ind w:right="253"/>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820" w:type="dxa"/>
            <w:vAlign w:val="bottom"/>
          </w:tcPr>
          <w:p>
            <w:pPr>
              <w:ind w:left="20"/>
              <w:spacing w:after="0" w:line="196" w:lineRule="exact"/>
              <w:rPr>
                <w:sz w:val="20"/>
                <w:szCs w:val="20"/>
                <w:color w:val="auto"/>
              </w:rPr>
            </w:pPr>
            <w:r>
              <w:rPr>
                <w:rFonts w:ascii="Arial" w:cs="Arial" w:eastAsia="Arial" w:hAnsi="Arial"/>
                <w:sz w:val="18"/>
                <w:szCs w:val="18"/>
                <w:color w:val="auto"/>
              </w:rPr>
              <w:t>Average interest-earning assets</w:t>
            </w:r>
          </w:p>
        </w:tc>
        <w:tc>
          <w:tcPr>
            <w:tcW w:w="9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94"/>
              </w:rPr>
              <w:t>$ 9,752,294</w:t>
            </w:r>
          </w:p>
        </w:tc>
        <w:tc>
          <w:tcPr>
            <w:tcW w:w="180" w:type="dxa"/>
            <w:vAlign w:val="bottom"/>
          </w:tcPr>
          <w:p>
            <w:pPr>
              <w:spacing w:after="0"/>
              <w:rPr>
                <w:sz w:val="17"/>
                <w:szCs w:val="17"/>
                <w:color w:val="auto"/>
              </w:rPr>
            </w:pPr>
          </w:p>
        </w:tc>
        <w:tc>
          <w:tcPr>
            <w:tcW w:w="9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94"/>
              </w:rPr>
              <w:t>$ 8,817,544</w:t>
            </w:r>
          </w:p>
        </w:tc>
        <w:tc>
          <w:tcPr>
            <w:tcW w:w="160" w:type="dxa"/>
            <w:vAlign w:val="bottom"/>
          </w:tcPr>
          <w:p>
            <w:pPr>
              <w:spacing w:after="0"/>
              <w:rPr>
                <w:sz w:val="17"/>
                <w:szCs w:val="17"/>
                <w:color w:val="auto"/>
              </w:rPr>
            </w:pPr>
          </w:p>
        </w:tc>
        <w:tc>
          <w:tcPr>
            <w:tcW w:w="8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92"/>
              </w:rPr>
              <w:t>$ 934,750</w:t>
            </w:r>
          </w:p>
        </w:tc>
        <w:tc>
          <w:tcPr>
            <w:tcW w:w="160" w:type="dxa"/>
            <w:vAlign w:val="bottom"/>
          </w:tcPr>
          <w:p>
            <w:pPr>
              <w:spacing w:after="0"/>
              <w:rPr>
                <w:sz w:val="17"/>
                <w:szCs w:val="17"/>
                <w:color w:val="auto"/>
              </w:rPr>
            </w:pPr>
          </w:p>
        </w:tc>
        <w:tc>
          <w:tcPr>
            <w:tcW w:w="6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10.6</w:t>
            </w: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3"/>
        </w:trPr>
        <w:tc>
          <w:tcPr>
            <w:tcW w:w="48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Average interest-bearing liabilities</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6,521,195</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6,512,217</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8,978</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203"/>
        </w:trPr>
        <w:tc>
          <w:tcPr>
            <w:tcW w:w="4820" w:type="dxa"/>
            <w:vAlign w:val="bottom"/>
          </w:tcPr>
          <w:p>
            <w:pPr>
              <w:ind w:left="20"/>
              <w:spacing w:after="0" w:line="202" w:lineRule="exact"/>
              <w:rPr>
                <w:sz w:val="20"/>
                <w:szCs w:val="20"/>
                <w:color w:val="auto"/>
              </w:rPr>
            </w:pPr>
            <w:r>
              <w:rPr>
                <w:rFonts w:ascii="Arial" w:cs="Arial" w:eastAsia="Arial" w:hAnsi="Arial"/>
                <w:sz w:val="18"/>
                <w:szCs w:val="18"/>
                <w:color w:val="auto"/>
              </w:rPr>
              <w:t>Average noninterest-bearing deposits</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2,688,845</w:t>
            </w:r>
          </w:p>
        </w:tc>
        <w:tc>
          <w:tcPr>
            <w:tcW w:w="18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1,842,743</w:t>
            </w:r>
          </w:p>
        </w:tc>
        <w:tc>
          <w:tcPr>
            <w:tcW w:w="16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846,102</w:t>
            </w:r>
          </w:p>
        </w:tc>
        <w:tc>
          <w:tcPr>
            <w:tcW w:w="160" w:type="dxa"/>
            <w:vAlign w:val="bottom"/>
          </w:tcPr>
          <w:p>
            <w:pPr>
              <w:spacing w:after="0"/>
              <w:rPr>
                <w:sz w:val="17"/>
                <w:szCs w:val="17"/>
                <w:color w:val="auto"/>
              </w:rPr>
            </w:pPr>
          </w:p>
        </w:tc>
        <w:tc>
          <w:tcPr>
            <w:tcW w:w="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45.9 %</w:t>
            </w:r>
          </w:p>
        </w:tc>
        <w:tc>
          <w:tcPr>
            <w:tcW w:w="0" w:type="dxa"/>
            <w:vAlign w:val="bottom"/>
          </w:tcPr>
          <w:p>
            <w:pPr>
              <w:spacing w:after="0"/>
              <w:rPr>
                <w:sz w:val="1"/>
                <w:szCs w:val="1"/>
                <w:color w:val="auto"/>
              </w:rPr>
            </w:pPr>
          </w:p>
        </w:tc>
      </w:tr>
      <w:tr>
        <w:trPr>
          <w:trHeight w:val="203"/>
        </w:trPr>
        <w:tc>
          <w:tcPr>
            <w:tcW w:w="48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20" w:type="dxa"/>
            <w:vAlign w:val="bottom"/>
          </w:tcPr>
          <w:p>
            <w:pPr>
              <w:ind w:left="20"/>
              <w:spacing w:after="0" w:line="202" w:lineRule="exact"/>
              <w:rPr>
                <w:sz w:val="20"/>
                <w:szCs w:val="20"/>
                <w:color w:val="auto"/>
              </w:rPr>
            </w:pPr>
            <w:r>
              <w:rPr>
                <w:rFonts w:ascii="Arial" w:cs="Arial" w:eastAsia="Arial" w:hAnsi="Arial"/>
                <w:sz w:val="18"/>
                <w:szCs w:val="18"/>
                <w:color w:val="auto"/>
              </w:rPr>
              <w:t>Total average deposits</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8,722,458</w:t>
            </w:r>
          </w:p>
        </w:tc>
        <w:tc>
          <w:tcPr>
            <w:tcW w:w="18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7,924,715</w:t>
            </w:r>
          </w:p>
        </w:tc>
        <w:tc>
          <w:tcPr>
            <w:tcW w:w="16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797,743</w:t>
            </w:r>
          </w:p>
        </w:tc>
        <w:tc>
          <w:tcPr>
            <w:tcW w:w="160" w:type="dxa"/>
            <w:vAlign w:val="bottom"/>
          </w:tcPr>
          <w:p>
            <w:pPr>
              <w:spacing w:after="0"/>
              <w:rPr>
                <w:sz w:val="17"/>
                <w:szCs w:val="17"/>
                <w:color w:val="auto"/>
              </w:rPr>
            </w:pPr>
          </w:p>
        </w:tc>
        <w:tc>
          <w:tcPr>
            <w:tcW w:w="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10.1 %</w:t>
            </w:r>
          </w:p>
        </w:tc>
        <w:tc>
          <w:tcPr>
            <w:tcW w:w="0" w:type="dxa"/>
            <w:vAlign w:val="bottom"/>
          </w:tcPr>
          <w:p>
            <w:pPr>
              <w:spacing w:after="0"/>
              <w:rPr>
                <w:sz w:val="1"/>
                <w:szCs w:val="1"/>
                <w:color w:val="auto"/>
              </w:rPr>
            </w:pPr>
          </w:p>
        </w:tc>
      </w:tr>
      <w:tr>
        <w:trPr>
          <w:trHeight w:val="203"/>
        </w:trPr>
        <w:tc>
          <w:tcPr>
            <w:tcW w:w="48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Total average liabilities</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9,318,551</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8,470,017</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848,534</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bl>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Average noninterest-bearing deposits as a percent of total</w:t>
            </w:r>
          </w:p>
        </w:tc>
        <w:tc>
          <w:tcPr>
            <w:tcW w:w="1360" w:type="dxa"/>
            <w:vAlign w:val="bottom"/>
            <w:shd w:val="clear" w:color="auto" w:fill="CCEEFF"/>
          </w:tcPr>
          <w:p>
            <w:pPr>
              <w:spacing w:after="0"/>
              <w:rPr>
                <w:sz w:val="17"/>
                <w:szCs w:val="17"/>
                <w:color w:val="auto"/>
              </w:rPr>
            </w:pPr>
          </w:p>
        </w:tc>
        <w:tc>
          <w:tcPr>
            <w:tcW w:w="2640" w:type="dxa"/>
            <w:vAlign w:val="bottom"/>
            <w:shd w:val="clear" w:color="auto" w:fill="CCEEFF"/>
          </w:tcPr>
          <w:p>
            <w:pPr>
              <w:spacing w:after="0"/>
              <w:rPr>
                <w:sz w:val="17"/>
                <w:szCs w:val="17"/>
                <w:color w:val="auto"/>
              </w:rPr>
            </w:pPr>
          </w:p>
        </w:tc>
      </w:tr>
      <w:tr>
        <w:trPr>
          <w:trHeight w:val="217"/>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average deposits</w:t>
            </w:r>
          </w:p>
        </w:tc>
        <w:tc>
          <w:tcPr>
            <w:tcW w:w="13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30.8 %</w:t>
            </w:r>
          </w:p>
        </w:tc>
        <w:tc>
          <w:tcPr>
            <w:tcW w:w="2640" w:type="dxa"/>
            <w:vAlign w:val="bottom"/>
            <w:shd w:val="clear" w:color="auto" w:fill="CCEEFF"/>
          </w:tcPr>
          <w:p>
            <w:pPr>
              <w:jc w:val="right"/>
              <w:ind w:right="1730"/>
              <w:spacing w:after="0"/>
              <w:rPr>
                <w:sz w:val="20"/>
                <w:szCs w:val="20"/>
                <w:color w:val="auto"/>
              </w:rPr>
            </w:pPr>
            <w:r>
              <w:rPr>
                <w:rFonts w:ascii="Arial" w:cs="Arial" w:eastAsia="Arial" w:hAnsi="Arial"/>
                <w:sz w:val="18"/>
                <w:szCs w:val="18"/>
                <w:color w:val="auto"/>
              </w:rPr>
              <w:t>23.3 %</w:t>
            </w:r>
          </w:p>
        </w:tc>
      </w:tr>
      <w:tr>
        <w:trPr>
          <w:trHeight w:val="230"/>
        </w:trPr>
        <w:tc>
          <w:tcPr>
            <w:tcW w:w="4900" w:type="dxa"/>
            <w:vAlign w:val="bottom"/>
          </w:tcPr>
          <w:p>
            <w:pPr>
              <w:ind w:left="20"/>
              <w:spacing w:after="0"/>
              <w:rPr>
                <w:sz w:val="20"/>
                <w:szCs w:val="20"/>
                <w:color w:val="auto"/>
              </w:rPr>
            </w:pPr>
            <w:r>
              <w:rPr>
                <w:rFonts w:ascii="Arial" w:cs="Arial" w:eastAsia="Arial" w:hAnsi="Arial"/>
                <w:sz w:val="18"/>
                <w:szCs w:val="18"/>
                <w:color w:val="auto"/>
                <w:w w:val="99"/>
              </w:rPr>
              <w:t>Total average deposits as a percent of total average liabilities</w:t>
            </w:r>
          </w:p>
        </w:tc>
        <w:tc>
          <w:tcPr>
            <w:tcW w:w="1360" w:type="dxa"/>
            <w:vAlign w:val="bottom"/>
          </w:tcPr>
          <w:p>
            <w:pPr>
              <w:jc w:val="right"/>
              <w:ind w:right="230"/>
              <w:spacing w:after="0"/>
              <w:rPr>
                <w:sz w:val="20"/>
                <w:szCs w:val="20"/>
                <w:color w:val="auto"/>
              </w:rPr>
            </w:pPr>
            <w:r>
              <w:rPr>
                <w:rFonts w:ascii="Arial" w:cs="Arial" w:eastAsia="Arial" w:hAnsi="Arial"/>
                <w:sz w:val="18"/>
                <w:szCs w:val="18"/>
                <w:color w:val="auto"/>
              </w:rPr>
              <w:t>93.6 %</w:t>
            </w:r>
          </w:p>
        </w:tc>
        <w:tc>
          <w:tcPr>
            <w:tcW w:w="2640" w:type="dxa"/>
            <w:vAlign w:val="bottom"/>
          </w:tcPr>
          <w:p>
            <w:pPr>
              <w:jc w:val="right"/>
              <w:ind w:right="1730"/>
              <w:spacing w:after="0"/>
              <w:rPr>
                <w:sz w:val="20"/>
                <w:szCs w:val="20"/>
                <w:color w:val="auto"/>
              </w:rPr>
            </w:pPr>
            <w:r>
              <w:rPr>
                <w:rFonts w:ascii="Arial" w:cs="Arial" w:eastAsia="Arial" w:hAnsi="Arial"/>
                <w:sz w:val="18"/>
                <w:szCs w:val="18"/>
                <w:color w:val="auto"/>
              </w:rPr>
              <w:t>93.6 %</w:t>
            </w:r>
          </w:p>
        </w:tc>
      </w:tr>
    </w:tbl>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Changes in sources of funds and net interest margin are summarized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224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226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w w:val="96"/>
              </w:rPr>
              <w:t>Three Months Ended March 31,</w:t>
            </w:r>
          </w:p>
        </w:tc>
        <w:tc>
          <w:tcPr>
            <w:tcW w:w="120" w:type="dxa"/>
            <w:vAlign w:val="bottom"/>
          </w:tcPr>
          <w:p>
            <w:pPr>
              <w:spacing w:after="0"/>
              <w:rPr>
                <w:sz w:val="16"/>
                <w:szCs w:val="16"/>
                <w:color w:val="auto"/>
              </w:rPr>
            </w:pPr>
          </w:p>
        </w:tc>
        <w:tc>
          <w:tcPr>
            <w:tcW w:w="680" w:type="dxa"/>
            <w:vAlign w:val="bottom"/>
            <w:vMerge w:val="restart"/>
          </w:tcPr>
          <w:p>
            <w:pPr>
              <w:jc w:val="right"/>
              <w:ind w:right="75"/>
              <w:spacing w:after="0"/>
              <w:rPr>
                <w:sz w:val="20"/>
                <w:szCs w:val="20"/>
                <w:color w:val="auto"/>
              </w:rPr>
            </w:pPr>
            <w:r>
              <w:rPr>
                <w:rFonts w:ascii="Arial" w:cs="Arial" w:eastAsia="Arial" w:hAnsi="Arial"/>
                <w:sz w:val="14"/>
                <w:szCs w:val="14"/>
                <w:b w:val="1"/>
                <w:bCs w:val="1"/>
                <w:color w:val="auto"/>
                <w:w w:val="97"/>
              </w:rPr>
              <w:t>Change</w:t>
            </w:r>
          </w:p>
        </w:tc>
        <w:tc>
          <w:tcPr>
            <w:tcW w:w="140" w:type="dxa"/>
            <w:vAlign w:val="bottom"/>
            <w:vMerge w:val="restart"/>
          </w:tcPr>
          <w:p>
            <w:pPr>
              <w:spacing w:after="0"/>
              <w:rPr>
                <w:sz w:val="16"/>
                <w:szCs w:val="16"/>
                <w:color w:val="auto"/>
              </w:rPr>
            </w:pPr>
          </w:p>
        </w:tc>
        <w:tc>
          <w:tcPr>
            <w:tcW w:w="68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4"/>
              </w:rPr>
              <w:t>% Change</w:t>
            </w:r>
          </w:p>
        </w:tc>
        <w:tc>
          <w:tcPr>
            <w:tcW w:w="18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240" w:type="dxa"/>
            <w:vAlign w:val="bottom"/>
            <w:tcBorders>
              <w:bottom w:val="single" w:sz="8" w:color="CCEEFF"/>
            </w:tcBorders>
          </w:tcPr>
          <w:p>
            <w:pPr>
              <w:spacing w:after="0"/>
              <w:rPr>
                <w:sz w:val="13"/>
                <w:szCs w:val="13"/>
                <w:color w:val="auto"/>
              </w:rPr>
            </w:pPr>
          </w:p>
        </w:tc>
        <w:tc>
          <w:tcPr>
            <w:tcW w:w="2600" w:type="dxa"/>
            <w:vAlign w:val="bottom"/>
            <w:tcBorders>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54"/>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54"/>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vMerge w:val="continue"/>
          </w:tcPr>
          <w:p>
            <w:pPr>
              <w:spacing w:after="0"/>
              <w:rPr>
                <w:sz w:val="13"/>
                <w:szCs w:val="13"/>
                <w:color w:val="auto"/>
              </w:rPr>
            </w:pPr>
          </w:p>
        </w:tc>
        <w:tc>
          <w:tcPr>
            <w:tcW w:w="140" w:type="dxa"/>
            <w:vAlign w:val="bottom"/>
            <w:tcBorders>
              <w:bottom w:val="single" w:sz="8" w:color="CCEEFF"/>
            </w:tcBorders>
            <w:vMerge w:val="continue"/>
          </w:tcPr>
          <w:p>
            <w:pPr>
              <w:spacing w:after="0"/>
              <w:rPr>
                <w:sz w:val="13"/>
                <w:szCs w:val="13"/>
                <w:color w:val="auto"/>
              </w:rPr>
            </w:pPr>
          </w:p>
        </w:tc>
        <w:tc>
          <w:tcPr>
            <w:tcW w:w="680" w:type="dxa"/>
            <w:vAlign w:val="bottom"/>
            <w:tcBorders>
              <w:bottom w:val="single" w:sz="8" w:color="auto"/>
            </w:tcBorders>
            <w:vMerge w:val="continue"/>
          </w:tcPr>
          <w:p>
            <w:pPr>
              <w:spacing w:after="0"/>
              <w:rPr>
                <w:sz w:val="13"/>
                <w:szCs w:val="13"/>
                <w:color w:val="auto"/>
              </w:rPr>
            </w:pPr>
          </w:p>
        </w:tc>
        <w:tc>
          <w:tcPr>
            <w:tcW w:w="180" w:type="dxa"/>
            <w:vAlign w:val="bottom"/>
            <w:tcBorders>
              <w:bottom w:val="single" w:sz="8" w:color="CCEEFF"/>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840" w:type="dxa"/>
            <w:vAlign w:val="bottom"/>
            <w:gridSpan w:val="2"/>
            <w:shd w:val="clear" w:color="auto" w:fill="CCEEFF"/>
          </w:tcPr>
          <w:p>
            <w:pPr>
              <w:ind w:left="20"/>
              <w:spacing w:after="0" w:line="195" w:lineRule="exact"/>
              <w:rPr>
                <w:sz w:val="20"/>
                <w:szCs w:val="20"/>
                <w:color w:val="auto"/>
              </w:rPr>
            </w:pPr>
            <w:r>
              <w:rPr>
                <w:rFonts w:ascii="Arial" w:cs="Arial" w:eastAsia="Arial" w:hAnsi="Arial"/>
                <w:sz w:val="16"/>
                <w:szCs w:val="16"/>
                <w:color w:val="auto"/>
              </w:rPr>
              <w:t xml:space="preserve">Interest income, on a tax-equivalent basis </w:t>
            </w:r>
            <w:r>
              <w:rPr>
                <w:rFonts w:ascii="Arial" w:cs="Arial" w:eastAsia="Arial" w:hAnsi="Arial"/>
                <w:sz w:val="22"/>
                <w:szCs w:val="22"/>
                <w:color w:val="auto"/>
                <w:vertAlign w:val="superscript"/>
              </w:rPr>
              <w:t>(1)</w:t>
            </w:r>
          </w:p>
        </w:tc>
        <w:tc>
          <w:tcPr>
            <w:tcW w:w="220" w:type="dxa"/>
            <w:vAlign w:val="bottom"/>
            <w:shd w:val="clear" w:color="auto" w:fill="CCEEFF"/>
          </w:tcPr>
          <w:p>
            <w:pPr>
              <w:jc w:val="right"/>
              <w:ind w:right="36"/>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72,932</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85,163</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(12,231)</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03"/>
        </w:trPr>
        <w:tc>
          <w:tcPr>
            <w:tcW w:w="48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7,438</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15,000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(7,562)</w:t>
            </w:r>
          </w:p>
        </w:tc>
        <w:tc>
          <w:tcPr>
            <w:tcW w:w="8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196"/>
        </w:trPr>
        <w:tc>
          <w:tcPr>
            <w:tcW w:w="4840" w:type="dxa"/>
            <w:vAlign w:val="bottom"/>
            <w:tcBorders>
              <w:top w:val="single" w:sz="8" w:color="CCEEFF"/>
              <w:bottom w:val="single" w:sz="8" w:color="CCEEFF"/>
            </w:tcBorders>
            <w:gridSpan w:val="2"/>
            <w:shd w:val="clear" w:color="auto" w:fill="CCEEFF"/>
          </w:tcPr>
          <w:p>
            <w:pPr>
              <w:ind w:left="220"/>
              <w:spacing w:after="0" w:line="195" w:lineRule="exact"/>
              <w:rPr>
                <w:sz w:val="20"/>
                <w:szCs w:val="20"/>
                <w:color w:val="auto"/>
              </w:rPr>
            </w:pPr>
            <w:r>
              <w:rPr>
                <w:rFonts w:ascii="Arial" w:cs="Arial" w:eastAsia="Arial" w:hAnsi="Arial"/>
                <w:sz w:val="16"/>
                <w:szCs w:val="16"/>
                <w:color w:val="auto"/>
              </w:rPr>
              <w:t xml:space="preserve">Net interest income, on a tax equivalent basis </w:t>
            </w:r>
            <w:r>
              <w:rPr>
                <w:rFonts w:ascii="Arial" w:cs="Arial" w:eastAsia="Arial" w:hAnsi="Arial"/>
                <w:sz w:val="22"/>
                <w:szCs w:val="22"/>
                <w:color w:val="auto"/>
                <w:vertAlign w:val="superscript"/>
              </w:rPr>
              <w:t>(1)</w:t>
            </w:r>
          </w:p>
        </w:tc>
        <w:tc>
          <w:tcPr>
            <w:tcW w:w="220" w:type="dxa"/>
            <w:vAlign w:val="bottom"/>
            <w:tcBorders>
              <w:top w:val="single" w:sz="8" w:color="auto"/>
              <w:bottom w:val="single" w:sz="8" w:color="auto"/>
            </w:tcBorders>
            <w:shd w:val="clear" w:color="auto" w:fill="CCEEFF"/>
          </w:tcPr>
          <w:p>
            <w:pPr>
              <w:jc w:val="right"/>
              <w:ind w:right="36"/>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65,494</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70,163</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(4,669)</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860" w:type="dxa"/>
            <w:vAlign w:val="bottom"/>
            <w:tcBorders>
              <w:top w:val="single" w:sz="8" w:color="CCEEFF"/>
              <w:bottom w:val="single" w:sz="8" w:color="CCEEFF"/>
            </w:tcBorders>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24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84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6"/>
                <w:szCs w:val="16"/>
                <w:color w:val="auto"/>
              </w:rPr>
              <w:t xml:space="preserve">Net interest margin </w:t>
            </w:r>
            <w:r>
              <w:rPr>
                <w:rFonts w:ascii="Arial" w:cs="Arial" w:eastAsia="Arial" w:hAnsi="Arial"/>
                <w:sz w:val="23"/>
                <w:szCs w:val="23"/>
                <w:color w:val="auto"/>
                <w:vertAlign w:val="superscript"/>
              </w:rPr>
              <w:t>(1), (2)</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2.72 %</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3.20 %</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15"/>
        </w:trPr>
        <w:tc>
          <w:tcPr>
            <w:tcW w:w="2240" w:type="dxa"/>
            <w:vAlign w:val="bottom"/>
            <w:tcBorders>
              <w:bottom w:val="single" w:sz="8" w:color="auto"/>
            </w:tcBorders>
          </w:tcPr>
          <w:p>
            <w:pPr>
              <w:spacing w:after="0"/>
              <w:rPr>
                <w:sz w:val="10"/>
                <w:szCs w:val="10"/>
                <w:color w:val="auto"/>
              </w:rPr>
            </w:pPr>
          </w:p>
        </w:tc>
        <w:tc>
          <w:tcPr>
            <w:tcW w:w="2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480" w:hanging="322"/>
        <w:spacing w:after="0"/>
        <w:tabs>
          <w:tab w:leader="none" w:pos="480" w:val="left"/>
        </w:tabs>
        <w:numPr>
          <w:ilvl w:val="0"/>
          <w:numId w:val="10"/>
        </w:numPr>
        <w:rPr>
          <w:rFonts w:ascii="Arial" w:cs="Arial" w:eastAsia="Arial" w:hAnsi="Arial"/>
          <w:sz w:val="13"/>
          <w:szCs w:val="13"/>
          <w:color w:val="auto"/>
        </w:rPr>
      </w:pPr>
      <w:r>
        <w:rPr>
          <w:rFonts w:ascii="Arial" w:cs="Arial" w:eastAsia="Arial" w:hAnsi="Arial"/>
          <w:sz w:val="14"/>
          <w:szCs w:val="14"/>
          <w:color w:val="auto"/>
        </w:rPr>
        <w:t>Assuming an income tax rate of 21%.</w:t>
      </w:r>
    </w:p>
    <w:p>
      <w:pPr>
        <w:spacing w:after="0" w:line="13" w:lineRule="exact"/>
        <w:rPr>
          <w:rFonts w:ascii="Arial" w:cs="Arial" w:eastAsia="Arial" w:hAnsi="Arial"/>
          <w:sz w:val="13"/>
          <w:szCs w:val="13"/>
          <w:color w:val="auto"/>
        </w:rPr>
      </w:pPr>
    </w:p>
    <w:p>
      <w:pPr>
        <w:ind w:left="480" w:hanging="322"/>
        <w:spacing w:after="0"/>
        <w:tabs>
          <w:tab w:leader="none" w:pos="480" w:val="left"/>
        </w:tabs>
        <w:numPr>
          <w:ilvl w:val="0"/>
          <w:numId w:val="10"/>
        </w:numPr>
        <w:rPr>
          <w:rFonts w:ascii="Arial" w:cs="Arial" w:eastAsia="Arial" w:hAnsi="Arial"/>
          <w:sz w:val="13"/>
          <w:szCs w:val="13"/>
          <w:color w:val="auto"/>
        </w:rPr>
      </w:pPr>
      <w:r>
        <w:rPr>
          <w:rFonts w:ascii="Arial" w:cs="Arial" w:eastAsia="Arial" w:hAnsi="Arial"/>
          <w:sz w:val="14"/>
          <w:szCs w:val="14"/>
          <w:color w:val="auto"/>
        </w:rPr>
        <w:t>Net interest income expressed as a percentage of average earning assets, stated on a tax-equivalent basis.</w:t>
      </w:r>
    </w:p>
    <w:p>
      <w:pPr>
        <w:spacing w:after="0" w:line="196" w:lineRule="exact"/>
        <w:rPr>
          <w:sz w:val="20"/>
          <w:szCs w:val="20"/>
          <w:color w:val="auto"/>
        </w:rPr>
      </w:pPr>
    </w:p>
    <w:p>
      <w:pPr>
        <w:ind w:left="60" w:right="99"/>
        <w:spacing w:after="0" w:line="254" w:lineRule="auto"/>
        <w:rPr>
          <w:sz w:val="20"/>
          <w:szCs w:val="20"/>
          <w:color w:val="auto"/>
        </w:rPr>
      </w:pPr>
      <w:r>
        <w:rPr>
          <w:rFonts w:ascii="Arial" w:cs="Arial" w:eastAsia="Arial" w:hAnsi="Arial"/>
          <w:sz w:val="17"/>
          <w:szCs w:val="17"/>
          <w:color w:val="auto"/>
        </w:rPr>
        <w:t>The Consolidated Average Balance Sheets and interest rates were impacted in 2021 and 2020 by numerous factors surrounding COVID-19. The FOMC rate cuts during the first quarter of 2020 contributed to the decline in net interest margin over the past year, as assets, in particular commercial loans, repriced more quickly and to a greater extent than liabilities. The net interest margin has also been negatively impacted by the balance of lower-yielding PPP loans, significant growth in the Company’s liquidity position, and the issuance of subordinated debt completed during the second quarter of 2020. Those impacts were partially offset by the Company’s efforts to lower deposit funding costs as well as the fees recognized on PPP loans, although variability in the timing and amount of net fee recognition tied to forgiveness of PPP loans has had a disparate impact on net interest margin from quarter to quarter.</w:t>
      </w:r>
    </w:p>
    <w:p>
      <w:pPr>
        <w:spacing w:after="0" w:line="167" w:lineRule="exact"/>
        <w:rPr>
          <w:sz w:val="20"/>
          <w:szCs w:val="20"/>
          <w:color w:val="auto"/>
        </w:rPr>
      </w:pPr>
    </w:p>
    <w:p>
      <w:pPr>
        <w:ind w:left="60" w:right="819"/>
        <w:spacing w:after="0" w:line="261" w:lineRule="auto"/>
        <w:rPr>
          <w:sz w:val="20"/>
          <w:szCs w:val="20"/>
          <w:color w:val="auto"/>
        </w:rPr>
      </w:pPr>
      <w:r>
        <w:rPr>
          <w:rFonts w:ascii="Arial" w:cs="Arial" w:eastAsia="Arial" w:hAnsi="Arial"/>
          <w:sz w:val="18"/>
          <w:szCs w:val="18"/>
          <w:color w:val="auto"/>
        </w:rPr>
        <w:t>The Company remains substantially core deposit funded, with robust liquidity and significant market share in the communities we serve.</w:t>
      </w:r>
    </w:p>
    <w:p>
      <w:pPr>
        <w:spacing w:after="0" w:line="157" w:lineRule="exact"/>
        <w:rPr>
          <w:sz w:val="20"/>
          <w:szCs w:val="20"/>
          <w:color w:val="auto"/>
        </w:rPr>
      </w:pPr>
    </w:p>
    <w:p>
      <w:pPr>
        <w:ind w:left="60" w:right="159"/>
        <w:spacing w:after="0" w:line="248" w:lineRule="auto"/>
        <w:rPr>
          <w:sz w:val="20"/>
          <w:szCs w:val="20"/>
          <w:color w:val="auto"/>
        </w:rPr>
      </w:pPr>
      <w:r>
        <w:rPr>
          <w:rFonts w:ascii="Arial" w:cs="Arial" w:eastAsia="Arial" w:hAnsi="Arial"/>
          <w:sz w:val="18"/>
          <w:szCs w:val="18"/>
          <w:color w:val="auto"/>
        </w:rPr>
        <w:t>Net interest spread, which represents the difference between the average rate earned on earning assets and the average rate paid on interest-bearing liabilities, was 2.57% for the three months ended March 31, 2021, as compared to 2.95% in the same period of 2020, each on a tax equivalent basis.</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color w:val="auto"/>
        </w:rPr>
        <w:t>Annualized net interest margins for the quarterly periods indicated were as follows:</w:t>
      </w:r>
    </w:p>
    <w:p>
      <w:pPr>
        <w:spacing w:after="0" w:line="17" w:lineRule="exact"/>
        <w:rPr>
          <w:sz w:val="20"/>
          <w:szCs w:val="20"/>
          <w:color w:val="auto"/>
        </w:rPr>
      </w:pPr>
    </w:p>
    <w:tbl>
      <w:tblPr>
        <w:tblLayout w:type="fixed"/>
        <w:tblInd w:w="4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4680" w:type="dxa"/>
            <w:vAlign w:val="bottom"/>
            <w:gridSpan w:val="2"/>
          </w:tcPr>
          <w:p>
            <w:pPr>
              <w:jc w:val="right"/>
              <w:ind w:right="230"/>
              <w:spacing w:after="0"/>
              <w:rPr>
                <w:sz w:val="20"/>
                <w:szCs w:val="20"/>
                <w:color w:val="auto"/>
              </w:rPr>
            </w:pPr>
            <w:r>
              <w:rPr>
                <w:rFonts w:ascii="Arial" w:cs="Arial" w:eastAsia="Arial" w:hAnsi="Arial"/>
                <w:sz w:val="14"/>
                <w:szCs w:val="14"/>
                <w:b w:val="1"/>
                <w:bCs w:val="1"/>
                <w:color w:val="auto"/>
              </w:rPr>
              <w:t>2021</w:t>
            </w:r>
          </w:p>
        </w:tc>
        <w:tc>
          <w:tcPr>
            <w:tcW w:w="340" w:type="dxa"/>
            <w:vAlign w:val="bottom"/>
          </w:tcPr>
          <w:p>
            <w:pPr>
              <w:spacing w:after="0"/>
              <w:rPr>
                <w:sz w:val="14"/>
                <w:szCs w:val="14"/>
                <w:color w:val="auto"/>
              </w:rPr>
            </w:pPr>
          </w:p>
        </w:tc>
        <w:tc>
          <w:tcPr>
            <w:tcW w:w="940" w:type="dxa"/>
            <w:vAlign w:val="bottom"/>
          </w:tcPr>
          <w:p>
            <w:pPr>
              <w:jc w:val="right"/>
              <w:ind w:right="254"/>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27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First Quarter</w:t>
            </w:r>
          </w:p>
        </w:tc>
        <w:tc>
          <w:tcPr>
            <w:tcW w:w="374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2.72</w:t>
            </w:r>
          </w:p>
        </w:tc>
        <w:tc>
          <w:tcPr>
            <w:tcW w:w="340" w:type="dxa"/>
            <w:vAlign w:val="bottom"/>
            <w:tcBorders>
              <w:top w:val="single" w:sz="8" w:color="CCEEFF"/>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87"/>
              </w:rPr>
              <w:t>%</w:t>
            </w:r>
          </w:p>
        </w:tc>
        <w:tc>
          <w:tcPr>
            <w:tcW w:w="9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3.20</w:t>
            </w:r>
          </w:p>
        </w:tc>
        <w:tc>
          <w:tcPr>
            <w:tcW w:w="20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r>
      <w:tr>
        <w:trPr>
          <w:trHeight w:val="203"/>
        </w:trPr>
        <w:tc>
          <w:tcPr>
            <w:tcW w:w="20" w:type="dxa"/>
            <w:vAlign w:val="bottom"/>
          </w:tcPr>
          <w:p>
            <w:pPr>
              <w:spacing w:after="0"/>
              <w:rPr>
                <w:sz w:val="17"/>
                <w:szCs w:val="17"/>
                <w:color w:val="auto"/>
              </w:rPr>
            </w:pPr>
          </w:p>
        </w:tc>
        <w:tc>
          <w:tcPr>
            <w:tcW w:w="2740" w:type="dxa"/>
            <w:vAlign w:val="bottom"/>
          </w:tcPr>
          <w:p>
            <w:pPr>
              <w:spacing w:after="0" w:line="202" w:lineRule="exact"/>
              <w:rPr>
                <w:sz w:val="20"/>
                <w:szCs w:val="20"/>
                <w:color w:val="auto"/>
              </w:rPr>
            </w:pPr>
            <w:r>
              <w:rPr>
                <w:rFonts w:ascii="Arial" w:cs="Arial" w:eastAsia="Arial" w:hAnsi="Arial"/>
                <w:sz w:val="18"/>
                <w:szCs w:val="18"/>
                <w:color w:val="auto"/>
              </w:rPr>
              <w:t>Second Quarter</w:t>
            </w:r>
          </w:p>
        </w:tc>
        <w:tc>
          <w:tcPr>
            <w:tcW w:w="37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3.03 %</w:t>
            </w:r>
          </w:p>
        </w:tc>
      </w:tr>
      <w:tr>
        <w:trPr>
          <w:trHeight w:val="203"/>
        </w:trPr>
        <w:tc>
          <w:tcPr>
            <w:tcW w:w="20" w:type="dxa"/>
            <w:vAlign w:val="bottom"/>
          </w:tcPr>
          <w:p>
            <w:pPr>
              <w:spacing w:after="0"/>
              <w:rPr>
                <w:sz w:val="17"/>
                <w:szCs w:val="17"/>
                <w:color w:val="auto"/>
              </w:rPr>
            </w:pPr>
          </w:p>
        </w:tc>
        <w:tc>
          <w:tcPr>
            <w:tcW w:w="2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Third Quarter</w:t>
            </w:r>
          </w:p>
        </w:tc>
        <w:tc>
          <w:tcPr>
            <w:tcW w:w="37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2.86 %</w:t>
            </w:r>
          </w:p>
        </w:tc>
      </w:tr>
      <w:tr>
        <w:trPr>
          <w:trHeight w:val="230"/>
        </w:trPr>
        <w:tc>
          <w:tcPr>
            <w:tcW w:w="20" w:type="dxa"/>
            <w:vAlign w:val="bottom"/>
          </w:tcPr>
          <w:p>
            <w:pPr>
              <w:spacing w:after="0"/>
              <w:rPr>
                <w:sz w:val="20"/>
                <w:szCs w:val="20"/>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Fourth Quarter</w:t>
            </w:r>
          </w:p>
        </w:tc>
        <w:tc>
          <w:tcPr>
            <w:tcW w:w="3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3.06 %</w:t>
            </w:r>
          </w:p>
        </w:tc>
      </w:tr>
      <w:tr>
        <w:trPr>
          <w:trHeight w:val="823"/>
        </w:trPr>
        <w:tc>
          <w:tcPr>
            <w:tcW w:w="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3740" w:type="dxa"/>
            <w:vAlign w:val="bottom"/>
          </w:tcPr>
          <w:p>
            <w:pPr>
              <w:jc w:val="right"/>
              <w:ind w:right="1859"/>
              <w:spacing w:after="0"/>
              <w:rPr>
                <w:sz w:val="20"/>
                <w:szCs w:val="20"/>
                <w:color w:val="auto"/>
              </w:rPr>
            </w:pPr>
            <w:r>
              <w:rPr>
                <w:rFonts w:ascii="Arial" w:cs="Arial" w:eastAsia="Arial" w:hAnsi="Arial"/>
                <w:sz w:val="18"/>
                <w:szCs w:val="18"/>
                <w:color w:val="auto"/>
              </w:rPr>
              <w:t>44</w:t>
            </w: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44" w:name="page45"/>
    <w:bookmarkEnd w:id="4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6" w:lineRule="exact"/>
        <w:rPr>
          <w:sz w:val="20"/>
          <w:szCs w:val="20"/>
          <w:color w:val="auto"/>
        </w:rPr>
      </w:pPr>
    </w:p>
    <w:p>
      <w:pPr>
        <w:ind w:left="60" w:right="99"/>
        <w:spacing w:after="0" w:line="274" w:lineRule="auto"/>
        <w:rPr>
          <w:sz w:val="20"/>
          <w:szCs w:val="20"/>
          <w:color w:val="auto"/>
        </w:rPr>
      </w:pPr>
      <w:r>
        <w:rPr>
          <w:rFonts w:ascii="Arial" w:cs="Arial" w:eastAsia="Arial" w:hAnsi="Arial"/>
          <w:sz w:val="16"/>
          <w:szCs w:val="16"/>
          <w:color w:val="auto"/>
        </w:rPr>
        <w:t>During the first quarter of 2021, PPP loan interest and net fees contributed $4.8 million to net interest income, compared to $9.5 million, in the fourth quarter of 2020, accounting for approximately 20 basis points of the decline in net interest margin. Management attempts to mitigate the effects of an unpredictable interest-rate environment through effective portfolio management, prudent loan underwriting, and operational efficiencies. However, as a result of the reductions in the target interest rate, as well as the impact of the COVID-19 pandemic, our net interest income and margin may continue to decline in future periods. Please refer to the Notes to Consolidated Financial Statements in the Company’s 2020 Annual Report for a description of accounting policies underlying the recognition of interest income and expense.</w:t>
      </w:r>
    </w:p>
    <w:p>
      <w:pPr>
        <w:spacing w:after="0" w:line="15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Non-Interest Income</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Changes in non-interest income are summarized as follows for the periods presented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4960" w:type="dxa"/>
            <w:vAlign w:val="bottom"/>
          </w:tcPr>
          <w:p>
            <w:pPr>
              <w:spacing w:after="0"/>
              <w:rPr>
                <w:sz w:val="16"/>
                <w:szCs w:val="16"/>
                <w:color w:val="auto"/>
              </w:rPr>
            </w:pPr>
          </w:p>
        </w:tc>
        <w:tc>
          <w:tcPr>
            <w:tcW w:w="2260" w:type="dxa"/>
            <w:vAlign w:val="bottom"/>
            <w:gridSpan w:val="6"/>
          </w:tcPr>
          <w:p>
            <w:pPr>
              <w:ind w:left="40"/>
              <w:spacing w:after="0"/>
              <w:rPr>
                <w:sz w:val="20"/>
                <w:szCs w:val="20"/>
                <w:color w:val="auto"/>
              </w:rPr>
            </w:pPr>
            <w:r>
              <w:rPr>
                <w:rFonts w:ascii="Arial" w:cs="Arial" w:eastAsia="Arial" w:hAnsi="Arial"/>
                <w:sz w:val="14"/>
                <w:szCs w:val="14"/>
                <w:b w:val="1"/>
                <w:bCs w:val="1"/>
                <w:color w:val="auto"/>
              </w:rPr>
              <w:t>Three Months Ended March 31,</w:t>
            </w:r>
          </w:p>
        </w:tc>
        <w:tc>
          <w:tcPr>
            <w:tcW w:w="100" w:type="dxa"/>
            <w:vAlign w:val="bottom"/>
          </w:tcPr>
          <w:p>
            <w:pPr>
              <w:spacing w:after="0"/>
              <w:rPr>
                <w:sz w:val="16"/>
                <w:szCs w:val="16"/>
                <w:color w:val="auto"/>
              </w:rPr>
            </w:pPr>
          </w:p>
        </w:tc>
        <w:tc>
          <w:tcPr>
            <w:tcW w:w="74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89"/>
              </w:rPr>
              <w:t>Change</w:t>
            </w:r>
          </w:p>
        </w:tc>
        <w:tc>
          <w:tcPr>
            <w:tcW w:w="840" w:type="dxa"/>
            <w:vAlign w:val="bottom"/>
            <w:gridSpan w:val="3"/>
            <w:vMerge w:val="restart"/>
          </w:tcPr>
          <w:p>
            <w:pPr>
              <w:jc w:val="right"/>
              <w:ind w:right="70"/>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55"/>
        </w:trPr>
        <w:tc>
          <w:tcPr>
            <w:tcW w:w="496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ind w:right="252"/>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ind w:right="252"/>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84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96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Wealth management fees</w:t>
            </w:r>
          </w:p>
        </w:tc>
        <w:tc>
          <w:tcPr>
            <w:tcW w:w="220" w:type="dxa"/>
            <w:vAlign w:val="bottom"/>
            <w:tcBorders>
              <w:top w:val="single" w:sz="8" w:color="auto"/>
            </w:tcBorders>
            <w:shd w:val="clear" w:color="auto" w:fill="CCEEFF"/>
          </w:tcPr>
          <w:p>
            <w:pPr>
              <w:jc w:val="right"/>
              <w:ind w:right="36"/>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12,584</w:t>
            </w:r>
          </w:p>
        </w:tc>
        <w:tc>
          <w:tcPr>
            <w:tcW w:w="1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11,555</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1,029</w:t>
            </w:r>
          </w:p>
        </w:tc>
        <w:tc>
          <w:tcPr>
            <w:tcW w:w="1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8.9</w:t>
            </w:r>
          </w:p>
        </w:tc>
        <w:tc>
          <w:tcPr>
            <w:tcW w:w="16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3"/>
        </w:trPr>
        <w:tc>
          <w:tcPr>
            <w:tcW w:w="4960" w:type="dxa"/>
            <w:vAlign w:val="bottom"/>
          </w:tcPr>
          <w:p>
            <w:pPr>
              <w:ind w:left="20"/>
              <w:spacing w:after="0" w:line="202" w:lineRule="exact"/>
              <w:rPr>
                <w:sz w:val="20"/>
                <w:szCs w:val="20"/>
                <w:color w:val="auto"/>
              </w:rPr>
            </w:pPr>
            <w:r>
              <w:rPr>
                <w:rFonts w:ascii="Arial" w:cs="Arial" w:eastAsia="Arial" w:hAnsi="Arial"/>
                <w:sz w:val="18"/>
                <w:szCs w:val="18"/>
                <w:color w:val="auto"/>
              </w:rPr>
              <w:t>Fees for customer services</w:t>
            </w:r>
          </w:p>
        </w:tc>
        <w:tc>
          <w:tcPr>
            <w:tcW w:w="2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8,037</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8,361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(324)</w:t>
            </w:r>
          </w:p>
        </w:tc>
        <w:tc>
          <w:tcPr>
            <w:tcW w:w="8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3"/>
        </w:trPr>
        <w:tc>
          <w:tcPr>
            <w:tcW w:w="49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Remittance processing</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4,418</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3,753</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665</w:t>
            </w:r>
          </w:p>
        </w:tc>
        <w:tc>
          <w:tcPr>
            <w:tcW w:w="16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17.7 %</w:t>
            </w:r>
          </w:p>
        </w:tc>
        <w:tc>
          <w:tcPr>
            <w:tcW w:w="0" w:type="dxa"/>
            <w:vAlign w:val="bottom"/>
          </w:tcPr>
          <w:p>
            <w:pPr>
              <w:spacing w:after="0"/>
              <w:rPr>
                <w:sz w:val="1"/>
                <w:szCs w:val="1"/>
                <w:color w:val="auto"/>
              </w:rPr>
            </w:pPr>
          </w:p>
        </w:tc>
      </w:tr>
      <w:tr>
        <w:trPr>
          <w:trHeight w:val="203"/>
        </w:trPr>
        <w:tc>
          <w:tcPr>
            <w:tcW w:w="4960" w:type="dxa"/>
            <w:vAlign w:val="bottom"/>
          </w:tcPr>
          <w:p>
            <w:pPr>
              <w:ind w:left="20"/>
              <w:spacing w:after="0" w:line="202" w:lineRule="exact"/>
              <w:rPr>
                <w:sz w:val="20"/>
                <w:szCs w:val="20"/>
                <w:color w:val="auto"/>
              </w:rPr>
            </w:pPr>
            <w:r>
              <w:rPr>
                <w:rFonts w:ascii="Arial" w:cs="Arial" w:eastAsia="Arial" w:hAnsi="Arial"/>
                <w:sz w:val="18"/>
                <w:szCs w:val="18"/>
                <w:color w:val="auto"/>
              </w:rPr>
              <w:t>Mortgage revenue</w:t>
            </w:r>
          </w:p>
        </w:tc>
        <w:tc>
          <w:tcPr>
            <w:tcW w:w="2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2,666</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1,381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1,285</w:t>
            </w:r>
          </w:p>
        </w:tc>
        <w:tc>
          <w:tcPr>
            <w:tcW w:w="160" w:type="dxa"/>
            <w:vAlign w:val="bottom"/>
          </w:tcPr>
          <w:p>
            <w:pPr>
              <w:spacing w:after="0"/>
              <w:rPr>
                <w:sz w:val="17"/>
                <w:szCs w:val="17"/>
                <w:color w:val="auto"/>
              </w:rPr>
            </w:pPr>
          </w:p>
        </w:tc>
        <w:tc>
          <w:tcPr>
            <w:tcW w:w="8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93.0 %</w:t>
            </w:r>
          </w:p>
        </w:tc>
        <w:tc>
          <w:tcPr>
            <w:tcW w:w="0" w:type="dxa"/>
            <w:vAlign w:val="bottom"/>
          </w:tcPr>
          <w:p>
            <w:pPr>
              <w:spacing w:after="0"/>
              <w:rPr>
                <w:sz w:val="1"/>
                <w:szCs w:val="1"/>
                <w:color w:val="auto"/>
              </w:rPr>
            </w:pPr>
          </w:p>
        </w:tc>
      </w:tr>
      <w:tr>
        <w:trPr>
          <w:trHeight w:val="203"/>
        </w:trPr>
        <w:tc>
          <w:tcPr>
            <w:tcW w:w="49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Income on bank owned life insurance</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964</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1,057</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(93)</w:t>
            </w:r>
          </w:p>
        </w:tc>
        <w:tc>
          <w:tcPr>
            <w:tcW w:w="8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03"/>
        </w:trPr>
        <w:tc>
          <w:tcPr>
            <w:tcW w:w="4960" w:type="dxa"/>
            <w:vAlign w:val="bottom"/>
          </w:tcPr>
          <w:p>
            <w:pPr>
              <w:ind w:left="20"/>
              <w:spacing w:after="0" w:line="202" w:lineRule="exact"/>
              <w:rPr>
                <w:sz w:val="20"/>
                <w:szCs w:val="20"/>
                <w:color w:val="auto"/>
              </w:rPr>
            </w:pPr>
            <w:r>
              <w:rPr>
                <w:rFonts w:ascii="Arial" w:cs="Arial" w:eastAsia="Arial" w:hAnsi="Arial"/>
                <w:sz w:val="18"/>
                <w:szCs w:val="18"/>
                <w:color w:val="auto"/>
              </w:rPr>
              <w:t>Net gains (losses) on sales of securities</w:t>
            </w:r>
          </w:p>
        </w:tc>
        <w:tc>
          <w:tcPr>
            <w:tcW w:w="2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25</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1,574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w w:val="98"/>
              </w:rPr>
              <w:t>(1,549)</w:t>
            </w:r>
          </w:p>
        </w:tc>
        <w:tc>
          <w:tcPr>
            <w:tcW w:w="80" w:type="dxa"/>
            <w:vAlign w:val="bottom"/>
          </w:tcPr>
          <w:p>
            <w:pPr>
              <w:spacing w:after="0"/>
              <w:rPr>
                <w:sz w:val="17"/>
                <w:szCs w:val="17"/>
                <w:color w:val="auto"/>
              </w:rPr>
            </w:pPr>
          </w:p>
        </w:tc>
        <w:tc>
          <w:tcPr>
            <w:tcW w:w="76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3"/>
        </w:trPr>
        <w:tc>
          <w:tcPr>
            <w:tcW w:w="49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Unrealized gains (losses) recognized on equity securities</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1,616</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(987)</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2,603</w:t>
            </w:r>
          </w:p>
        </w:tc>
        <w:tc>
          <w:tcPr>
            <w:tcW w:w="16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263.7 %</w:t>
            </w:r>
          </w:p>
        </w:tc>
        <w:tc>
          <w:tcPr>
            <w:tcW w:w="0" w:type="dxa"/>
            <w:vAlign w:val="bottom"/>
          </w:tcPr>
          <w:p>
            <w:pPr>
              <w:spacing w:after="0"/>
              <w:rPr>
                <w:sz w:val="1"/>
                <w:szCs w:val="1"/>
                <w:color w:val="auto"/>
              </w:rPr>
            </w:pPr>
          </w:p>
        </w:tc>
      </w:tr>
      <w:tr>
        <w:trPr>
          <w:trHeight w:val="203"/>
        </w:trPr>
        <w:tc>
          <w:tcPr>
            <w:tcW w:w="4960" w:type="dxa"/>
            <w:vAlign w:val="bottom"/>
          </w:tcPr>
          <w:p>
            <w:pPr>
              <w:ind w:left="20"/>
              <w:spacing w:after="0" w:line="202" w:lineRule="exact"/>
              <w:rPr>
                <w:sz w:val="20"/>
                <w:szCs w:val="20"/>
                <w:color w:val="auto"/>
              </w:rPr>
            </w:pPr>
            <w:r>
              <w:rPr>
                <w:rFonts w:ascii="Arial" w:cs="Arial" w:eastAsia="Arial" w:hAnsi="Arial"/>
                <w:sz w:val="18"/>
                <w:szCs w:val="18"/>
                <w:color w:val="auto"/>
              </w:rPr>
              <w:t>Other income</w:t>
            </w:r>
          </w:p>
        </w:tc>
        <w:tc>
          <w:tcPr>
            <w:tcW w:w="2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1,135</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823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312</w:t>
            </w:r>
          </w:p>
        </w:tc>
        <w:tc>
          <w:tcPr>
            <w:tcW w:w="160" w:type="dxa"/>
            <w:vAlign w:val="bottom"/>
          </w:tcPr>
          <w:p>
            <w:pPr>
              <w:spacing w:after="0"/>
              <w:rPr>
                <w:sz w:val="17"/>
                <w:szCs w:val="17"/>
                <w:color w:val="auto"/>
              </w:rPr>
            </w:pPr>
          </w:p>
        </w:tc>
        <w:tc>
          <w:tcPr>
            <w:tcW w:w="8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37.9 %</w:t>
            </w:r>
          </w:p>
        </w:tc>
        <w:tc>
          <w:tcPr>
            <w:tcW w:w="0" w:type="dxa"/>
            <w:vAlign w:val="bottom"/>
          </w:tcPr>
          <w:p>
            <w:pPr>
              <w:spacing w:after="0"/>
              <w:rPr>
                <w:sz w:val="1"/>
                <w:szCs w:val="1"/>
                <w:color w:val="auto"/>
              </w:rPr>
            </w:pPr>
          </w:p>
        </w:tc>
      </w:tr>
      <w:tr>
        <w:trPr>
          <w:trHeight w:val="196"/>
        </w:trPr>
        <w:tc>
          <w:tcPr>
            <w:tcW w:w="4960" w:type="dxa"/>
            <w:vAlign w:val="bottom"/>
            <w:tcBorders>
              <w:top w:val="single" w:sz="8" w:color="CCEEFF"/>
              <w:bottom w:val="single" w:sz="8" w:color="CCEEFF"/>
            </w:tcBorders>
            <w:shd w:val="clear" w:color="auto" w:fill="CCEEFF"/>
          </w:tcPr>
          <w:p>
            <w:pPr>
              <w:ind w:left="220"/>
              <w:spacing w:after="0" w:line="196" w:lineRule="exact"/>
              <w:rPr>
                <w:sz w:val="20"/>
                <w:szCs w:val="20"/>
                <w:color w:val="auto"/>
              </w:rPr>
            </w:pPr>
            <w:r>
              <w:rPr>
                <w:rFonts w:ascii="Arial" w:cs="Arial" w:eastAsia="Arial" w:hAnsi="Arial"/>
                <w:sz w:val="18"/>
                <w:szCs w:val="18"/>
                <w:color w:val="auto"/>
              </w:rPr>
              <w:t>Total non-interest income</w:t>
            </w:r>
          </w:p>
        </w:tc>
        <w:tc>
          <w:tcPr>
            <w:tcW w:w="220" w:type="dxa"/>
            <w:vAlign w:val="bottom"/>
            <w:tcBorders>
              <w:top w:val="single" w:sz="8" w:color="auto"/>
              <w:bottom w:val="single" w:sz="8" w:color="auto"/>
            </w:tcBorders>
            <w:shd w:val="clear" w:color="auto" w:fill="CCEEFF"/>
          </w:tcPr>
          <w:p>
            <w:pPr>
              <w:jc w:val="right"/>
              <w:ind w:right="36"/>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31,445</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27,517</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3,928</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14.3</w:t>
            </w:r>
          </w:p>
        </w:tc>
        <w:tc>
          <w:tcPr>
            <w:tcW w:w="16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Total non-interest income increased by 14.3% to $31.4 million for the three months ended March 31, 2021, compared to $27.5 million for the three months ended March 31, 2020. Revenues from wealth management fees and remittance processing activities represented 54.1% of the Company’s non-interest income for the three months ended March 31, 2021, providing a complement to spread-based revenue from traditional banking activities. On a combined basis, revenue from these two critical operating segments increased 11.1% year-over-year, from $15.3 million in the first quarter of 2020 to $17.0 million in the first quarter of 2021.</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6"/>
          <w:szCs w:val="16"/>
          <w:color w:val="auto"/>
        </w:rPr>
        <w:t>Wealth management fees increased by 8.9% to $12.6 million for the three months ended March 31, 2021, compared to</w:t>
      </w:r>
    </w:p>
    <w:p>
      <w:pPr>
        <w:spacing w:after="0" w:line="35" w:lineRule="exact"/>
        <w:rPr>
          <w:sz w:val="20"/>
          <w:szCs w:val="20"/>
          <w:color w:val="auto"/>
        </w:rPr>
      </w:pPr>
    </w:p>
    <w:p>
      <w:pPr>
        <w:ind w:left="60" w:right="139"/>
        <w:spacing w:after="0" w:line="243" w:lineRule="auto"/>
        <w:rPr>
          <w:sz w:val="20"/>
          <w:szCs w:val="20"/>
          <w:color w:val="auto"/>
        </w:rPr>
      </w:pPr>
      <w:r>
        <w:rPr>
          <w:rFonts w:ascii="Arial" w:cs="Arial" w:eastAsia="Arial" w:hAnsi="Arial"/>
          <w:sz w:val="18"/>
          <w:szCs w:val="18"/>
          <w:color w:val="auto"/>
        </w:rPr>
        <w:t>$11.6 million for the same period in 2020. First Busey’s Wealth Management division ended the first quarter of 2021 with $10.7 billion in assets under care, compared to $8.9 billion at the end of the first quarter of 2020.</w:t>
      </w:r>
    </w:p>
    <w:p>
      <w:pPr>
        <w:spacing w:after="0" w:line="172" w:lineRule="exact"/>
        <w:rPr>
          <w:sz w:val="20"/>
          <w:szCs w:val="20"/>
          <w:color w:val="auto"/>
        </w:rPr>
      </w:pPr>
    </w:p>
    <w:p>
      <w:pPr>
        <w:ind w:left="60" w:right="399"/>
        <w:spacing w:after="0" w:line="294" w:lineRule="auto"/>
        <w:rPr>
          <w:sz w:val="20"/>
          <w:szCs w:val="20"/>
          <w:color w:val="auto"/>
        </w:rPr>
      </w:pPr>
      <w:r>
        <w:rPr>
          <w:rFonts w:ascii="Arial" w:cs="Arial" w:eastAsia="Arial" w:hAnsi="Arial"/>
          <w:sz w:val="16"/>
          <w:szCs w:val="16"/>
          <w:color w:val="auto"/>
        </w:rPr>
        <w:t>Fees for customer services decreased by 3.9% to $8.0 million for the three months ended March 31, 2021, compared to $8.4 million for the same period in 2020. Fees for customer services have been impacted since March 2020 due to changing customer behaviors resulting from COVID-19 and related government stimulus programs.</w:t>
      </w:r>
    </w:p>
    <w:p>
      <w:pPr>
        <w:spacing w:after="0" w:line="134" w:lineRule="exact"/>
        <w:rPr>
          <w:sz w:val="20"/>
          <w:szCs w:val="20"/>
          <w:color w:val="auto"/>
        </w:rPr>
      </w:pPr>
    </w:p>
    <w:p>
      <w:pPr>
        <w:ind w:left="60" w:right="139"/>
        <w:spacing w:after="0" w:line="241" w:lineRule="auto"/>
        <w:rPr>
          <w:sz w:val="20"/>
          <w:szCs w:val="20"/>
          <w:color w:val="auto"/>
        </w:rPr>
      </w:pPr>
      <w:r>
        <w:rPr>
          <w:rFonts w:ascii="Arial" w:cs="Arial" w:eastAsia="Arial" w:hAnsi="Arial"/>
          <w:sz w:val="18"/>
          <w:szCs w:val="18"/>
          <w:color w:val="auto"/>
        </w:rPr>
        <w:t>Remittance processing revenue relates to our payment processing company, FirsTech. Remittance processing revenue increased by 17.7% to $4.4 million for the three months ended March 31, 2021, compared to $3.8 million for the same period in 2020. Remittance processing adds important diversity to our revenue stream while widening our array of service offerings to larger commercial clients within our footprint and nationally. The Company is currently making strategic investments in FirsTech to further enhance future growth.</w:t>
      </w:r>
    </w:p>
    <w:p>
      <w:pPr>
        <w:spacing w:after="0" w:line="176" w:lineRule="exact"/>
        <w:rPr>
          <w:sz w:val="20"/>
          <w:szCs w:val="20"/>
          <w:color w:val="auto"/>
        </w:rPr>
      </w:pPr>
    </w:p>
    <w:p>
      <w:pPr>
        <w:ind w:left="60" w:right="159"/>
        <w:spacing w:after="0" w:line="274" w:lineRule="auto"/>
        <w:rPr>
          <w:sz w:val="20"/>
          <w:szCs w:val="20"/>
          <w:color w:val="auto"/>
        </w:rPr>
      </w:pPr>
      <w:r>
        <w:rPr>
          <w:rFonts w:ascii="Arial" w:cs="Arial" w:eastAsia="Arial" w:hAnsi="Arial"/>
          <w:sz w:val="16"/>
          <w:szCs w:val="16"/>
          <w:color w:val="auto"/>
        </w:rPr>
        <w:t>Mortgage revenue increased 93.0% to $2.7 million for the three months ended March 31, 2021, compared to $1.4 million for the same period in 2020. Decreased recognition of deferred loan origination expenses of $1.2 million during the three months ended March 31, 2021, compared to $2.4 million for same period in 2020, was a significant driver of the increase. During the three months ended March 31, 2021, we also released $0.4 million of the repurchase reserve, compared to an insignificant amount of expense for same period in 2020. In addition, net gain on sale yields increased during the three months ended March 31, 2021, compared to the three months ended March 31, 2020, but were partially offset by a decline in mortgage volumes. General economic conditions and interest rate volatility may impact fees in future quarters.</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5" w:name="page46"/>
    <w:bookmarkEnd w:id="4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6" w:lineRule="exact"/>
        <w:rPr>
          <w:sz w:val="20"/>
          <w:szCs w:val="20"/>
          <w:color w:val="auto"/>
        </w:rPr>
      </w:pPr>
    </w:p>
    <w:p>
      <w:pPr>
        <w:ind w:left="60" w:right="399"/>
        <w:spacing w:after="0" w:line="324" w:lineRule="auto"/>
        <w:rPr>
          <w:sz w:val="20"/>
          <w:szCs w:val="20"/>
          <w:color w:val="auto"/>
        </w:rPr>
      </w:pPr>
      <w:r>
        <w:rPr>
          <w:rFonts w:ascii="Arial" w:cs="Arial" w:eastAsia="Arial" w:hAnsi="Arial"/>
          <w:sz w:val="16"/>
          <w:szCs w:val="16"/>
          <w:color w:val="auto"/>
        </w:rPr>
        <w:t>Income on bank owned life insurance decreased 8.8%, to $1.0 million for the three months ended March 31, 2021, compared to $1.1 million for the same period in 2020, primarily as a result of lower earnings on life insurance policies.</w:t>
      </w:r>
    </w:p>
    <w:p>
      <w:pPr>
        <w:spacing w:after="0" w:line="111" w:lineRule="exact"/>
        <w:rPr>
          <w:sz w:val="20"/>
          <w:szCs w:val="20"/>
          <w:color w:val="auto"/>
        </w:rPr>
      </w:pPr>
    </w:p>
    <w:p>
      <w:pPr>
        <w:jc w:val="both"/>
        <w:ind w:left="60" w:right="79"/>
        <w:spacing w:after="0" w:line="270" w:lineRule="auto"/>
        <w:rPr>
          <w:sz w:val="20"/>
          <w:szCs w:val="20"/>
          <w:color w:val="auto"/>
        </w:rPr>
      </w:pPr>
      <w:r>
        <w:rPr>
          <w:rFonts w:ascii="Arial" w:cs="Arial" w:eastAsia="Arial" w:hAnsi="Arial"/>
          <w:sz w:val="17"/>
          <w:szCs w:val="17"/>
          <w:color w:val="auto"/>
        </w:rPr>
        <w:t>Other income increased 37.9% to $1.1 million for the three months ended March 31, 2021, compared to $0.8 million for the same period in 2020. Other income variances are primarily driven by fluctuations in income generated from swap origination fees, commercial loan sales gains, and gains and losses on fixed asset disposal.</w:t>
      </w:r>
    </w:p>
    <w:p>
      <w:pPr>
        <w:spacing w:after="0" w:line="15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Non-Interest Expense</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Changes in non-interest expense are summarized as follows for the periods presented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224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240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8"/>
              </w:rPr>
              <w:t>Three Months Ended March 31,</w:t>
            </w:r>
          </w:p>
        </w:tc>
        <w:tc>
          <w:tcPr>
            <w:tcW w:w="100" w:type="dxa"/>
            <w:vAlign w:val="bottom"/>
          </w:tcPr>
          <w:p>
            <w:pPr>
              <w:spacing w:after="0"/>
              <w:rPr>
                <w:sz w:val="16"/>
                <w:szCs w:val="16"/>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920" w:type="dxa"/>
            <w:vAlign w:val="bottom"/>
            <w:gridSpan w:val="3"/>
            <w:vMerge w:val="restart"/>
          </w:tcPr>
          <w:p>
            <w:pPr>
              <w:jc w:val="right"/>
              <w:ind w:right="9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5"/>
        </w:trPr>
        <w:tc>
          <w:tcPr>
            <w:tcW w:w="224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ind w:right="251"/>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ind w:right="251"/>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9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800" w:type="dxa"/>
            <w:vAlign w:val="bottom"/>
            <w:tcBorders>
              <w:top w:val="single" w:sz="8" w:color="CCEEFF"/>
            </w:tcBorders>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Salaries, wages, and employee benefits</w:t>
            </w:r>
          </w:p>
        </w:tc>
        <w:tc>
          <w:tcPr>
            <w:tcW w:w="220" w:type="dxa"/>
            <w:vAlign w:val="bottom"/>
            <w:tcBorders>
              <w:top w:val="single" w:sz="8" w:color="auto"/>
            </w:tcBorders>
            <w:shd w:val="clear" w:color="auto" w:fill="CCEEFF"/>
          </w:tcPr>
          <w:p>
            <w:pPr>
              <w:jc w:val="right"/>
              <w:ind w:right="35"/>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30,384</w:t>
            </w: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34,003</w:t>
            </w: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(3,619)</w:t>
            </w:r>
          </w:p>
        </w:tc>
        <w:tc>
          <w:tcPr>
            <w:tcW w:w="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CCEEFF"/>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03"/>
        </w:trPr>
        <w:tc>
          <w:tcPr>
            <w:tcW w:w="48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Data processing</w:t>
            </w:r>
          </w:p>
        </w:tc>
        <w:tc>
          <w:tcPr>
            <w:tcW w:w="2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4,280</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4,395</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(115)</w:t>
            </w:r>
          </w:p>
        </w:tc>
        <w:tc>
          <w:tcPr>
            <w:tcW w:w="9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3"/>
        </w:trPr>
        <w:tc>
          <w:tcPr>
            <w:tcW w:w="480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Net occupancy expense of premises</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4,563</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4,715</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(152)</w:t>
            </w:r>
          </w:p>
        </w:tc>
        <w:tc>
          <w:tcPr>
            <w:tcW w:w="9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3"/>
        </w:trPr>
        <w:tc>
          <w:tcPr>
            <w:tcW w:w="48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Furniture and equipment expenses</w:t>
            </w:r>
          </w:p>
        </w:tc>
        <w:tc>
          <w:tcPr>
            <w:tcW w:w="2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2,026</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2,449</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(423)</w:t>
            </w:r>
          </w:p>
        </w:tc>
        <w:tc>
          <w:tcPr>
            <w:tcW w:w="9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03"/>
        </w:trPr>
        <w:tc>
          <w:tcPr>
            <w:tcW w:w="480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Professional fees</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1,945</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1,824</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121</w:t>
            </w:r>
          </w:p>
        </w:tc>
        <w:tc>
          <w:tcPr>
            <w:tcW w:w="8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6.6 %</w:t>
            </w:r>
          </w:p>
        </w:tc>
        <w:tc>
          <w:tcPr>
            <w:tcW w:w="0" w:type="dxa"/>
            <w:vAlign w:val="bottom"/>
          </w:tcPr>
          <w:p>
            <w:pPr>
              <w:spacing w:after="0"/>
              <w:rPr>
                <w:sz w:val="1"/>
                <w:szCs w:val="1"/>
                <w:color w:val="auto"/>
              </w:rPr>
            </w:pPr>
          </w:p>
        </w:tc>
      </w:tr>
      <w:tr>
        <w:trPr>
          <w:trHeight w:val="203"/>
        </w:trPr>
        <w:tc>
          <w:tcPr>
            <w:tcW w:w="48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Amortization of intangible assets</w:t>
            </w:r>
          </w:p>
        </w:tc>
        <w:tc>
          <w:tcPr>
            <w:tcW w:w="2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2,401</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2,557</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(156)</w:t>
            </w:r>
          </w:p>
        </w:tc>
        <w:tc>
          <w:tcPr>
            <w:tcW w:w="9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3"/>
        </w:trPr>
        <w:tc>
          <w:tcPr>
            <w:tcW w:w="480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Interchange expense</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1,484</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1,169</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315</w:t>
            </w:r>
          </w:p>
        </w:tc>
        <w:tc>
          <w:tcPr>
            <w:tcW w:w="8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26.9 %</w:t>
            </w:r>
          </w:p>
        </w:tc>
        <w:tc>
          <w:tcPr>
            <w:tcW w:w="0" w:type="dxa"/>
            <w:vAlign w:val="bottom"/>
          </w:tcPr>
          <w:p>
            <w:pPr>
              <w:spacing w:after="0"/>
              <w:rPr>
                <w:sz w:val="1"/>
                <w:szCs w:val="1"/>
                <w:color w:val="auto"/>
              </w:rPr>
            </w:pPr>
          </w:p>
        </w:tc>
      </w:tr>
      <w:tr>
        <w:trPr>
          <w:trHeight w:val="203"/>
        </w:trPr>
        <w:tc>
          <w:tcPr>
            <w:tcW w:w="48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Other expense</w:t>
            </w:r>
          </w:p>
        </w:tc>
        <w:tc>
          <w:tcPr>
            <w:tcW w:w="2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7,416</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9,402</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(1,986)</w:t>
            </w:r>
          </w:p>
        </w:tc>
        <w:tc>
          <w:tcPr>
            <w:tcW w:w="9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196"/>
        </w:trPr>
        <w:tc>
          <w:tcPr>
            <w:tcW w:w="4800" w:type="dxa"/>
            <w:vAlign w:val="bottom"/>
            <w:tcBorders>
              <w:top w:val="single" w:sz="8" w:color="CCEEFF"/>
              <w:bottom w:val="single" w:sz="8" w:color="CCEEFF"/>
            </w:tcBorders>
            <w:gridSpan w:val="2"/>
            <w:shd w:val="clear" w:color="auto" w:fill="CCEEFF"/>
          </w:tcPr>
          <w:p>
            <w:pPr>
              <w:ind w:left="220"/>
              <w:spacing w:after="0" w:line="196" w:lineRule="exact"/>
              <w:rPr>
                <w:sz w:val="20"/>
                <w:szCs w:val="20"/>
                <w:color w:val="auto"/>
              </w:rPr>
            </w:pPr>
            <w:r>
              <w:rPr>
                <w:rFonts w:ascii="Arial" w:cs="Arial" w:eastAsia="Arial" w:hAnsi="Arial"/>
                <w:sz w:val="18"/>
                <w:szCs w:val="18"/>
                <w:color w:val="auto"/>
              </w:rPr>
              <w:t>Total non-interest expense</w:t>
            </w:r>
          </w:p>
        </w:tc>
        <w:tc>
          <w:tcPr>
            <w:tcW w:w="220" w:type="dxa"/>
            <w:vAlign w:val="bottom"/>
            <w:tcBorders>
              <w:top w:val="single" w:sz="8" w:color="auto"/>
              <w:bottom w:val="single" w:sz="8" w:color="auto"/>
            </w:tcBorders>
            <w:shd w:val="clear" w:color="auto" w:fill="CCEEFF"/>
          </w:tcPr>
          <w:p>
            <w:pPr>
              <w:jc w:val="right"/>
              <w:ind w:right="35"/>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54,499</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60,514</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(6,015)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(9.9)</w:t>
            </w:r>
          </w:p>
        </w:tc>
        <w:tc>
          <w:tcPr>
            <w:tcW w:w="18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24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80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Income taxes</w:t>
            </w:r>
          </w:p>
        </w:tc>
        <w:tc>
          <w:tcPr>
            <w:tcW w:w="220" w:type="dxa"/>
            <w:vAlign w:val="bottom"/>
            <w:shd w:val="clear" w:color="auto" w:fill="CCEEFF"/>
          </w:tcPr>
          <w:p>
            <w:pPr>
              <w:jc w:val="right"/>
              <w:ind w:right="35"/>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10,819</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3,856</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6,963</w:t>
            </w:r>
          </w:p>
        </w:tc>
        <w:tc>
          <w:tcPr>
            <w:tcW w:w="8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180.6 %</w:t>
            </w:r>
          </w:p>
        </w:tc>
        <w:tc>
          <w:tcPr>
            <w:tcW w:w="0" w:type="dxa"/>
            <w:vAlign w:val="bottom"/>
          </w:tcPr>
          <w:p>
            <w:pPr>
              <w:spacing w:after="0"/>
              <w:rPr>
                <w:sz w:val="1"/>
                <w:szCs w:val="1"/>
                <w:color w:val="auto"/>
              </w:rPr>
            </w:pPr>
          </w:p>
        </w:tc>
      </w:tr>
      <w:tr>
        <w:trPr>
          <w:trHeight w:val="203"/>
        </w:trPr>
        <w:tc>
          <w:tcPr>
            <w:tcW w:w="48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Effective income tax rate</w:t>
            </w:r>
          </w:p>
        </w:tc>
        <w:tc>
          <w:tcPr>
            <w:tcW w:w="220" w:type="dxa"/>
            <w:vAlign w:val="bottom"/>
          </w:tcPr>
          <w:p>
            <w:pPr>
              <w:spacing w:after="0"/>
              <w:rPr>
                <w:sz w:val="17"/>
                <w:szCs w:val="17"/>
                <w:color w:val="auto"/>
              </w:rPr>
            </w:pPr>
          </w:p>
        </w:tc>
        <w:tc>
          <w:tcPr>
            <w:tcW w:w="9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22.2 %</w:t>
            </w:r>
          </w:p>
        </w:tc>
        <w:tc>
          <w:tcPr>
            <w:tcW w:w="220" w:type="dxa"/>
            <w:vAlign w:val="bottom"/>
          </w:tcPr>
          <w:p>
            <w:pPr>
              <w:spacing w:after="0"/>
              <w:rPr>
                <w:sz w:val="17"/>
                <w:szCs w:val="17"/>
                <w:color w:val="auto"/>
              </w:rPr>
            </w:pPr>
          </w:p>
        </w:tc>
        <w:tc>
          <w:tcPr>
            <w:tcW w:w="9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20.1 %</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40" w:type="dxa"/>
            <w:vAlign w:val="bottom"/>
            <w:shd w:val="clear" w:color="auto" w:fill="CCEEFF"/>
          </w:tcPr>
          <w:p>
            <w:pPr>
              <w:spacing w:after="0"/>
              <w:rPr>
                <w:sz w:val="17"/>
                <w:szCs w:val="17"/>
                <w:color w:val="auto"/>
              </w:rPr>
            </w:pPr>
          </w:p>
        </w:tc>
        <w:tc>
          <w:tcPr>
            <w:tcW w:w="2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gridSpan w:val="2"/>
          </w:tcPr>
          <w:p>
            <w:pPr>
              <w:ind w:left="20"/>
              <w:spacing w:after="0" w:line="202" w:lineRule="exact"/>
              <w:rPr>
                <w:sz w:val="20"/>
                <w:szCs w:val="20"/>
                <w:color w:val="auto"/>
              </w:rPr>
            </w:pPr>
            <w:r>
              <w:rPr>
                <w:rFonts w:ascii="Arial" w:cs="Arial" w:eastAsia="Arial" w:hAnsi="Arial"/>
                <w:sz w:val="16"/>
                <w:szCs w:val="16"/>
                <w:color w:val="auto"/>
              </w:rPr>
              <w:t xml:space="preserve">Efficiency ratio </w:t>
            </w:r>
            <w:r>
              <w:rPr>
                <w:rFonts w:ascii="Arial" w:cs="Arial" w:eastAsia="Arial" w:hAnsi="Arial"/>
                <w:sz w:val="23"/>
                <w:szCs w:val="23"/>
                <w:color w:val="auto"/>
                <w:vertAlign w:val="superscript"/>
              </w:rPr>
              <w:t>(1)</w:t>
            </w:r>
          </w:p>
        </w:tc>
        <w:tc>
          <w:tcPr>
            <w:tcW w:w="220" w:type="dxa"/>
            <w:vAlign w:val="bottom"/>
          </w:tcPr>
          <w:p>
            <w:pPr>
              <w:spacing w:after="0"/>
              <w:rPr>
                <w:sz w:val="17"/>
                <w:szCs w:val="17"/>
                <w:color w:val="auto"/>
              </w:rPr>
            </w:pPr>
          </w:p>
        </w:tc>
        <w:tc>
          <w:tcPr>
            <w:tcW w:w="9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54.7 %</w:t>
            </w:r>
          </w:p>
        </w:tc>
        <w:tc>
          <w:tcPr>
            <w:tcW w:w="220" w:type="dxa"/>
            <w:vAlign w:val="bottom"/>
          </w:tcPr>
          <w:p>
            <w:pPr>
              <w:spacing w:after="0"/>
              <w:rPr>
                <w:sz w:val="17"/>
                <w:szCs w:val="17"/>
                <w:color w:val="auto"/>
              </w:rPr>
            </w:pPr>
          </w:p>
        </w:tc>
        <w:tc>
          <w:tcPr>
            <w:tcW w:w="9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59.7 %</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6"/>
                <w:szCs w:val="16"/>
                <w:color w:val="auto"/>
              </w:rPr>
              <w:t xml:space="preserve">Adjusted efficiency ratio </w:t>
            </w:r>
            <w:r>
              <w:rPr>
                <w:rFonts w:ascii="Arial" w:cs="Arial" w:eastAsia="Arial" w:hAnsi="Arial"/>
                <w:sz w:val="23"/>
                <w:szCs w:val="23"/>
                <w:color w:val="auto"/>
                <w:vertAlign w:val="superscript"/>
              </w:rPr>
              <w:t>(1)</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54.3 %</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59.5 %</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Full-time equivalent employees as of period-end</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1,332</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1,507</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15"/>
        </w:trPr>
        <w:tc>
          <w:tcPr>
            <w:tcW w:w="2240" w:type="dxa"/>
            <w:vAlign w:val="bottom"/>
            <w:tcBorders>
              <w:bottom w:val="single" w:sz="8" w:color="auto"/>
            </w:tcBorders>
          </w:tcPr>
          <w:p>
            <w:pPr>
              <w:spacing w:after="0"/>
              <w:rPr>
                <w:sz w:val="10"/>
                <w:szCs w:val="10"/>
                <w:color w:val="auto"/>
              </w:rPr>
            </w:pPr>
          </w:p>
        </w:tc>
        <w:tc>
          <w:tcPr>
            <w:tcW w:w="2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480" w:hanging="322"/>
        <w:spacing w:after="0"/>
        <w:tabs>
          <w:tab w:leader="none" w:pos="480" w:val="left"/>
        </w:tabs>
        <w:numPr>
          <w:ilvl w:val="0"/>
          <w:numId w:val="11"/>
        </w:numPr>
        <w:rPr>
          <w:rFonts w:ascii="Arial" w:cs="Arial" w:eastAsia="Arial" w:hAnsi="Arial"/>
          <w:sz w:val="13"/>
          <w:szCs w:val="13"/>
          <w:color w:val="auto"/>
        </w:rPr>
      </w:pPr>
      <w:r>
        <w:rPr>
          <w:rFonts w:ascii="Arial" w:cs="Arial" w:eastAsia="Arial" w:hAnsi="Arial"/>
          <w:sz w:val="14"/>
          <w:szCs w:val="14"/>
          <w:color w:val="auto"/>
        </w:rPr>
        <w:t>For a reconciliation of efficiency ratio and adjusted efficiency ratio, non-GAAP financial measures, see Non-GAAP Financial Information.</w:t>
      </w:r>
    </w:p>
    <w:p>
      <w:pPr>
        <w:spacing w:after="0" w:line="208" w:lineRule="exact"/>
        <w:rPr>
          <w:sz w:val="20"/>
          <w:szCs w:val="20"/>
          <w:color w:val="auto"/>
        </w:rPr>
      </w:pPr>
    </w:p>
    <w:p>
      <w:pPr>
        <w:ind w:left="60" w:right="159"/>
        <w:spacing w:after="0" w:line="262" w:lineRule="auto"/>
        <w:rPr>
          <w:sz w:val="20"/>
          <w:szCs w:val="20"/>
          <w:color w:val="auto"/>
        </w:rPr>
      </w:pPr>
      <w:r>
        <w:rPr>
          <w:rFonts w:ascii="Arial" w:cs="Arial" w:eastAsia="Arial" w:hAnsi="Arial"/>
          <w:sz w:val="17"/>
          <w:szCs w:val="17"/>
          <w:color w:val="auto"/>
        </w:rPr>
        <w:t>Total non-interest expense decreased by 9.9% to $54.5 million for the three months ended March 31, 2021, compared to $60.5 million for three months ended March 31, 2020. The Company remains focused on expense discipline and has seen expense reductions as a result of its branch closures in 2020, staffing model enhancements, strategic actions in response to COVID-19, and the realization of remaining expense savings from prior acquisitions.</w:t>
      </w:r>
    </w:p>
    <w:p>
      <w:pPr>
        <w:spacing w:after="0" w:line="159" w:lineRule="exact"/>
        <w:rPr>
          <w:sz w:val="20"/>
          <w:szCs w:val="20"/>
          <w:color w:val="auto"/>
        </w:rPr>
      </w:pPr>
    </w:p>
    <w:p>
      <w:pPr>
        <w:ind w:left="60" w:right="259"/>
        <w:spacing w:after="0" w:line="241" w:lineRule="auto"/>
        <w:rPr>
          <w:sz w:val="20"/>
          <w:szCs w:val="20"/>
          <w:color w:val="auto"/>
        </w:rPr>
      </w:pPr>
      <w:r>
        <w:rPr>
          <w:rFonts w:ascii="Arial" w:cs="Arial" w:eastAsia="Arial" w:hAnsi="Arial"/>
          <w:sz w:val="18"/>
          <w:szCs w:val="18"/>
          <w:color w:val="auto"/>
        </w:rPr>
        <w:t>Salaries, wages, and employee benefits decreased by 10.6% to $30.4 million for the three months ended March 31, 2021, compared to $34.0 million for the same period in 2020. Total full-time equivalents at March 31, 2021, numbered 1,332, compared to 1,346 at December 31, 2020, and 1,507 at March 31, 2020, a decline of 11.6% year-over-year. Further, deferral of PPP loan origination costs contributed $1.8 million to the lower salaries, wages, and benefits expense for the three months ended March 31, 2021.</w:t>
      </w:r>
    </w:p>
    <w:p>
      <w:pPr>
        <w:spacing w:after="0" w:line="176" w:lineRule="exact"/>
        <w:rPr>
          <w:sz w:val="20"/>
          <w:szCs w:val="20"/>
          <w:color w:val="auto"/>
        </w:rPr>
      </w:pPr>
    </w:p>
    <w:p>
      <w:pPr>
        <w:ind w:left="60" w:right="539"/>
        <w:spacing w:after="0" w:line="261" w:lineRule="auto"/>
        <w:rPr>
          <w:sz w:val="20"/>
          <w:szCs w:val="20"/>
          <w:color w:val="auto"/>
        </w:rPr>
      </w:pPr>
      <w:r>
        <w:rPr>
          <w:rFonts w:ascii="Arial" w:cs="Arial" w:eastAsia="Arial" w:hAnsi="Arial"/>
          <w:sz w:val="18"/>
          <w:szCs w:val="18"/>
          <w:color w:val="auto"/>
        </w:rPr>
        <w:t>Data processing expense decreased by 2.6% to $4.3 million for the three months ended March 31, 2021, compared to $4.4 million for the same period in 2020.</w:t>
      </w:r>
    </w:p>
    <w:p>
      <w:pPr>
        <w:spacing w:after="0" w:line="157" w:lineRule="exact"/>
        <w:rPr>
          <w:sz w:val="20"/>
          <w:szCs w:val="20"/>
          <w:color w:val="auto"/>
        </w:rPr>
      </w:pPr>
    </w:p>
    <w:p>
      <w:pPr>
        <w:ind w:left="60" w:right="119"/>
        <w:spacing w:after="0" w:line="270" w:lineRule="auto"/>
        <w:rPr>
          <w:sz w:val="20"/>
          <w:szCs w:val="20"/>
          <w:color w:val="auto"/>
        </w:rPr>
      </w:pPr>
      <w:r>
        <w:rPr>
          <w:rFonts w:ascii="Arial" w:cs="Arial" w:eastAsia="Arial" w:hAnsi="Arial"/>
          <w:sz w:val="17"/>
          <w:szCs w:val="17"/>
          <w:color w:val="auto"/>
        </w:rPr>
        <w:t>Combined, net occupancy expense of premises and furniture and equipment expense decreased by 8.0% to $6.6 million for the three months ended March 31, 2021, compared to $7.2 million for the same period in 2020. The decrease in 2021 primarily related to savings achieved through the closure of 12 banking centers in October of 2020.</w:t>
      </w:r>
    </w:p>
    <w:p>
      <w:pPr>
        <w:spacing w:after="0" w:line="150" w:lineRule="exact"/>
        <w:rPr>
          <w:sz w:val="20"/>
          <w:szCs w:val="20"/>
          <w:color w:val="auto"/>
        </w:rPr>
      </w:pPr>
    </w:p>
    <w:p>
      <w:pPr>
        <w:ind w:left="60" w:right="199"/>
        <w:spacing w:after="0" w:line="291" w:lineRule="auto"/>
        <w:rPr>
          <w:sz w:val="20"/>
          <w:szCs w:val="20"/>
          <w:color w:val="auto"/>
        </w:rPr>
      </w:pPr>
      <w:r>
        <w:rPr>
          <w:rFonts w:ascii="Arial" w:cs="Arial" w:eastAsia="Arial" w:hAnsi="Arial"/>
          <w:sz w:val="17"/>
          <w:szCs w:val="17"/>
          <w:color w:val="auto"/>
        </w:rPr>
        <w:t>Professional fees increased by 6.6% to $1.9 million for the three months ended March 31, 2021, compared to $1.8 million for the same period of 2020. Professional fee variances were largely influenced by acquisition expenses.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6" w:name="page47"/>
    <w:bookmarkEnd w:id="4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6" w:lineRule="exact"/>
        <w:rPr>
          <w:sz w:val="20"/>
          <w:szCs w:val="20"/>
          <w:color w:val="auto"/>
        </w:rPr>
      </w:pPr>
    </w:p>
    <w:p>
      <w:pPr>
        <w:ind w:left="60" w:right="119"/>
        <w:spacing w:after="0" w:line="261" w:lineRule="auto"/>
        <w:rPr>
          <w:sz w:val="20"/>
          <w:szCs w:val="20"/>
          <w:color w:val="auto"/>
        </w:rPr>
      </w:pPr>
      <w:r>
        <w:rPr>
          <w:rFonts w:ascii="Arial" w:cs="Arial" w:eastAsia="Arial" w:hAnsi="Arial"/>
          <w:sz w:val="18"/>
          <w:szCs w:val="18"/>
          <w:color w:val="auto"/>
        </w:rPr>
        <w:t>Amortization of intangible assets decreased by 6.1% to $2.4 million for the three months ended March 31, 2021, compared to $2.6 million for the same period in 2020.</w:t>
      </w:r>
    </w:p>
    <w:p>
      <w:pPr>
        <w:spacing w:after="0" w:line="157" w:lineRule="exact"/>
        <w:rPr>
          <w:sz w:val="20"/>
          <w:szCs w:val="20"/>
          <w:color w:val="auto"/>
        </w:rPr>
      </w:pPr>
    </w:p>
    <w:p>
      <w:pPr>
        <w:ind w:left="60" w:right="779"/>
        <w:spacing w:after="0" w:line="324" w:lineRule="auto"/>
        <w:rPr>
          <w:sz w:val="20"/>
          <w:szCs w:val="20"/>
          <w:color w:val="auto"/>
        </w:rPr>
      </w:pPr>
      <w:r>
        <w:rPr>
          <w:rFonts w:ascii="Arial" w:cs="Arial" w:eastAsia="Arial" w:hAnsi="Arial"/>
          <w:sz w:val="16"/>
          <w:szCs w:val="16"/>
          <w:color w:val="auto"/>
        </w:rPr>
        <w:t>Interchange expense increased by 26.9% to $1.5 million for the three months ended March 31, 2021, compared to $1.2 million for the same period in 2020, as a result of increased payment and volume activity at FirsTech.</w:t>
      </w:r>
    </w:p>
    <w:p>
      <w:pPr>
        <w:spacing w:after="0" w:line="111" w:lineRule="exact"/>
        <w:rPr>
          <w:sz w:val="20"/>
          <w:szCs w:val="20"/>
          <w:color w:val="auto"/>
        </w:rPr>
      </w:pPr>
    </w:p>
    <w:p>
      <w:pPr>
        <w:ind w:left="60" w:right="119"/>
        <w:spacing w:after="0" w:line="241" w:lineRule="auto"/>
        <w:rPr>
          <w:sz w:val="20"/>
          <w:szCs w:val="20"/>
          <w:color w:val="auto"/>
        </w:rPr>
      </w:pPr>
      <w:r>
        <w:rPr>
          <w:rFonts w:ascii="Arial" w:cs="Arial" w:eastAsia="Arial" w:hAnsi="Arial"/>
          <w:sz w:val="18"/>
          <w:szCs w:val="18"/>
          <w:color w:val="auto"/>
        </w:rPr>
        <w:t>Other expense decreased by 21.1% to $7.4 million for the three months ended March 31, 2021, compared to $9.4 million for the same period in 2020. Deferral of PPP loan origination costs reduced other expense by $0.5 million for the three months ended March 31, 2021. Other variances are across multiple expense categories, including business development and travel expenses, mortgage servicing rights valuations, provision for unfunded commitments, and new market tax credit impairment.</w:t>
      </w:r>
    </w:p>
    <w:p>
      <w:pPr>
        <w:spacing w:after="0" w:line="179" w:lineRule="exact"/>
        <w:rPr>
          <w:sz w:val="20"/>
          <w:szCs w:val="20"/>
          <w:color w:val="auto"/>
        </w:rPr>
      </w:pPr>
    </w:p>
    <w:p>
      <w:pPr>
        <w:ind w:left="60" w:right="59"/>
        <w:spacing w:after="0" w:line="210" w:lineRule="auto"/>
        <w:rPr>
          <w:rFonts w:ascii="Arial" w:cs="Arial" w:eastAsia="Arial" w:hAnsi="Arial"/>
          <w:sz w:val="18"/>
          <w:szCs w:val="18"/>
          <w:color w:val="auto"/>
        </w:rPr>
      </w:pPr>
      <w:r>
        <w:rPr>
          <w:rFonts w:ascii="Arial" w:cs="Arial" w:eastAsia="Arial" w:hAnsi="Arial"/>
          <w:sz w:val="18"/>
          <w:szCs w:val="18"/>
          <w:color w:val="auto"/>
        </w:rPr>
        <w:t>The efficiency ratio</w:t>
      </w:r>
      <w:hyperlink w:anchor="page47">
        <w:r>
          <w:rPr>
            <w:rFonts w:ascii="Arial" w:cs="Arial" w:eastAsia="Arial" w:hAnsi="Arial"/>
            <w:sz w:val="26"/>
            <w:szCs w:val="26"/>
            <w:u w:val="single" w:color="auto"/>
            <w:color w:val="0000EE"/>
            <w:vertAlign w:val="superscript"/>
          </w:rPr>
          <w:t>1</w:t>
        </w:r>
      </w:hyperlink>
      <w:r>
        <w:rPr>
          <w:rFonts w:ascii="Arial" w:cs="Arial" w:eastAsia="Arial" w:hAnsi="Arial"/>
          <w:sz w:val="18"/>
          <w:szCs w:val="18"/>
          <w:color w:val="auto"/>
        </w:rPr>
        <w:t>, which is a measure commonly used by management and the banking industry, measures the amount of expense incurred to generate a dollar of revenue. The efficiency ratio was 54.7% for the three months ended March 31, 2021, compared to 59.7% for the three months ended December 31, 2020, and 59.7% for the three months ended March 31, 2020. The adjusted efficiency ratio</w:t>
      </w:r>
      <w:r>
        <w:rPr>
          <w:rFonts w:ascii="Arial" w:cs="Arial" w:eastAsia="Arial" w:hAnsi="Arial"/>
          <w:sz w:val="26"/>
          <w:szCs w:val="26"/>
          <w:color w:val="auto"/>
          <w:vertAlign w:val="superscript"/>
        </w:rPr>
        <w:t>1</w:t>
      </w:r>
      <w:r>
        <w:rPr>
          <w:rFonts w:ascii="Arial" w:cs="Arial" w:eastAsia="Arial" w:hAnsi="Arial"/>
          <w:sz w:val="18"/>
          <w:szCs w:val="18"/>
          <w:color w:val="auto"/>
        </w:rPr>
        <w:t xml:space="preserve"> was 54.3% for the three months ended March 31, 2021, compared to 52.4% for the three months ended December 31, 2020, and 59.5% for the three months ended March 31, 2020. The Company remains focused on expense discipline.</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Income Taxes</w:t>
      </w:r>
    </w:p>
    <w:p>
      <w:pPr>
        <w:spacing w:after="0" w:line="198" w:lineRule="exact"/>
        <w:rPr>
          <w:sz w:val="20"/>
          <w:szCs w:val="20"/>
          <w:color w:val="auto"/>
        </w:rPr>
      </w:pPr>
    </w:p>
    <w:p>
      <w:pPr>
        <w:ind w:left="60" w:right="159"/>
        <w:spacing w:after="0" w:line="255" w:lineRule="auto"/>
        <w:rPr>
          <w:sz w:val="20"/>
          <w:szCs w:val="20"/>
          <w:color w:val="auto"/>
        </w:rPr>
      </w:pPr>
      <w:r>
        <w:rPr>
          <w:rFonts w:ascii="Arial" w:cs="Arial" w:eastAsia="Arial" w:hAnsi="Arial"/>
          <w:sz w:val="17"/>
          <w:szCs w:val="17"/>
          <w:color w:val="auto"/>
        </w:rPr>
        <w:t>The effective income tax rate of 22.2% for the three months ended March 31, 2021, was lower than the combined federal and state statutory rate of approximately 28% due to tax exempt interest income, such as municipal bond interest and bank owned life insurance income, and investments in various federal and state tax credits, including an Illinois new market tax credit. The Company continues to monitor evolving federal and state tax legislation and its potential impact on operations on an ongoing basis. At March 31, 2021, the Company was not under examination by any tax authority; however, Banc Ed, which the Company acquired on January 31, 2019, is under examination by the Illinois Department of Revenue for its 2009 to 2016 income tax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286385</wp:posOffset>
            </wp:positionV>
            <wp:extent cx="141414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ind w:left="4420" w:right="2099" w:hanging="4370"/>
        <w:spacing w:after="0" w:line="642" w:lineRule="auto"/>
        <w:tabs>
          <w:tab w:leader="none" w:pos="169" w:val="left"/>
        </w:tabs>
        <w:numPr>
          <w:ilvl w:val="0"/>
          <w:numId w:val="12"/>
        </w:numPr>
        <w:rPr>
          <w:rFonts w:ascii="Arial" w:cs="Arial" w:eastAsia="Arial" w:hAnsi="Arial"/>
          <w:sz w:val="27"/>
          <w:szCs w:val="27"/>
          <w:color w:val="auto"/>
          <w:vertAlign w:val="superscript"/>
        </w:rPr>
      </w:pPr>
      <w:r>
        <w:rPr>
          <w:rFonts w:ascii="Arial" w:cs="Arial" w:eastAsia="Arial" w:hAnsi="Arial"/>
          <w:sz w:val="18"/>
          <w:szCs w:val="18"/>
          <w:color w:val="auto"/>
        </w:rPr>
        <w:t>A Non-GAAP financial measure. See “Non-GAAP Financial Information” for reconciliation.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4445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7" w:name="page48"/>
    <w:bookmarkEnd w:id="4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FINANCIAL CONDITION</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Balance Sheet</w:t>
      </w:r>
    </w:p>
    <w:p>
      <w:pPr>
        <w:spacing w:after="0" w:line="198" w:lineRule="exact"/>
        <w:rPr>
          <w:sz w:val="20"/>
          <w:szCs w:val="20"/>
          <w:color w:val="auto"/>
        </w:rPr>
      </w:pPr>
    </w:p>
    <w:p>
      <w:pPr>
        <w:ind w:left="60" w:right="179"/>
        <w:spacing w:after="0" w:line="261" w:lineRule="auto"/>
        <w:rPr>
          <w:sz w:val="20"/>
          <w:szCs w:val="20"/>
          <w:color w:val="auto"/>
        </w:rPr>
      </w:pPr>
      <w:r>
        <w:rPr>
          <w:rFonts w:ascii="Arial" w:cs="Arial" w:eastAsia="Arial" w:hAnsi="Arial"/>
          <w:sz w:val="18"/>
          <w:szCs w:val="18"/>
          <w:color w:val="auto"/>
        </w:rPr>
        <w:t xml:space="preserve">Changes in significant items included in our unaudited Consolidated Balance Sheets are summarized as follows as of each of the dates indicated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62" w:lineRule="exact"/>
        <w:rPr>
          <w:sz w:val="20"/>
          <w:szCs w:val="20"/>
          <w:color w:val="auto"/>
        </w:rPr>
      </w:pPr>
    </w:p>
    <w:tbl>
      <w:tblPr>
        <w:tblLayout w:type="fixed"/>
        <w:tblInd w:w="6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9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right"/>
              <w:ind w:right="154"/>
              <w:spacing w:after="0" w:line="133" w:lineRule="exact"/>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jc w:val="right"/>
              <w:ind w:right="53"/>
              <w:spacing w:after="0" w:line="133" w:lineRule="exact"/>
              <w:rPr>
                <w:sz w:val="20"/>
                <w:szCs w:val="20"/>
                <w:color w:val="auto"/>
              </w:rPr>
            </w:pPr>
            <w:r>
              <w:rPr>
                <w:rFonts w:ascii="Arial" w:cs="Arial" w:eastAsia="Arial" w:hAnsi="Arial"/>
                <w:sz w:val="14"/>
                <w:szCs w:val="14"/>
                <w:b w:val="1"/>
                <w:bCs w:val="1"/>
                <w:color w:val="auto"/>
                <w:w w:val="87"/>
              </w:rPr>
              <w:t>December 31,</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ind w:right="294"/>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ind w:right="293"/>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ind w:right="111"/>
              <w:spacing w:after="0"/>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3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60" w:type="dxa"/>
            <w:vAlign w:val="bottom"/>
          </w:tcPr>
          <w:p>
            <w:pPr>
              <w:spacing w:after="0" w:line="202" w:lineRule="exact"/>
              <w:rPr>
                <w:sz w:val="20"/>
                <w:szCs w:val="20"/>
                <w:color w:val="auto"/>
              </w:rPr>
            </w:pPr>
            <w:r>
              <w:rPr>
                <w:rFonts w:ascii="Arial" w:cs="Arial" w:eastAsia="Arial" w:hAnsi="Arial"/>
                <w:sz w:val="18"/>
                <w:szCs w:val="18"/>
                <w:color w:val="auto"/>
              </w:rPr>
              <w:t>Debt securities available for sale</w:t>
            </w:r>
          </w:p>
        </w:tc>
        <w:tc>
          <w:tcPr>
            <w:tcW w:w="4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2,796,955</w:t>
            </w:r>
          </w:p>
        </w:tc>
        <w:tc>
          <w:tcPr>
            <w:tcW w:w="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2,261,187</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535,768</w:t>
            </w:r>
          </w:p>
        </w:tc>
        <w:tc>
          <w:tcPr>
            <w:tcW w:w="100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23.7 %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Portfolio loans, net</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6,685,357</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6,713,129</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(27,772)</w:t>
            </w:r>
          </w:p>
        </w:tc>
        <w:tc>
          <w:tcPr>
            <w:tcW w:w="100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assets</w:t>
            </w:r>
          </w:p>
        </w:tc>
        <w:tc>
          <w:tcPr>
            <w:tcW w:w="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3"/>
              </w:rPr>
              <w:t>10,759,563</w:t>
            </w:r>
          </w:p>
        </w:tc>
        <w:tc>
          <w:tcPr>
            <w:tcW w:w="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10,544,047</w:t>
            </w: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215,516</w:t>
            </w:r>
          </w:p>
        </w:tc>
        <w:tc>
          <w:tcPr>
            <w:tcW w:w="100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2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Liabilities</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60" w:type="dxa"/>
            <w:vAlign w:val="bottom"/>
          </w:tcPr>
          <w:p>
            <w:pPr>
              <w:spacing w:after="0" w:line="202" w:lineRule="exact"/>
              <w:rPr>
                <w:sz w:val="20"/>
                <w:szCs w:val="20"/>
                <w:color w:val="auto"/>
              </w:rPr>
            </w:pPr>
            <w:r>
              <w:rPr>
                <w:rFonts w:ascii="Arial" w:cs="Arial" w:eastAsia="Arial" w:hAnsi="Arial"/>
                <w:sz w:val="18"/>
                <w:szCs w:val="18"/>
                <w:color w:val="auto"/>
              </w:rPr>
              <w:t>Deposits:</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Noninterest-bearing</w:t>
            </w:r>
          </w:p>
        </w:tc>
        <w:tc>
          <w:tcPr>
            <w:tcW w:w="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2,859,492</w:t>
            </w:r>
          </w:p>
        </w:tc>
        <w:tc>
          <w:tcPr>
            <w:tcW w:w="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2,552,039</w:t>
            </w: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307,453</w:t>
            </w:r>
          </w:p>
        </w:tc>
        <w:tc>
          <w:tcPr>
            <w:tcW w:w="100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12.0 %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60" w:type="dxa"/>
            <w:vAlign w:val="bottom"/>
            <w:tcBorders>
              <w:bottom w:val="single" w:sz="8" w:color="CCEEFF"/>
            </w:tcBorders>
          </w:tcPr>
          <w:p>
            <w:pPr>
              <w:ind w:left="200"/>
              <w:spacing w:after="0" w:line="202" w:lineRule="exact"/>
              <w:rPr>
                <w:sz w:val="20"/>
                <w:szCs w:val="20"/>
                <w:color w:val="auto"/>
              </w:rPr>
            </w:pPr>
            <w:r>
              <w:rPr>
                <w:rFonts w:ascii="Arial" w:cs="Arial" w:eastAsia="Arial" w:hAnsi="Arial"/>
                <w:sz w:val="18"/>
                <w:szCs w:val="18"/>
                <w:color w:val="auto"/>
              </w:rPr>
              <w:t>Interest-bearing</w:t>
            </w:r>
          </w:p>
        </w:tc>
        <w:tc>
          <w:tcPr>
            <w:tcW w:w="3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6,014,355</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6,125,810</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3"/>
              </w:rPr>
              <w:t>(111,455)</w:t>
            </w:r>
          </w:p>
        </w:tc>
        <w:tc>
          <w:tcPr>
            <w:tcW w:w="1000" w:type="dxa"/>
            <w:vAlign w:val="bottom"/>
            <w:tcBorders>
              <w:bottom w:val="single" w:sz="8" w:color="CCEEFF"/>
            </w:tcBorders>
            <w:gridSpan w:val="3"/>
          </w:tcPr>
          <w:p>
            <w:pPr>
              <w:jc w:val="right"/>
              <w:ind w:right="20"/>
              <w:spacing w:after="0" w:line="202"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deposits</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8,873,847</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8,677,849</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195,998</w:t>
            </w:r>
          </w:p>
        </w:tc>
        <w:tc>
          <w:tcPr>
            <w:tcW w:w="1000" w:type="dxa"/>
            <w:vAlign w:val="bottom"/>
            <w:gridSpan w:val="3"/>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Securities sold under agreements to repurchase</w:t>
            </w:r>
          </w:p>
        </w:tc>
        <w:tc>
          <w:tcPr>
            <w:tcW w:w="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210,132</w:t>
            </w:r>
          </w:p>
        </w:tc>
        <w:tc>
          <w:tcPr>
            <w:tcW w:w="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175,614</w:t>
            </w: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34,518</w:t>
            </w:r>
          </w:p>
        </w:tc>
        <w:tc>
          <w:tcPr>
            <w:tcW w:w="100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19.7 %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60" w:type="dxa"/>
            <w:vAlign w:val="bottom"/>
          </w:tcPr>
          <w:p>
            <w:pPr>
              <w:spacing w:after="0" w:line="202" w:lineRule="exact"/>
              <w:rPr>
                <w:sz w:val="20"/>
                <w:szCs w:val="20"/>
                <w:color w:val="auto"/>
              </w:rPr>
            </w:pPr>
            <w:r>
              <w:rPr>
                <w:rFonts w:ascii="Arial" w:cs="Arial" w:eastAsia="Arial" w:hAnsi="Arial"/>
                <w:sz w:val="18"/>
                <w:szCs w:val="18"/>
                <w:color w:val="auto"/>
              </w:rPr>
              <w:t>Senior notes, net of unamortized issuance costs</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39,843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39,809</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34</w:t>
            </w:r>
          </w:p>
        </w:tc>
        <w:tc>
          <w:tcPr>
            <w:tcW w:w="100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6"/>
              </w:rPr>
              <w:t>Subordinated notes, net of unamortized issuance costs</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182,370</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182,226</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144</w:t>
            </w:r>
          </w:p>
        </w:tc>
        <w:tc>
          <w:tcPr>
            <w:tcW w:w="100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60" w:type="dxa"/>
            <w:vAlign w:val="bottom"/>
          </w:tcPr>
          <w:p>
            <w:pPr>
              <w:spacing w:after="0" w:line="202" w:lineRule="exact"/>
              <w:rPr>
                <w:sz w:val="20"/>
                <w:szCs w:val="20"/>
                <w:color w:val="auto"/>
              </w:rPr>
            </w:pPr>
            <w:r>
              <w:rPr>
                <w:rFonts w:ascii="Arial" w:cs="Arial" w:eastAsia="Arial" w:hAnsi="Arial"/>
                <w:sz w:val="18"/>
                <w:szCs w:val="18"/>
                <w:color w:val="auto"/>
                <w:w w:val="96"/>
              </w:rPr>
              <w:t>Junior subordinated debt owed to unconsolidated trusts</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71,509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71,468</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41</w:t>
            </w:r>
          </w:p>
        </w:tc>
        <w:tc>
          <w:tcPr>
            <w:tcW w:w="100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260" w:type="dxa"/>
            <w:vAlign w:val="bottom"/>
          </w:tcPr>
          <w:p>
            <w:pPr>
              <w:spacing w:after="0" w:line="202" w:lineRule="exact"/>
              <w:rPr>
                <w:sz w:val="20"/>
                <w:szCs w:val="20"/>
                <w:color w:val="auto"/>
              </w:rPr>
            </w:pPr>
            <w:r>
              <w:rPr>
                <w:rFonts w:ascii="Arial" w:cs="Arial" w:eastAsia="Arial" w:hAnsi="Arial"/>
                <w:sz w:val="18"/>
                <w:szCs w:val="18"/>
                <w:color w:val="auto"/>
              </w:rPr>
              <w:t>Total liabilities</w:t>
            </w:r>
          </w:p>
        </w:tc>
        <w:tc>
          <w:tcPr>
            <w:tcW w:w="4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9,493,741</w:t>
            </w:r>
          </w:p>
        </w:tc>
        <w:tc>
          <w:tcPr>
            <w:tcW w:w="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9,273,978</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219,763</w:t>
            </w:r>
          </w:p>
        </w:tc>
        <w:tc>
          <w:tcPr>
            <w:tcW w:w="100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426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1,265,822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1,270,069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(4,247)</w:t>
            </w: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Portfolio Loans</w:t>
      </w:r>
    </w:p>
    <w:p>
      <w:pPr>
        <w:spacing w:after="0" w:line="198" w:lineRule="exact"/>
        <w:rPr>
          <w:sz w:val="20"/>
          <w:szCs w:val="20"/>
          <w:color w:val="auto"/>
        </w:rPr>
      </w:pPr>
    </w:p>
    <w:p>
      <w:pPr>
        <w:ind w:left="60" w:right="99"/>
        <w:spacing w:after="0" w:line="271" w:lineRule="auto"/>
        <w:rPr>
          <w:sz w:val="20"/>
          <w:szCs w:val="20"/>
          <w:color w:val="auto"/>
        </w:rPr>
      </w:pPr>
      <w:r>
        <w:rPr>
          <w:rFonts w:ascii="Arial" w:cs="Arial" w:eastAsia="Arial" w:hAnsi="Arial"/>
          <w:sz w:val="16"/>
          <w:szCs w:val="16"/>
          <w:color w:val="auto"/>
        </w:rPr>
        <w:t>The Company believes that making sound and profitable loans is a necessary and desirable means of employing funds available for investment. The Company maintains lending policies and procedures designed to focus lending efforts on the types, locations, and duration of loans most appropriate for its business model and markets. While not specifically limited, the Company attempts to focus its lending on short to intermediate-term (0-7 years) loans in geographic areas within 125 miles of its lending offices. Loans originated outside of these areas are generally residential mortgage loans originated for sale in the secondary market or loans to existing customers of Busey Bank. The Company attempts to utilize government-assisted lending programs, such as the SBA and U.S. Department of Agriculture lending programs, when prudent. Generally, loans are collateralized by assets, primarily real estate, and guaranteed by individuals. Loans are expected to be repaid primarily from cash flows of the borrowers or from proceeds from the sale of selected assets of the borrowers.</w:t>
      </w:r>
    </w:p>
    <w:p>
      <w:pPr>
        <w:spacing w:after="0" w:line="155" w:lineRule="exact"/>
        <w:rPr>
          <w:sz w:val="20"/>
          <w:szCs w:val="20"/>
          <w:color w:val="auto"/>
        </w:rPr>
      </w:pPr>
    </w:p>
    <w:p>
      <w:pPr>
        <w:ind w:left="60" w:right="239"/>
        <w:spacing w:after="0" w:line="272" w:lineRule="auto"/>
        <w:rPr>
          <w:sz w:val="20"/>
          <w:szCs w:val="20"/>
          <w:color w:val="auto"/>
        </w:rPr>
      </w:pPr>
      <w:r>
        <w:rPr>
          <w:rFonts w:ascii="Arial" w:cs="Arial" w:eastAsia="Arial" w:hAnsi="Arial"/>
          <w:sz w:val="16"/>
          <w:szCs w:val="16"/>
          <w:color w:val="auto"/>
        </w:rPr>
        <w:t>Management reviews and approves the Company’s lending policies and procedures on a regular basis. Management routinely (at least quarterly) reviews the Company’s ACL in conjunction with reports related to loan production, loan quality, concentrations of credit, loan delinquencies, and non-performing and potential problem loans. The Company’s underwriting standards are designed to encourage relationship banking rather than transactional banking. Relationship banking implies a primary banking relationship with the borrower that includes, at a minimum, an active deposit banking relationship in addition to the lending relationship. Significant underwriting factors, in addition to location, duration, a sound and profitable cash flow basis, and the borrower’s character, include the quality of the borrower’s financial history, the liquidity of the underlying collateral, and the reliability of the valuation of the underlying collateral.</w:t>
      </w:r>
    </w:p>
    <w:p>
      <w:pPr>
        <w:spacing w:after="0" w:line="154" w:lineRule="exact"/>
        <w:rPr>
          <w:sz w:val="20"/>
          <w:szCs w:val="20"/>
          <w:color w:val="auto"/>
        </w:rPr>
      </w:pPr>
    </w:p>
    <w:p>
      <w:pPr>
        <w:ind w:left="60" w:right="219"/>
        <w:spacing w:after="0" w:line="291" w:lineRule="auto"/>
        <w:rPr>
          <w:sz w:val="20"/>
          <w:szCs w:val="20"/>
          <w:color w:val="auto"/>
        </w:rPr>
      </w:pPr>
      <w:r>
        <w:rPr>
          <w:rFonts w:ascii="Arial" w:cs="Arial" w:eastAsia="Arial" w:hAnsi="Arial"/>
          <w:sz w:val="17"/>
          <w:szCs w:val="17"/>
          <w:color w:val="auto"/>
        </w:rPr>
        <w:t>As a matter of policy and practice, the Company limits the level of concentration exposure in any particular loan segment with the goal of maintaining a well-diversified loan portfolio. In anticipation of the potential risks associated</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8" w:name="page49"/>
    <w:bookmarkEnd w:id="4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6" w:lineRule="exact"/>
        <w:rPr>
          <w:sz w:val="20"/>
          <w:szCs w:val="20"/>
          <w:color w:val="auto"/>
        </w:rPr>
      </w:pPr>
    </w:p>
    <w:p>
      <w:pPr>
        <w:ind w:left="60" w:right="139"/>
        <w:spacing w:after="0" w:line="270" w:lineRule="auto"/>
        <w:rPr>
          <w:sz w:val="20"/>
          <w:szCs w:val="20"/>
          <w:color w:val="auto"/>
        </w:rPr>
      </w:pPr>
      <w:r>
        <w:rPr>
          <w:rFonts w:ascii="Arial" w:cs="Arial" w:eastAsia="Arial" w:hAnsi="Arial"/>
          <w:sz w:val="17"/>
          <w:szCs w:val="17"/>
          <w:color w:val="auto"/>
        </w:rPr>
        <w:t>with COVID-19, the Company took actions starting in early March 2020 to escalate the monitoring of susceptible industry sectors within its portfolio. The Company anticipates that organic loan growth will slow in future quarters as a result of COVID-19 and the related impact on economic conditions in the Company’s market areas.</w:t>
      </w:r>
    </w:p>
    <w:p>
      <w:pPr>
        <w:spacing w:after="0" w:line="150" w:lineRule="exact"/>
        <w:rPr>
          <w:sz w:val="20"/>
          <w:szCs w:val="20"/>
          <w:color w:val="auto"/>
        </w:rPr>
      </w:pPr>
    </w:p>
    <w:p>
      <w:pPr>
        <w:ind w:left="60" w:right="259"/>
        <w:spacing w:after="0" w:line="243" w:lineRule="auto"/>
        <w:rPr>
          <w:sz w:val="20"/>
          <w:szCs w:val="20"/>
          <w:color w:val="auto"/>
        </w:rPr>
      </w:pPr>
      <w:r>
        <w:rPr>
          <w:rFonts w:ascii="Arial" w:cs="Arial" w:eastAsia="Arial" w:hAnsi="Arial"/>
          <w:sz w:val="18"/>
          <w:szCs w:val="18"/>
          <w:color w:val="auto"/>
        </w:rPr>
        <w:t>At no time is a borrower’s total borrowing relationship permitted to exceed the Company’s regulatory lending limit. The Company generally limits such relationships to amounts substantially less than the regulatory limit. Loans to related parties, including executive officers and directors of the Company and its subsidiaries, are reviewed for compliance with regulatory guidelines by the Company’s board of directors at least annually.</w:t>
      </w:r>
    </w:p>
    <w:p>
      <w:pPr>
        <w:spacing w:after="0" w:line="174" w:lineRule="exact"/>
        <w:rPr>
          <w:sz w:val="20"/>
          <w:szCs w:val="20"/>
          <w:color w:val="auto"/>
        </w:rPr>
      </w:pPr>
    </w:p>
    <w:p>
      <w:pPr>
        <w:ind w:left="60" w:right="179"/>
        <w:spacing w:after="0" w:line="243" w:lineRule="auto"/>
        <w:rPr>
          <w:sz w:val="20"/>
          <w:szCs w:val="20"/>
          <w:color w:val="auto"/>
        </w:rPr>
      </w:pPr>
      <w:r>
        <w:rPr>
          <w:rFonts w:ascii="Arial" w:cs="Arial" w:eastAsia="Arial" w:hAnsi="Arial"/>
          <w:sz w:val="18"/>
          <w:szCs w:val="18"/>
          <w:color w:val="auto"/>
        </w:rPr>
        <w:t>The Company maintains an independent loan review department that reviews loans for compliance with the Company’s loan policy on a periodic basis. In addition, the loan review department reviews risk assessments made by the Company’s credit department, lenders, and loan committees. Results of these reviews are presented to management and the audit committee at least quarterly.</w:t>
      </w:r>
    </w:p>
    <w:p>
      <w:pPr>
        <w:spacing w:after="0" w:line="174" w:lineRule="exact"/>
        <w:rPr>
          <w:sz w:val="20"/>
          <w:szCs w:val="20"/>
          <w:color w:val="auto"/>
        </w:rPr>
      </w:pPr>
    </w:p>
    <w:p>
      <w:pPr>
        <w:ind w:left="60" w:right="339"/>
        <w:spacing w:after="0" w:line="284" w:lineRule="auto"/>
        <w:rPr>
          <w:sz w:val="20"/>
          <w:szCs w:val="20"/>
          <w:color w:val="auto"/>
        </w:rPr>
      </w:pPr>
      <w:r>
        <w:rPr>
          <w:rFonts w:ascii="Arial" w:cs="Arial" w:eastAsia="Arial" w:hAnsi="Arial"/>
          <w:sz w:val="16"/>
          <w:szCs w:val="16"/>
          <w:color w:val="auto"/>
        </w:rPr>
        <w:t>The Company’s lending activities can be summarized into five primary areas: commercial loans, commercial real estate loans, real estate construction loans, retail real estate loans, and retail other loans. A description of each of the lending areas can be found in the Company’s 2020 Annual Report. The significant majority of the Company’s portfolio lending activity occurs in its Illinois and Missouri markets, with the remainder in the Indiana and Florida markets.</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7"/>
          <w:szCs w:val="17"/>
          <w:color w:val="auto"/>
        </w:rPr>
        <w:t xml:space="preserve">Geographic distributions of portfolio loans, based on originations, by category were as follows </w:t>
      </w:r>
      <w:r>
        <w:rPr>
          <w:rFonts w:ascii="Arial" w:cs="Arial" w:eastAsia="Arial" w:hAnsi="Arial"/>
          <w:sz w:val="17"/>
          <w:szCs w:val="17"/>
          <w:i w:val="1"/>
          <w:iCs w:val="1"/>
          <w:color w:val="auto"/>
        </w:rPr>
        <w:t>(dollars in thousands)</w:t>
      </w:r>
      <w:r>
        <w:rPr>
          <w:rFonts w:ascii="Arial" w:cs="Arial" w:eastAsia="Arial" w:hAnsi="Arial"/>
          <w:sz w:val="17"/>
          <w:szCs w:val="17"/>
          <w:color w:val="auto"/>
        </w:rPr>
        <w:t>:</w:t>
      </w:r>
    </w:p>
    <w:p>
      <w:pPr>
        <w:spacing w:after="0" w:line="215" w:lineRule="exact"/>
        <w:rPr>
          <w:sz w:val="20"/>
          <w:szCs w:val="20"/>
          <w:color w:val="auto"/>
        </w:rPr>
      </w:pPr>
    </w:p>
    <w:tbl>
      <w:tblPr>
        <w:tblLayout w:type="fixed"/>
        <w:tblInd w:w="6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96"/>
              </w:rPr>
              <w:t>March 31, 2021</w:t>
            </w: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right"/>
              <w:ind w:right="193"/>
              <w:spacing w:after="0" w:line="155" w:lineRule="exact"/>
              <w:rPr>
                <w:sz w:val="20"/>
                <w:szCs w:val="20"/>
                <w:color w:val="auto"/>
              </w:rPr>
            </w:pPr>
            <w:r>
              <w:rPr>
                <w:rFonts w:ascii="Arial" w:cs="Arial" w:eastAsia="Arial" w:hAnsi="Arial"/>
                <w:sz w:val="14"/>
                <w:szCs w:val="14"/>
                <w:b w:val="1"/>
                <w:bCs w:val="1"/>
                <w:color w:val="auto"/>
              </w:rPr>
              <w:t>Illinois</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jc w:val="right"/>
              <w:ind w:right="133"/>
              <w:spacing w:after="0" w:line="155" w:lineRule="exact"/>
              <w:rPr>
                <w:sz w:val="20"/>
                <w:szCs w:val="20"/>
                <w:color w:val="auto"/>
              </w:rPr>
            </w:pPr>
            <w:r>
              <w:rPr>
                <w:rFonts w:ascii="Arial" w:cs="Arial" w:eastAsia="Arial" w:hAnsi="Arial"/>
                <w:sz w:val="14"/>
                <w:szCs w:val="14"/>
                <w:b w:val="1"/>
                <w:bCs w:val="1"/>
                <w:color w:val="auto"/>
              </w:rPr>
              <w:t>Missouri</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tcPr>
          <w:p>
            <w:pPr>
              <w:jc w:val="center"/>
              <w:ind w:right="320"/>
              <w:spacing w:after="0" w:line="155" w:lineRule="exact"/>
              <w:rPr>
                <w:sz w:val="20"/>
                <w:szCs w:val="20"/>
                <w:color w:val="auto"/>
              </w:rPr>
            </w:pPr>
            <w:r>
              <w:rPr>
                <w:rFonts w:ascii="Arial" w:cs="Arial" w:eastAsia="Arial" w:hAnsi="Arial"/>
                <w:sz w:val="14"/>
                <w:szCs w:val="14"/>
                <w:b w:val="1"/>
                <w:bCs w:val="1"/>
                <w:color w:val="auto"/>
                <w:w w:val="98"/>
              </w:rPr>
              <w:t>Florida</w:t>
            </w:r>
          </w:p>
        </w:tc>
        <w:tc>
          <w:tcPr>
            <w:tcW w:w="140" w:type="dxa"/>
            <w:vAlign w:val="bottom"/>
          </w:tcPr>
          <w:p>
            <w:pPr>
              <w:spacing w:after="0"/>
              <w:rPr>
                <w:sz w:val="13"/>
                <w:szCs w:val="13"/>
                <w:color w:val="auto"/>
              </w:rPr>
            </w:pPr>
          </w:p>
        </w:tc>
        <w:tc>
          <w:tcPr>
            <w:tcW w:w="760" w:type="dxa"/>
            <w:vAlign w:val="bottom"/>
          </w:tcPr>
          <w:p>
            <w:pPr>
              <w:jc w:val="right"/>
              <w:ind w:right="133"/>
              <w:spacing w:after="0" w:line="155" w:lineRule="exact"/>
              <w:rPr>
                <w:sz w:val="20"/>
                <w:szCs w:val="20"/>
                <w:color w:val="auto"/>
              </w:rPr>
            </w:pPr>
            <w:r>
              <w:rPr>
                <w:rFonts w:ascii="Arial" w:cs="Arial" w:eastAsia="Arial" w:hAnsi="Arial"/>
                <w:sz w:val="14"/>
                <w:szCs w:val="14"/>
                <w:b w:val="1"/>
                <w:bCs w:val="1"/>
                <w:color w:val="auto"/>
              </w:rPr>
              <w:t>Indiana</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right"/>
              <w:ind w:right="252"/>
              <w:spacing w:after="0" w:line="15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6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Commercial</w:t>
            </w:r>
          </w:p>
        </w:tc>
        <w:tc>
          <w:tcPr>
            <w:tcW w:w="9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1,424,066</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519,324</w:t>
            </w: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72,740</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51,241</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2,067,371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40" w:type="dxa"/>
            <w:vAlign w:val="bottom"/>
          </w:tcPr>
          <w:p>
            <w:pPr>
              <w:spacing w:after="0" w:line="202" w:lineRule="exact"/>
              <w:rPr>
                <w:sz w:val="20"/>
                <w:szCs w:val="20"/>
                <w:color w:val="auto"/>
              </w:rPr>
            </w:pPr>
            <w:r>
              <w:rPr>
                <w:rFonts w:ascii="Arial" w:cs="Arial" w:eastAsia="Arial" w:hAnsi="Arial"/>
                <w:sz w:val="18"/>
                <w:szCs w:val="18"/>
                <w:color w:val="auto"/>
              </w:rPr>
              <w:t>Commercial real estate</w:t>
            </w: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w w:val="94"/>
              </w:rPr>
              <w:t>1,852,506</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706,144</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170,445</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183,871</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w w:val="94"/>
              </w:rPr>
              <w:t>2,912,966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Real estate construction</w:t>
            </w: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203,218</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107,708</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56,489</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55,218</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422,633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40" w:type="dxa"/>
            <w:vAlign w:val="bottom"/>
          </w:tcPr>
          <w:p>
            <w:pPr>
              <w:spacing w:after="0" w:line="202" w:lineRule="exact"/>
              <w:rPr>
                <w:sz w:val="20"/>
                <w:szCs w:val="20"/>
                <w:color w:val="auto"/>
              </w:rPr>
            </w:pPr>
            <w:r>
              <w:rPr>
                <w:rFonts w:ascii="Arial" w:cs="Arial" w:eastAsia="Arial" w:hAnsi="Arial"/>
                <w:sz w:val="18"/>
                <w:szCs w:val="18"/>
                <w:color w:val="auto"/>
              </w:rPr>
              <w:t>Retail real estate</w:t>
            </w: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934,607</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262,000</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94,676</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52,016</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w w:val="94"/>
              </w:rPr>
              <w:t>1,343,299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Retail other</w:t>
            </w:r>
          </w:p>
        </w:tc>
        <w:tc>
          <w:tcPr>
            <w:tcW w:w="9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27,961</w:t>
            </w:r>
          </w:p>
        </w:tc>
        <w:tc>
          <w:tcPr>
            <w:tcW w:w="1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2,220</w:t>
            </w:r>
          </w:p>
        </w:tc>
        <w:tc>
          <w:tcPr>
            <w:tcW w:w="1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1,508</w:t>
            </w:r>
          </w:p>
        </w:tc>
        <w:tc>
          <w:tcPr>
            <w:tcW w:w="1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1,342</w:t>
            </w: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33,031</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640" w:type="dxa"/>
            <w:vAlign w:val="bottom"/>
            <w:tcBorders>
              <w:bottom w:val="single" w:sz="8" w:color="CCEEFF"/>
            </w:tcBorders>
          </w:tcPr>
          <w:p>
            <w:pPr>
              <w:ind w:left="200"/>
              <w:spacing w:after="0" w:line="196" w:lineRule="exact"/>
              <w:rPr>
                <w:sz w:val="20"/>
                <w:szCs w:val="20"/>
                <w:color w:val="auto"/>
              </w:rPr>
            </w:pPr>
            <w:r>
              <w:rPr>
                <w:rFonts w:ascii="Arial" w:cs="Arial" w:eastAsia="Arial" w:hAnsi="Arial"/>
                <w:sz w:val="18"/>
                <w:szCs w:val="18"/>
                <w:color w:val="auto"/>
              </w:rPr>
              <w:t>Portfolio loans</w:t>
            </w:r>
          </w:p>
        </w:tc>
        <w:tc>
          <w:tcPr>
            <w:tcW w:w="9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4"/>
              </w:rPr>
              <w:t>4,442,358</w:t>
            </w: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2"/>
              </w:rPr>
              <w:t>1,597,396</w:t>
            </w:r>
          </w:p>
        </w:tc>
        <w:tc>
          <w:tcPr>
            <w:tcW w:w="1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395,858</w:t>
            </w: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343,688</w:t>
            </w:r>
          </w:p>
        </w:tc>
        <w:tc>
          <w:tcPr>
            <w:tcW w:w="16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CCEEFF"/>
            </w:tcBorders>
          </w:tcPr>
          <w:p>
            <w:pPr>
              <w:jc w:val="right"/>
              <w:spacing w:after="0" w:line="196" w:lineRule="exact"/>
              <w:rPr>
                <w:sz w:val="20"/>
                <w:szCs w:val="20"/>
                <w:color w:val="auto"/>
              </w:rPr>
            </w:pPr>
            <w:r>
              <w:rPr>
                <w:rFonts w:ascii="Arial" w:cs="Arial" w:eastAsia="Arial" w:hAnsi="Arial"/>
                <w:sz w:val="18"/>
                <w:szCs w:val="18"/>
                <w:color w:val="auto"/>
                <w:w w:val="94"/>
              </w:rPr>
              <w:t>6,779,300</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26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64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ACL</w:t>
            </w:r>
          </w:p>
        </w:tc>
        <w:tc>
          <w:tcPr>
            <w:tcW w:w="9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82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76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76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(93,943)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640" w:type="dxa"/>
            <w:vAlign w:val="bottom"/>
            <w:tcBorders>
              <w:bottom w:val="single" w:sz="8" w:color="CCEEFF"/>
            </w:tcBorders>
            <w:shd w:val="clear" w:color="auto" w:fill="CCEEFF"/>
          </w:tcPr>
          <w:p>
            <w:pPr>
              <w:ind w:left="200"/>
              <w:spacing w:after="0" w:line="196" w:lineRule="exact"/>
              <w:rPr>
                <w:sz w:val="20"/>
                <w:szCs w:val="20"/>
                <w:color w:val="auto"/>
              </w:rPr>
            </w:pPr>
            <w:r>
              <w:rPr>
                <w:rFonts w:ascii="Arial" w:cs="Arial" w:eastAsia="Arial" w:hAnsi="Arial"/>
                <w:sz w:val="18"/>
                <w:szCs w:val="18"/>
                <w:color w:val="auto"/>
              </w:rPr>
              <w:t>Portfolio loans, net</w:t>
            </w:r>
          </w:p>
        </w:tc>
        <w:tc>
          <w:tcPr>
            <w:tcW w:w="9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6,685,357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0" w:type="dxa"/>
            <w:vAlign w:val="bottom"/>
            <w:gridSpan w:val="4"/>
            <w:vMerge w:val="restart"/>
          </w:tcPr>
          <w:p>
            <w:pPr>
              <w:jc w:val="center"/>
              <w:ind w:right="40"/>
              <w:spacing w:after="0"/>
              <w:rPr>
                <w:sz w:val="20"/>
                <w:szCs w:val="20"/>
                <w:color w:val="auto"/>
              </w:rPr>
            </w:pPr>
            <w:r>
              <w:rPr>
                <w:rFonts w:ascii="Arial" w:cs="Arial" w:eastAsia="Arial" w:hAnsi="Arial"/>
                <w:sz w:val="14"/>
                <w:szCs w:val="14"/>
                <w:b w:val="1"/>
                <w:bCs w:val="1"/>
                <w:color w:val="auto"/>
                <w:w w:val="91"/>
              </w:rPr>
              <w:t>December 31, 2020</w:t>
            </w: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4"/>
            <w:vMerge w:val="continue"/>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right"/>
              <w:ind w:right="193"/>
              <w:spacing w:after="0" w:line="155" w:lineRule="exact"/>
              <w:rPr>
                <w:sz w:val="20"/>
                <w:szCs w:val="20"/>
                <w:color w:val="auto"/>
              </w:rPr>
            </w:pPr>
            <w:r>
              <w:rPr>
                <w:rFonts w:ascii="Arial" w:cs="Arial" w:eastAsia="Arial" w:hAnsi="Arial"/>
                <w:sz w:val="14"/>
                <w:szCs w:val="14"/>
                <w:b w:val="1"/>
                <w:bCs w:val="1"/>
                <w:color w:val="auto"/>
              </w:rPr>
              <w:t>Illinois</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jc w:val="right"/>
              <w:ind w:right="133"/>
              <w:spacing w:after="0" w:line="155" w:lineRule="exact"/>
              <w:rPr>
                <w:sz w:val="20"/>
                <w:szCs w:val="20"/>
                <w:color w:val="auto"/>
              </w:rPr>
            </w:pPr>
            <w:r>
              <w:rPr>
                <w:rFonts w:ascii="Arial" w:cs="Arial" w:eastAsia="Arial" w:hAnsi="Arial"/>
                <w:sz w:val="14"/>
                <w:szCs w:val="14"/>
                <w:b w:val="1"/>
                <w:bCs w:val="1"/>
                <w:color w:val="auto"/>
              </w:rPr>
              <w:t>Missouri</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tcPr>
          <w:p>
            <w:pPr>
              <w:jc w:val="center"/>
              <w:ind w:right="320"/>
              <w:spacing w:after="0" w:line="155" w:lineRule="exact"/>
              <w:rPr>
                <w:sz w:val="20"/>
                <w:szCs w:val="20"/>
                <w:color w:val="auto"/>
              </w:rPr>
            </w:pPr>
            <w:r>
              <w:rPr>
                <w:rFonts w:ascii="Arial" w:cs="Arial" w:eastAsia="Arial" w:hAnsi="Arial"/>
                <w:sz w:val="14"/>
                <w:szCs w:val="14"/>
                <w:b w:val="1"/>
                <w:bCs w:val="1"/>
                <w:color w:val="auto"/>
                <w:w w:val="98"/>
              </w:rPr>
              <w:t>Florida</w:t>
            </w:r>
          </w:p>
        </w:tc>
        <w:tc>
          <w:tcPr>
            <w:tcW w:w="140" w:type="dxa"/>
            <w:vAlign w:val="bottom"/>
          </w:tcPr>
          <w:p>
            <w:pPr>
              <w:spacing w:after="0"/>
              <w:rPr>
                <w:sz w:val="13"/>
                <w:szCs w:val="13"/>
                <w:color w:val="auto"/>
              </w:rPr>
            </w:pPr>
          </w:p>
        </w:tc>
        <w:tc>
          <w:tcPr>
            <w:tcW w:w="760" w:type="dxa"/>
            <w:vAlign w:val="bottom"/>
          </w:tcPr>
          <w:p>
            <w:pPr>
              <w:jc w:val="right"/>
              <w:ind w:right="133"/>
              <w:spacing w:after="0" w:line="155" w:lineRule="exact"/>
              <w:rPr>
                <w:sz w:val="20"/>
                <w:szCs w:val="20"/>
                <w:color w:val="auto"/>
              </w:rPr>
            </w:pPr>
            <w:r>
              <w:rPr>
                <w:rFonts w:ascii="Arial" w:cs="Arial" w:eastAsia="Arial" w:hAnsi="Arial"/>
                <w:sz w:val="14"/>
                <w:szCs w:val="14"/>
                <w:b w:val="1"/>
                <w:bCs w:val="1"/>
                <w:color w:val="auto"/>
              </w:rPr>
              <w:t>Indiana</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right"/>
              <w:ind w:right="252"/>
              <w:spacing w:after="0" w:line="15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6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Commercial</w:t>
            </w:r>
          </w:p>
        </w:tc>
        <w:tc>
          <w:tcPr>
            <w:tcW w:w="9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1,386,587</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529,281</w:t>
            </w: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50,878</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47,830</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2,014,576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40" w:type="dxa"/>
            <w:vAlign w:val="bottom"/>
          </w:tcPr>
          <w:p>
            <w:pPr>
              <w:spacing w:after="0" w:line="202" w:lineRule="exact"/>
              <w:rPr>
                <w:sz w:val="20"/>
                <w:szCs w:val="20"/>
                <w:color w:val="auto"/>
              </w:rPr>
            </w:pPr>
            <w:r>
              <w:rPr>
                <w:rFonts w:ascii="Arial" w:cs="Arial" w:eastAsia="Arial" w:hAnsi="Arial"/>
                <w:sz w:val="18"/>
                <w:szCs w:val="18"/>
                <w:color w:val="auto"/>
              </w:rPr>
              <w:t>Commercial real estate</w:t>
            </w: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w w:val="94"/>
              </w:rPr>
              <w:t>1,880,437</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715,680</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154,234</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142,184</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w w:val="94"/>
              </w:rPr>
              <w:t>2,892,535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Real estate construction</w:t>
            </w: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192,971</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115,227</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57,381</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96,207</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461,786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40" w:type="dxa"/>
            <w:vAlign w:val="bottom"/>
          </w:tcPr>
          <w:p>
            <w:pPr>
              <w:spacing w:after="0" w:line="202" w:lineRule="exact"/>
              <w:rPr>
                <w:sz w:val="20"/>
                <w:szCs w:val="20"/>
                <w:color w:val="auto"/>
              </w:rPr>
            </w:pPr>
            <w:r>
              <w:rPr>
                <w:rFonts w:ascii="Arial" w:cs="Arial" w:eastAsia="Arial" w:hAnsi="Arial"/>
                <w:sz w:val="18"/>
                <w:szCs w:val="18"/>
                <w:color w:val="auto"/>
              </w:rPr>
              <w:t>Retail real estate</w:t>
            </w: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963,538</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295,352</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94,748</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54,214</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w w:val="94"/>
              </w:rPr>
              <w:t>1,407,852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Retail other</w:t>
            </w:r>
          </w:p>
        </w:tc>
        <w:tc>
          <w:tcPr>
            <w:tcW w:w="9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32,678</w:t>
            </w:r>
          </w:p>
        </w:tc>
        <w:tc>
          <w:tcPr>
            <w:tcW w:w="1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2,415</w:t>
            </w:r>
          </w:p>
        </w:tc>
        <w:tc>
          <w:tcPr>
            <w:tcW w:w="1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1,188</w:t>
            </w:r>
          </w:p>
        </w:tc>
        <w:tc>
          <w:tcPr>
            <w:tcW w:w="1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1,147</w:t>
            </w: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37,428</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640" w:type="dxa"/>
            <w:vAlign w:val="bottom"/>
            <w:tcBorders>
              <w:bottom w:val="single" w:sz="8" w:color="CCEEFF"/>
            </w:tcBorders>
          </w:tcPr>
          <w:p>
            <w:pPr>
              <w:ind w:left="200"/>
              <w:spacing w:after="0" w:line="196" w:lineRule="exact"/>
              <w:rPr>
                <w:sz w:val="20"/>
                <w:szCs w:val="20"/>
                <w:color w:val="auto"/>
              </w:rPr>
            </w:pPr>
            <w:r>
              <w:rPr>
                <w:rFonts w:ascii="Arial" w:cs="Arial" w:eastAsia="Arial" w:hAnsi="Arial"/>
                <w:sz w:val="18"/>
                <w:szCs w:val="18"/>
                <w:color w:val="auto"/>
              </w:rPr>
              <w:t>Portfolio loans</w:t>
            </w:r>
          </w:p>
        </w:tc>
        <w:tc>
          <w:tcPr>
            <w:tcW w:w="9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4"/>
              </w:rPr>
              <w:t>4,456,211</w:t>
            </w: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2"/>
              </w:rPr>
              <w:t>1,657,955</w:t>
            </w:r>
          </w:p>
        </w:tc>
        <w:tc>
          <w:tcPr>
            <w:tcW w:w="1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358,429</w:t>
            </w: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341,582</w:t>
            </w:r>
          </w:p>
        </w:tc>
        <w:tc>
          <w:tcPr>
            <w:tcW w:w="16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CCEEFF"/>
            </w:tcBorders>
          </w:tcPr>
          <w:p>
            <w:pPr>
              <w:jc w:val="right"/>
              <w:spacing w:after="0" w:line="196" w:lineRule="exact"/>
              <w:rPr>
                <w:sz w:val="20"/>
                <w:szCs w:val="20"/>
                <w:color w:val="auto"/>
              </w:rPr>
            </w:pPr>
            <w:r>
              <w:rPr>
                <w:rFonts w:ascii="Arial" w:cs="Arial" w:eastAsia="Arial" w:hAnsi="Arial"/>
                <w:sz w:val="18"/>
                <w:szCs w:val="18"/>
                <w:color w:val="auto"/>
                <w:w w:val="94"/>
              </w:rPr>
              <w:t>6,814,177</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26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64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ACL</w:t>
            </w:r>
          </w:p>
        </w:tc>
        <w:tc>
          <w:tcPr>
            <w:tcW w:w="9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82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76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76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(101,048)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640" w:type="dxa"/>
            <w:vAlign w:val="bottom"/>
            <w:tcBorders>
              <w:bottom w:val="single" w:sz="8" w:color="CCEEFF"/>
            </w:tcBorders>
            <w:shd w:val="clear" w:color="auto" w:fill="CCEEFF"/>
          </w:tcPr>
          <w:p>
            <w:pPr>
              <w:ind w:left="200"/>
              <w:spacing w:after="0" w:line="196" w:lineRule="exact"/>
              <w:rPr>
                <w:sz w:val="20"/>
                <w:szCs w:val="20"/>
                <w:color w:val="auto"/>
              </w:rPr>
            </w:pPr>
            <w:r>
              <w:rPr>
                <w:rFonts w:ascii="Arial" w:cs="Arial" w:eastAsia="Arial" w:hAnsi="Arial"/>
                <w:sz w:val="18"/>
                <w:szCs w:val="18"/>
                <w:color w:val="auto"/>
              </w:rPr>
              <w:t>Portfolio loans, net</w:t>
            </w:r>
          </w:p>
        </w:tc>
        <w:tc>
          <w:tcPr>
            <w:tcW w:w="9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6,713,129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60" w:right="259"/>
        <w:spacing w:after="0" w:line="259" w:lineRule="auto"/>
        <w:rPr>
          <w:sz w:val="20"/>
          <w:szCs w:val="20"/>
          <w:color w:val="auto"/>
        </w:rPr>
      </w:pPr>
      <w:r>
        <w:rPr>
          <w:rFonts w:ascii="Arial" w:cs="Arial" w:eastAsia="Arial" w:hAnsi="Arial"/>
          <w:sz w:val="17"/>
          <w:szCs w:val="17"/>
          <w:color w:val="auto"/>
        </w:rPr>
        <w:t>Portfolio loans decreased by 0.5% as of March 31, 2021, compared to December 31, 2020. Commercial balances (consisting of commercial, commercial real estate and real estate construction loans), excluding PPP loans, decreased $41.6 million from December 31, 2020. The Company’s commercial customer base is sound, and the majority of the decrease is related to line utilization. Retail real estate and retail other loans decreased $69.0 million from December 31, 2020. The retail real estate and retail other loans decrease is primarily a result of loan run-off.</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9" w:name="page50"/>
    <w:bookmarkEnd w:id="4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6"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Allowance and Provision for Credit Losses</w:t>
      </w:r>
    </w:p>
    <w:p>
      <w:pPr>
        <w:spacing w:after="0" w:line="198" w:lineRule="exact"/>
        <w:rPr>
          <w:sz w:val="20"/>
          <w:szCs w:val="20"/>
          <w:color w:val="auto"/>
        </w:rPr>
      </w:pPr>
    </w:p>
    <w:p>
      <w:pPr>
        <w:ind w:left="60" w:right="99"/>
        <w:spacing w:after="0" w:line="257" w:lineRule="auto"/>
        <w:rPr>
          <w:sz w:val="20"/>
          <w:szCs w:val="20"/>
          <w:color w:val="auto"/>
        </w:rPr>
      </w:pPr>
      <w:r>
        <w:rPr>
          <w:rFonts w:ascii="Arial" w:cs="Arial" w:eastAsia="Arial" w:hAnsi="Arial"/>
          <w:sz w:val="17"/>
          <w:szCs w:val="17"/>
          <w:color w:val="auto"/>
        </w:rPr>
        <w:t>The ACL is a significant estimate in the Company’s unaudited Consolidated Balance Sheets, affecting both earnings and capital. The methodology adopted influences, and is influenced by, Busey Bank’s overall credit risk management processes. The ACL is recorded in accordance with GAAP to provide an adequate reserve for expected credit losses that is reflective of management’s best estimate of what is expected to be collected. All estimates of credit losses should be based on a careful consideration of all significant factors affecting the collectability as of the evaluation date. The ACL is established through the provision for credit loss expense charged to income.</w:t>
      </w:r>
    </w:p>
    <w:p>
      <w:pPr>
        <w:spacing w:after="0" w:line="162" w:lineRule="exact"/>
        <w:rPr>
          <w:sz w:val="20"/>
          <w:szCs w:val="20"/>
          <w:color w:val="auto"/>
        </w:rPr>
      </w:pPr>
    </w:p>
    <w:p>
      <w:pPr>
        <w:ind w:left="60" w:right="99"/>
        <w:spacing w:after="0" w:line="241" w:lineRule="auto"/>
        <w:rPr>
          <w:sz w:val="20"/>
          <w:szCs w:val="20"/>
          <w:color w:val="auto"/>
        </w:rPr>
      </w:pPr>
      <w:r>
        <w:rPr>
          <w:rFonts w:ascii="Arial" w:cs="Arial" w:eastAsia="Arial" w:hAnsi="Arial"/>
          <w:sz w:val="18"/>
          <w:szCs w:val="18"/>
          <w:color w:val="auto"/>
        </w:rPr>
        <w:t>Provision for credit loss expense decreased by 139.5% due to a reserve release of ($6.8) million for the three months ended March 31, 2021, compared to a $17.2 million expense for the same period in 2020. As a result of continued strength in asset quality performance metrics, as well as improved macro-economic outlooks and unguaranteed loan balance declines, the first quarter 2021 results reflect a provision release, as compared to a reserve build at the onset of the COVID-19 pandemic in the first quarter of 2020.</w:t>
      </w:r>
    </w:p>
    <w:p>
      <w:pPr>
        <w:spacing w:after="0" w:line="176" w:lineRule="exact"/>
        <w:rPr>
          <w:sz w:val="20"/>
          <w:szCs w:val="20"/>
          <w:color w:val="auto"/>
        </w:rPr>
      </w:pPr>
    </w:p>
    <w:p>
      <w:pPr>
        <w:ind w:left="60" w:right="619"/>
        <w:spacing w:after="0" w:line="261" w:lineRule="auto"/>
        <w:rPr>
          <w:sz w:val="20"/>
          <w:szCs w:val="20"/>
          <w:color w:val="auto"/>
        </w:rPr>
      </w:pPr>
      <w:r>
        <w:rPr>
          <w:rFonts w:ascii="Arial" w:cs="Arial" w:eastAsia="Arial" w:hAnsi="Arial"/>
          <w:sz w:val="18"/>
          <w:szCs w:val="18"/>
          <w:color w:val="auto"/>
        </w:rPr>
        <w:t xml:space="preserve">The relationship between our portfolio loan balances and our ACL is summarized as follows, as of each of the dates indicated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33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1"/>
              </w:rPr>
              <w:t>As of</w:t>
            </w: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33"/>
        </w:trPr>
        <w:tc>
          <w:tcPr>
            <w:tcW w:w="3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ind w:left="40"/>
              <w:spacing w:after="0" w:line="133" w:lineRule="exact"/>
              <w:rPr>
                <w:sz w:val="20"/>
                <w:szCs w:val="20"/>
                <w:color w:val="auto"/>
              </w:rPr>
            </w:pPr>
            <w:r>
              <w:rPr>
                <w:rFonts w:ascii="Arial" w:cs="Arial" w:eastAsia="Arial" w:hAnsi="Arial"/>
                <w:sz w:val="14"/>
                <w:szCs w:val="14"/>
                <w:b w:val="1"/>
                <w:bCs w:val="1"/>
                <w:color w:val="auto"/>
              </w:rPr>
              <w:t>March 31,</w:t>
            </w:r>
          </w:p>
        </w:tc>
        <w:tc>
          <w:tcPr>
            <w:tcW w:w="1120" w:type="dxa"/>
            <w:vAlign w:val="bottom"/>
            <w:gridSpan w:val="3"/>
          </w:tcPr>
          <w:p>
            <w:pPr>
              <w:ind w:left="60"/>
              <w:spacing w:after="0" w:line="133" w:lineRule="exact"/>
              <w:rPr>
                <w:sz w:val="20"/>
                <w:szCs w:val="20"/>
                <w:color w:val="auto"/>
              </w:rPr>
            </w:pPr>
            <w:r>
              <w:rPr>
                <w:rFonts w:ascii="Arial" w:cs="Arial" w:eastAsia="Arial" w:hAnsi="Arial"/>
                <w:sz w:val="14"/>
                <w:szCs w:val="14"/>
                <w:b w:val="1"/>
                <w:bCs w:val="1"/>
                <w:color w:val="auto"/>
              </w:rPr>
              <w:t>December 31,</w:t>
            </w:r>
          </w:p>
        </w:tc>
        <w:tc>
          <w:tcPr>
            <w:tcW w:w="1120" w:type="dxa"/>
            <w:vAlign w:val="bottom"/>
            <w:gridSpan w:val="3"/>
          </w:tcPr>
          <w:p>
            <w:pPr>
              <w:jc w:val="center"/>
              <w:ind w:right="160"/>
              <w:spacing w:after="0" w:line="133" w:lineRule="exact"/>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1"/>
                <w:szCs w:val="11"/>
                <w:color w:val="auto"/>
              </w:rPr>
            </w:pPr>
          </w:p>
        </w:tc>
        <w:tc>
          <w:tcPr>
            <w:tcW w:w="980" w:type="dxa"/>
            <w:vAlign w:val="bottom"/>
            <w:gridSpan w:val="2"/>
          </w:tcPr>
          <w:p>
            <w:pPr>
              <w:ind w:left="80"/>
              <w:spacing w:after="0" w:line="133" w:lineRule="exact"/>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1"/>
                <w:szCs w:val="11"/>
                <w:color w:val="auto"/>
              </w:rPr>
            </w:pPr>
          </w:p>
        </w:tc>
        <w:tc>
          <w:tcPr>
            <w:tcW w:w="840" w:type="dxa"/>
            <w:vAlign w:val="bottom"/>
          </w:tcPr>
          <w:p>
            <w:pPr>
              <w:jc w:val="right"/>
              <w:ind w:right="96"/>
              <w:spacing w:after="0" w:line="133" w:lineRule="exact"/>
              <w:rPr>
                <w:sz w:val="20"/>
                <w:szCs w:val="20"/>
                <w:color w:val="auto"/>
              </w:rPr>
            </w:pPr>
            <w:r>
              <w:rPr>
                <w:rFonts w:ascii="Arial" w:cs="Arial" w:eastAsia="Arial" w:hAnsi="Arial"/>
                <w:sz w:val="14"/>
                <w:szCs w:val="14"/>
                <w:b w:val="1"/>
                <w:bCs w:val="1"/>
                <w:color w:val="auto"/>
                <w:w w:val="99"/>
              </w:rPr>
              <w:t>March 31,</w:t>
            </w:r>
          </w:p>
        </w:tc>
        <w:tc>
          <w:tcPr>
            <w:tcW w:w="160" w:type="dxa"/>
            <w:vAlign w:val="bottom"/>
          </w:tcPr>
          <w:p>
            <w:pPr>
              <w:spacing w:after="0"/>
              <w:rPr>
                <w:sz w:val="11"/>
                <w:szCs w:val="11"/>
                <w:color w:val="auto"/>
              </w:rPr>
            </w:pPr>
          </w:p>
        </w:tc>
      </w:tr>
      <w:tr>
        <w:trPr>
          <w:trHeight w:val="185"/>
        </w:trPr>
        <w:tc>
          <w:tcPr>
            <w:tcW w:w="33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9"/>
              </w:rPr>
              <w:t>2020</w:t>
            </w:r>
          </w:p>
        </w:tc>
        <w:tc>
          <w:tcPr>
            <w:tcW w:w="1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6"/>
                <w:szCs w:val="16"/>
                <w:color w:val="auto"/>
              </w:rPr>
            </w:pPr>
          </w:p>
        </w:tc>
      </w:tr>
      <w:tr>
        <w:trPr>
          <w:trHeight w:val="196"/>
        </w:trPr>
        <w:tc>
          <w:tcPr>
            <w:tcW w:w="33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Portfolio loans, excluding PPP loans</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6,257,196</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2"/>
              </w:rPr>
              <w:t>6,367,774</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6,384,916</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6,499,734</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6,745,499</w:t>
            </w:r>
          </w:p>
        </w:tc>
        <w:tc>
          <w:tcPr>
            <w:tcW w:w="160" w:type="dxa"/>
            <w:vAlign w:val="bottom"/>
            <w:shd w:val="clear" w:color="auto" w:fill="CCEEFF"/>
          </w:tcPr>
          <w:p>
            <w:pPr>
              <w:spacing w:after="0"/>
              <w:rPr>
                <w:sz w:val="17"/>
                <w:szCs w:val="17"/>
                <w:color w:val="auto"/>
              </w:rPr>
            </w:pPr>
          </w:p>
        </w:tc>
      </w:tr>
      <w:tr>
        <w:trPr>
          <w:trHeight w:val="203"/>
        </w:trPr>
        <w:tc>
          <w:tcPr>
            <w:tcW w:w="3300" w:type="dxa"/>
            <w:vAlign w:val="bottom"/>
          </w:tcPr>
          <w:p>
            <w:pPr>
              <w:ind w:left="20"/>
              <w:spacing w:after="0" w:line="202" w:lineRule="exact"/>
              <w:rPr>
                <w:sz w:val="20"/>
                <w:szCs w:val="20"/>
                <w:color w:val="auto"/>
              </w:rPr>
            </w:pPr>
            <w:r>
              <w:rPr>
                <w:rFonts w:ascii="Arial" w:cs="Arial" w:eastAsia="Arial" w:hAnsi="Arial"/>
                <w:sz w:val="18"/>
                <w:szCs w:val="18"/>
                <w:color w:val="auto"/>
              </w:rPr>
              <w:t>PPP loans, amortized cost</w:t>
            </w:r>
          </w:p>
        </w:tc>
        <w:tc>
          <w:tcPr>
            <w:tcW w:w="1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522,104</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446,403</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736,395</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729,286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r>
      <w:tr>
        <w:trPr>
          <w:trHeight w:val="196"/>
        </w:trPr>
        <w:tc>
          <w:tcPr>
            <w:tcW w:w="3300" w:type="dxa"/>
            <w:vAlign w:val="bottom"/>
            <w:tcBorders>
              <w:top w:val="single" w:sz="8" w:color="CCEEFF"/>
              <w:bottom w:val="single" w:sz="8" w:color="CCEEFF"/>
            </w:tcBorders>
            <w:shd w:val="clear" w:color="auto" w:fill="CCEEFF"/>
          </w:tcPr>
          <w:p>
            <w:pPr>
              <w:ind w:left="220"/>
              <w:spacing w:after="0" w:line="196" w:lineRule="exact"/>
              <w:rPr>
                <w:sz w:val="20"/>
                <w:szCs w:val="20"/>
                <w:color w:val="auto"/>
              </w:rPr>
            </w:pPr>
            <w:r>
              <w:rPr>
                <w:rFonts w:ascii="Arial" w:cs="Arial" w:eastAsia="Arial" w:hAnsi="Arial"/>
                <w:sz w:val="18"/>
                <w:szCs w:val="18"/>
                <w:color w:val="auto"/>
              </w:rPr>
              <w:t>Portfolio loans</w:t>
            </w: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6,779,300</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2"/>
              </w:rPr>
              <w:t>6,814,177</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7,121,311</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7,229,020</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6,745,499</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3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83"/>
        </w:trPr>
        <w:tc>
          <w:tcPr>
            <w:tcW w:w="3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03"/>
        </w:trPr>
        <w:tc>
          <w:tcPr>
            <w:tcW w:w="33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ACL</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93,943</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101,048</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98,841</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96,046</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84,384</w:t>
            </w:r>
          </w:p>
        </w:tc>
        <w:tc>
          <w:tcPr>
            <w:tcW w:w="160" w:type="dxa"/>
            <w:vAlign w:val="bottom"/>
            <w:shd w:val="clear" w:color="auto" w:fill="CCEEFF"/>
          </w:tcPr>
          <w:p>
            <w:pPr>
              <w:spacing w:after="0"/>
              <w:rPr>
                <w:sz w:val="17"/>
                <w:szCs w:val="17"/>
                <w:color w:val="auto"/>
              </w:rPr>
            </w:pPr>
          </w:p>
        </w:tc>
      </w:tr>
    </w:tbl>
    <w:p>
      <w:pPr>
        <w:spacing w:after="0" w:line="198"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ACL to portfolio loans</w:t>
            </w:r>
          </w:p>
        </w:tc>
        <w:tc>
          <w:tcPr>
            <w:tcW w:w="1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1.39 %</w:t>
            </w:r>
          </w:p>
        </w:tc>
        <w:tc>
          <w:tcPr>
            <w:tcW w:w="11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1.48 %</w:t>
            </w:r>
          </w:p>
        </w:tc>
        <w:tc>
          <w:tcPr>
            <w:tcW w:w="11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1.39 %</w:t>
            </w:r>
          </w:p>
        </w:tc>
        <w:tc>
          <w:tcPr>
            <w:tcW w:w="11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1.33 %</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1.25 %</w:t>
            </w:r>
          </w:p>
        </w:tc>
      </w:tr>
      <w:tr>
        <w:trPr>
          <w:trHeight w:val="188"/>
        </w:trPr>
        <w:tc>
          <w:tcPr>
            <w:tcW w:w="3260" w:type="dxa"/>
            <w:vAlign w:val="bottom"/>
          </w:tcPr>
          <w:p>
            <w:pPr>
              <w:ind w:left="20"/>
              <w:spacing w:after="0" w:line="189" w:lineRule="exact"/>
              <w:rPr>
                <w:sz w:val="20"/>
                <w:szCs w:val="20"/>
                <w:color w:val="auto"/>
              </w:rPr>
            </w:pPr>
            <w:r>
              <w:rPr>
                <w:rFonts w:ascii="Arial" w:cs="Arial" w:eastAsia="Arial" w:hAnsi="Arial"/>
                <w:sz w:val="18"/>
                <w:szCs w:val="18"/>
                <w:color w:val="auto"/>
              </w:rPr>
              <w:t>ACL to portfolio loans, excluding PPP</w:t>
            </w:r>
          </w:p>
        </w:tc>
        <w:tc>
          <w:tcPr>
            <w:tcW w:w="1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7"/>
        </w:trPr>
        <w:tc>
          <w:tcPr>
            <w:tcW w:w="3260" w:type="dxa"/>
            <w:vAlign w:val="bottom"/>
          </w:tcPr>
          <w:p>
            <w:pPr>
              <w:ind w:left="20"/>
              <w:spacing w:after="0"/>
              <w:rPr>
                <w:sz w:val="20"/>
                <w:szCs w:val="20"/>
                <w:color w:val="auto"/>
              </w:rPr>
            </w:pPr>
            <w:r>
              <w:rPr>
                <w:rFonts w:ascii="Arial" w:cs="Arial" w:eastAsia="Arial" w:hAnsi="Arial"/>
                <w:sz w:val="18"/>
                <w:szCs w:val="18"/>
                <w:color w:val="auto"/>
              </w:rPr>
              <w:t>loans</w:t>
            </w:r>
          </w:p>
        </w:tc>
        <w:tc>
          <w:tcPr>
            <w:tcW w:w="1360" w:type="dxa"/>
            <w:vAlign w:val="bottom"/>
          </w:tcPr>
          <w:p>
            <w:pPr>
              <w:jc w:val="right"/>
              <w:ind w:right="110"/>
              <w:spacing w:after="0"/>
              <w:rPr>
                <w:sz w:val="20"/>
                <w:szCs w:val="20"/>
                <w:color w:val="auto"/>
              </w:rPr>
            </w:pPr>
            <w:r>
              <w:rPr>
                <w:rFonts w:ascii="Arial" w:cs="Arial" w:eastAsia="Arial" w:hAnsi="Arial"/>
                <w:sz w:val="18"/>
                <w:szCs w:val="18"/>
                <w:color w:val="auto"/>
              </w:rPr>
              <w:t>1.50 %</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1.59 %</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1.55 %</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1.48 %</w:t>
            </w:r>
          </w:p>
        </w:tc>
        <w:tc>
          <w:tcPr>
            <w:tcW w:w="920" w:type="dxa"/>
            <w:vAlign w:val="bottom"/>
          </w:tcPr>
          <w:p>
            <w:pPr>
              <w:jc w:val="right"/>
              <w:spacing w:after="0"/>
              <w:rPr>
                <w:sz w:val="20"/>
                <w:szCs w:val="20"/>
                <w:color w:val="auto"/>
              </w:rPr>
            </w:pPr>
            <w:r>
              <w:rPr>
                <w:rFonts w:ascii="Arial" w:cs="Arial" w:eastAsia="Arial" w:hAnsi="Arial"/>
                <w:sz w:val="18"/>
                <w:szCs w:val="18"/>
                <w:color w:val="auto"/>
              </w:rPr>
              <w:t>1.25 %</w:t>
            </w:r>
          </w:p>
        </w:tc>
      </w:tr>
      <w:tr>
        <w:trPr>
          <w:trHeight w:val="203"/>
        </w:trPr>
        <w:tc>
          <w:tcPr>
            <w:tcW w:w="32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ACL to non-performing loans</w:t>
            </w:r>
          </w:p>
        </w:tc>
        <w:tc>
          <w:tcPr>
            <w:tcW w:w="136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411.04 %</w:t>
            </w:r>
          </w:p>
        </w:tc>
        <w:tc>
          <w:tcPr>
            <w:tcW w:w="112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415.82 %</w:t>
            </w:r>
          </w:p>
        </w:tc>
        <w:tc>
          <w:tcPr>
            <w:tcW w:w="112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408.82 %</w:t>
            </w:r>
          </w:p>
        </w:tc>
        <w:tc>
          <w:tcPr>
            <w:tcW w:w="112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378.43 %</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310.10 %</w:t>
            </w:r>
          </w:p>
        </w:tc>
      </w:tr>
      <w:tr>
        <w:trPr>
          <w:trHeight w:val="230"/>
        </w:trPr>
        <w:tc>
          <w:tcPr>
            <w:tcW w:w="3260" w:type="dxa"/>
            <w:vAlign w:val="bottom"/>
          </w:tcPr>
          <w:p>
            <w:pPr>
              <w:ind w:left="20"/>
              <w:spacing w:after="0"/>
              <w:rPr>
                <w:sz w:val="20"/>
                <w:szCs w:val="20"/>
                <w:color w:val="auto"/>
              </w:rPr>
            </w:pPr>
            <w:r>
              <w:rPr>
                <w:rFonts w:ascii="Arial" w:cs="Arial" w:eastAsia="Arial" w:hAnsi="Arial"/>
                <w:sz w:val="18"/>
                <w:szCs w:val="18"/>
                <w:color w:val="auto"/>
              </w:rPr>
              <w:t>ACL to non-performing assets</w:t>
            </w:r>
          </w:p>
        </w:tc>
        <w:tc>
          <w:tcPr>
            <w:tcW w:w="1360" w:type="dxa"/>
            <w:vAlign w:val="bottom"/>
          </w:tcPr>
          <w:p>
            <w:pPr>
              <w:jc w:val="right"/>
              <w:ind w:right="110"/>
              <w:spacing w:after="0"/>
              <w:rPr>
                <w:sz w:val="20"/>
                <w:szCs w:val="20"/>
                <w:color w:val="auto"/>
              </w:rPr>
            </w:pPr>
            <w:r>
              <w:rPr>
                <w:rFonts w:ascii="Arial" w:cs="Arial" w:eastAsia="Arial" w:hAnsi="Arial"/>
                <w:sz w:val="18"/>
                <w:szCs w:val="18"/>
                <w:color w:val="auto"/>
              </w:rPr>
              <w:t>346.05 %</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349.99 %</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339.02 %</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329.66 %</w:t>
            </w:r>
          </w:p>
        </w:tc>
        <w:tc>
          <w:tcPr>
            <w:tcW w:w="920" w:type="dxa"/>
            <w:vAlign w:val="bottom"/>
          </w:tcPr>
          <w:p>
            <w:pPr>
              <w:jc w:val="right"/>
              <w:spacing w:after="0"/>
              <w:rPr>
                <w:sz w:val="20"/>
                <w:szCs w:val="20"/>
                <w:color w:val="auto"/>
              </w:rPr>
            </w:pPr>
            <w:r>
              <w:rPr>
                <w:rFonts w:ascii="Arial" w:cs="Arial" w:eastAsia="Arial" w:hAnsi="Arial"/>
                <w:sz w:val="18"/>
                <w:szCs w:val="18"/>
                <w:color w:val="auto"/>
              </w:rPr>
              <w:t>274.29 %</w:t>
            </w:r>
          </w:p>
        </w:tc>
      </w:tr>
    </w:tbl>
    <w:p>
      <w:pPr>
        <w:spacing w:after="0" w:line="160" w:lineRule="exact"/>
        <w:rPr>
          <w:sz w:val="20"/>
          <w:szCs w:val="20"/>
          <w:color w:val="auto"/>
        </w:rPr>
      </w:pPr>
    </w:p>
    <w:p>
      <w:pPr>
        <w:ind w:left="60" w:right="119"/>
        <w:spacing w:after="0" w:line="262" w:lineRule="auto"/>
        <w:rPr>
          <w:sz w:val="20"/>
          <w:szCs w:val="20"/>
          <w:color w:val="auto"/>
        </w:rPr>
      </w:pPr>
      <w:r>
        <w:rPr>
          <w:rFonts w:ascii="Arial" w:cs="Arial" w:eastAsia="Arial" w:hAnsi="Arial"/>
          <w:sz w:val="17"/>
          <w:szCs w:val="17"/>
          <w:color w:val="auto"/>
        </w:rPr>
        <w:t>As of March 31, 2021, management believed the level of the ACL to be appropriate based upon the information available. However, additional losses may be identified in our loan portfolio as new information is obtained. The ongoing impacts of CECL will be dependent upon changes in economic conditions and forecasts, originated and acquired loan portfolio composition, credit performance trends, portfolio duration, and other factors.</w:t>
      </w:r>
    </w:p>
    <w:p>
      <w:pPr>
        <w:spacing w:after="0" w:line="15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Non-performing Loans and Non-performing Assets</w:t>
      </w:r>
    </w:p>
    <w:p>
      <w:pPr>
        <w:spacing w:after="0" w:line="198" w:lineRule="exact"/>
        <w:rPr>
          <w:sz w:val="20"/>
          <w:szCs w:val="20"/>
          <w:color w:val="auto"/>
        </w:rPr>
      </w:pPr>
    </w:p>
    <w:p>
      <w:pPr>
        <w:ind w:left="60" w:right="139"/>
        <w:spacing w:after="0" w:line="279" w:lineRule="auto"/>
        <w:rPr>
          <w:sz w:val="20"/>
          <w:szCs w:val="20"/>
          <w:color w:val="auto"/>
        </w:rPr>
      </w:pPr>
      <w:r>
        <w:rPr>
          <w:rFonts w:ascii="Arial" w:cs="Arial" w:eastAsia="Arial" w:hAnsi="Arial"/>
          <w:sz w:val="16"/>
          <w:szCs w:val="16"/>
          <w:color w:val="auto"/>
        </w:rPr>
        <w:t>Loans are considered past due if the required principal and interest payments have not been received as of the date such payments were due. Loans are placed on non-accrual status when, in management’s opinion, the borrower may be unable to meet payment obligations as they become due, as well as when required by regulatory guidelines. Loans may be placed on non-accrual status regardless of whether or not such loans are considered past due. Loans are returned to accrual status when all principal and interest amounts contractually due are brought current and future payments are reasonably assured.</w:t>
      </w:r>
    </w:p>
    <w:p>
      <w:pPr>
        <w:spacing w:after="0" w:line="146" w:lineRule="exact"/>
        <w:rPr>
          <w:sz w:val="20"/>
          <w:szCs w:val="20"/>
          <w:color w:val="auto"/>
        </w:rPr>
      </w:pPr>
    </w:p>
    <w:p>
      <w:pPr>
        <w:ind w:left="60" w:right="179"/>
        <w:spacing w:after="0" w:line="270" w:lineRule="auto"/>
        <w:rPr>
          <w:sz w:val="20"/>
          <w:szCs w:val="20"/>
          <w:color w:val="auto"/>
        </w:rPr>
      </w:pPr>
      <w:r>
        <w:rPr>
          <w:rFonts w:ascii="Arial" w:cs="Arial" w:eastAsia="Arial" w:hAnsi="Arial"/>
          <w:sz w:val="17"/>
          <w:szCs w:val="17"/>
          <w:color w:val="auto"/>
        </w:rPr>
        <w:t>Typically, loans are secured by collateral. When a loan is classified as non-accrual and determined to be collateral dependent, it is appropriately reserved or charged down through the ACL to the fair value of our interest in the underlying collateral less estimated costs to sell. Our loan portfolio is collateralized primarily by real estate.</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0" w:name="page51"/>
    <w:bookmarkEnd w:id="5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6" w:lineRule="exact"/>
        <w:rPr>
          <w:sz w:val="20"/>
          <w:szCs w:val="20"/>
          <w:color w:val="auto"/>
        </w:rPr>
      </w:pPr>
    </w:p>
    <w:p>
      <w:pPr>
        <w:ind w:left="60" w:right="199"/>
        <w:spacing w:after="0" w:line="247" w:lineRule="auto"/>
        <w:rPr>
          <w:sz w:val="20"/>
          <w:szCs w:val="20"/>
          <w:color w:val="auto"/>
        </w:rPr>
      </w:pPr>
      <w:r>
        <w:rPr>
          <w:rFonts w:ascii="Arial" w:cs="Arial" w:eastAsia="Arial" w:hAnsi="Arial"/>
          <w:sz w:val="18"/>
          <w:szCs w:val="18"/>
          <w:color w:val="auto"/>
        </w:rPr>
        <w:t xml:space="preserve">The following table sets forth information concerning non-performing loans and performing restructured loans, as of each of the dates indicated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tbl>
      <w:tblPr>
        <w:tblLayout w:type="fixed"/>
        <w:tblInd w:w="6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As of</w:t>
            </w: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jc w:val="right"/>
              <w:spacing w:after="0" w:line="133" w:lineRule="exact"/>
              <w:rPr>
                <w:sz w:val="20"/>
                <w:szCs w:val="20"/>
                <w:color w:val="auto"/>
              </w:rPr>
            </w:pPr>
            <w:r>
              <w:rPr>
                <w:rFonts w:ascii="Arial" w:cs="Arial" w:eastAsia="Arial" w:hAnsi="Arial"/>
                <w:sz w:val="14"/>
                <w:szCs w:val="14"/>
                <w:b w:val="1"/>
                <w:bCs w:val="1"/>
                <w:color w:val="auto"/>
                <w:w w:val="95"/>
              </w:rPr>
              <w:t>March 31,</w:t>
            </w:r>
          </w:p>
        </w:tc>
        <w:tc>
          <w:tcPr>
            <w:tcW w:w="16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1"/>
                <w:szCs w:val="11"/>
                <w:color w:val="auto"/>
              </w:rPr>
            </w:pPr>
          </w:p>
        </w:tc>
        <w:tc>
          <w:tcPr>
            <w:tcW w:w="920" w:type="dxa"/>
            <w:vAlign w:val="bottom"/>
            <w:gridSpan w:val="2"/>
          </w:tcPr>
          <w:p>
            <w:pPr>
              <w:jc w:val="right"/>
              <w:spacing w:after="0" w:line="133" w:lineRule="exact"/>
              <w:rPr>
                <w:sz w:val="20"/>
                <w:szCs w:val="20"/>
                <w:color w:val="auto"/>
              </w:rPr>
            </w:pPr>
            <w:r>
              <w:rPr>
                <w:rFonts w:ascii="Arial" w:cs="Arial" w:eastAsia="Arial" w:hAnsi="Arial"/>
                <w:sz w:val="14"/>
                <w:szCs w:val="14"/>
                <w:b w:val="1"/>
                <w:bCs w:val="1"/>
                <w:color w:val="auto"/>
                <w:w w:val="89"/>
              </w:rPr>
              <w:t>September 30,</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ind w:right="73"/>
              <w:spacing w:after="0" w:line="133" w:lineRule="exact"/>
              <w:rPr>
                <w:sz w:val="20"/>
                <w:szCs w:val="20"/>
                <w:color w:val="auto"/>
              </w:rPr>
            </w:pPr>
            <w:r>
              <w:rPr>
                <w:rFonts w:ascii="Arial" w:cs="Arial" w:eastAsia="Arial" w:hAnsi="Arial"/>
                <w:sz w:val="14"/>
                <w:szCs w:val="14"/>
                <w:b w:val="1"/>
                <w:bCs w:val="1"/>
                <w:color w:val="auto"/>
                <w:w w:val="92"/>
              </w:rPr>
              <w:t>June 30,</w:t>
            </w:r>
          </w:p>
        </w:tc>
        <w:tc>
          <w:tcPr>
            <w:tcW w:w="160" w:type="dxa"/>
            <w:vAlign w:val="bottom"/>
          </w:tcPr>
          <w:p>
            <w:pPr>
              <w:spacing w:after="0"/>
              <w:rPr>
                <w:sz w:val="11"/>
                <w:szCs w:val="11"/>
                <w:color w:val="auto"/>
              </w:rPr>
            </w:pPr>
          </w:p>
        </w:tc>
        <w:tc>
          <w:tcPr>
            <w:tcW w:w="820" w:type="dxa"/>
            <w:vAlign w:val="bottom"/>
            <w:gridSpan w:val="2"/>
          </w:tcPr>
          <w:p>
            <w:pPr>
              <w:jc w:val="right"/>
              <w:ind w:right="32"/>
              <w:spacing w:after="0" w:line="133" w:lineRule="exact"/>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76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Loans 30 – 89 days past due</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9,929</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7,578</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6,708</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5,166</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10,150</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3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Non-accrual loans</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0"/>
              </w:rPr>
              <w:t>21,706</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22,930</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23,898</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25,095</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25,672</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Loans 90+ days past due and still accruing</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1,149</w:t>
            </w: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1,371</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279</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285</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1,540</w:t>
            </w:r>
          </w:p>
        </w:tc>
        <w:tc>
          <w:tcPr>
            <w:tcW w:w="1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60" w:type="dxa"/>
            <w:vAlign w:val="bottom"/>
            <w:shd w:val="clear" w:color="auto" w:fill="CCEEFF"/>
          </w:tcPr>
          <w:p>
            <w:pPr>
              <w:ind w:left="200"/>
              <w:spacing w:after="0" w:line="196" w:lineRule="exact"/>
              <w:rPr>
                <w:sz w:val="20"/>
                <w:szCs w:val="20"/>
                <w:color w:val="auto"/>
              </w:rPr>
            </w:pPr>
            <w:r>
              <w:rPr>
                <w:rFonts w:ascii="Arial" w:cs="Arial" w:eastAsia="Arial" w:hAnsi="Arial"/>
                <w:sz w:val="18"/>
                <w:szCs w:val="18"/>
                <w:color w:val="auto"/>
              </w:rPr>
              <w:t>Non-performing loans</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0"/>
              </w:rPr>
              <w:t>22,855</w:t>
            </w:r>
          </w:p>
        </w:tc>
        <w:tc>
          <w:tcPr>
            <w:tcW w:w="1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24,301</w:t>
            </w:r>
          </w:p>
        </w:tc>
        <w:tc>
          <w:tcPr>
            <w:tcW w:w="1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24,177</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25,380</w:t>
            </w: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27,212</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3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OREO</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4,292</w:t>
            </w:r>
          </w:p>
        </w:tc>
        <w:tc>
          <w:tcPr>
            <w:tcW w:w="1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4,571</w:t>
            </w:r>
          </w:p>
        </w:tc>
        <w:tc>
          <w:tcPr>
            <w:tcW w:w="1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4,978</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3,755</w:t>
            </w: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3,553</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60" w:type="dxa"/>
            <w:vAlign w:val="bottom"/>
            <w:tcBorders>
              <w:bottom w:val="single" w:sz="8" w:color="CCEEFF"/>
            </w:tcBorders>
          </w:tcPr>
          <w:p>
            <w:pPr>
              <w:ind w:left="200"/>
              <w:spacing w:after="0" w:line="196" w:lineRule="exact"/>
              <w:rPr>
                <w:sz w:val="20"/>
                <w:szCs w:val="20"/>
                <w:color w:val="auto"/>
              </w:rPr>
            </w:pPr>
            <w:r>
              <w:rPr>
                <w:rFonts w:ascii="Arial" w:cs="Arial" w:eastAsia="Arial" w:hAnsi="Arial"/>
                <w:sz w:val="18"/>
                <w:szCs w:val="18"/>
                <w:color w:val="auto"/>
              </w:rPr>
              <w:t>Non-performing assets</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0"/>
              </w:rPr>
              <w:t>27,147</w:t>
            </w: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28,872</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29,155</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29,135</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30,765</w:t>
            </w:r>
          </w:p>
        </w:tc>
        <w:tc>
          <w:tcPr>
            <w:tcW w:w="1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3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76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Substandard (excludes 90+ days past due)</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0"/>
              </w:rPr>
              <w:t>65,088</w:t>
            </w: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68,924</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77,939</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83,704</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77,908</w:t>
            </w:r>
          </w:p>
        </w:tc>
        <w:tc>
          <w:tcPr>
            <w:tcW w:w="1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60" w:type="dxa"/>
            <w:vAlign w:val="bottom"/>
            <w:tcBorders>
              <w:bottom w:val="single" w:sz="8" w:color="CCEEFF"/>
            </w:tcBorders>
            <w:shd w:val="clear" w:color="auto" w:fill="CCEEFF"/>
          </w:tcPr>
          <w:p>
            <w:pPr>
              <w:ind w:left="200"/>
              <w:spacing w:after="0" w:line="196" w:lineRule="exact"/>
              <w:rPr>
                <w:sz w:val="20"/>
                <w:szCs w:val="20"/>
                <w:color w:val="auto"/>
              </w:rPr>
            </w:pPr>
            <w:r>
              <w:rPr>
                <w:rFonts w:ascii="Arial" w:cs="Arial" w:eastAsia="Arial" w:hAnsi="Arial"/>
                <w:sz w:val="18"/>
                <w:szCs w:val="18"/>
                <w:color w:val="auto"/>
              </w:rPr>
              <w:t>Classified assets</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0"/>
              </w:rPr>
              <w:t>92,235</w:t>
            </w:r>
          </w:p>
        </w:tc>
        <w:tc>
          <w:tcPr>
            <w:tcW w:w="1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97,796</w:t>
            </w:r>
          </w:p>
        </w:tc>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107,094</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5"/>
              </w:rPr>
              <w:t>112,839</w:t>
            </w: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2"/>
              </w:rPr>
              <w:t>108,673</w:t>
            </w:r>
          </w:p>
        </w:tc>
        <w:tc>
          <w:tcPr>
            <w:tcW w:w="1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3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2"/>
              </w:rPr>
              <w:t>Performing TDRs (includes 30 – 89 days past due)</w:t>
            </w:r>
          </w:p>
        </w:tc>
        <w:tc>
          <w:tcPr>
            <w:tcW w:w="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3,299</w:t>
            </w:r>
          </w:p>
        </w:tc>
        <w:tc>
          <w:tcPr>
            <w:tcW w:w="36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3,829</w:t>
            </w:r>
          </w:p>
        </w:tc>
        <w:tc>
          <w:tcPr>
            <w:tcW w:w="340" w:type="dxa"/>
            <w:vAlign w:val="bottom"/>
            <w:gridSpan w:val="2"/>
            <w:shd w:val="clear" w:color="auto" w:fill="CCEEFF"/>
          </w:tcPr>
          <w:p>
            <w:pPr>
              <w:jc w:val="right"/>
              <w:ind w:right="27"/>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4,218</w:t>
            </w:r>
          </w:p>
        </w:tc>
        <w:tc>
          <w:tcPr>
            <w:tcW w:w="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4,316</w:t>
            </w: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4,949</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Non-performing assets to total assets</w:t>
            </w:r>
          </w:p>
        </w:tc>
        <w:tc>
          <w:tcPr>
            <w:tcW w:w="10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0.25 %</w:t>
            </w:r>
          </w:p>
        </w:tc>
        <w:tc>
          <w:tcPr>
            <w:tcW w:w="10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0.27 %</w:t>
            </w:r>
          </w:p>
        </w:tc>
        <w:tc>
          <w:tcPr>
            <w:tcW w:w="9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0.28 %</w:t>
            </w:r>
          </w:p>
        </w:tc>
        <w:tc>
          <w:tcPr>
            <w:tcW w:w="9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0.27 %</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0.32 %</w:t>
            </w:r>
          </w:p>
        </w:tc>
      </w:tr>
      <w:tr>
        <w:trPr>
          <w:trHeight w:val="203"/>
        </w:trPr>
        <w:tc>
          <w:tcPr>
            <w:tcW w:w="4020" w:type="dxa"/>
            <w:vAlign w:val="bottom"/>
          </w:tcPr>
          <w:p>
            <w:pPr>
              <w:spacing w:after="0" w:line="202" w:lineRule="exact"/>
              <w:rPr>
                <w:sz w:val="20"/>
                <w:szCs w:val="20"/>
                <w:color w:val="auto"/>
              </w:rPr>
            </w:pPr>
            <w:r>
              <w:rPr>
                <w:rFonts w:ascii="Arial" w:cs="Arial" w:eastAsia="Arial" w:hAnsi="Arial"/>
                <w:sz w:val="18"/>
                <w:szCs w:val="18"/>
                <w:color w:val="auto"/>
              </w:rPr>
              <w:t>Non-performing loans to portfolio loans</w:t>
            </w:r>
          </w:p>
        </w:tc>
        <w:tc>
          <w:tcPr>
            <w:tcW w:w="102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0.34 %</w:t>
            </w:r>
          </w:p>
        </w:tc>
        <w:tc>
          <w:tcPr>
            <w:tcW w:w="106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0.36 %</w:t>
            </w:r>
          </w:p>
        </w:tc>
        <w:tc>
          <w:tcPr>
            <w:tcW w:w="980" w:type="dxa"/>
            <w:vAlign w:val="bottom"/>
          </w:tcPr>
          <w:p>
            <w:pPr>
              <w:jc w:val="right"/>
              <w:ind w:right="90"/>
              <w:spacing w:after="0" w:line="202" w:lineRule="exact"/>
              <w:rPr>
                <w:sz w:val="20"/>
                <w:szCs w:val="20"/>
                <w:color w:val="auto"/>
              </w:rPr>
            </w:pPr>
            <w:r>
              <w:rPr>
                <w:rFonts w:ascii="Arial" w:cs="Arial" w:eastAsia="Arial" w:hAnsi="Arial"/>
                <w:sz w:val="18"/>
                <w:szCs w:val="18"/>
                <w:color w:val="auto"/>
              </w:rPr>
              <w:t>0.34 %</w:t>
            </w:r>
          </w:p>
        </w:tc>
        <w:tc>
          <w:tcPr>
            <w:tcW w:w="980" w:type="dxa"/>
            <w:vAlign w:val="bottom"/>
          </w:tcPr>
          <w:p>
            <w:pPr>
              <w:jc w:val="right"/>
              <w:ind w:right="90"/>
              <w:spacing w:after="0" w:line="202" w:lineRule="exact"/>
              <w:rPr>
                <w:sz w:val="20"/>
                <w:szCs w:val="20"/>
                <w:color w:val="auto"/>
              </w:rPr>
            </w:pPr>
            <w:r>
              <w:rPr>
                <w:rFonts w:ascii="Arial" w:cs="Arial" w:eastAsia="Arial" w:hAnsi="Arial"/>
                <w:sz w:val="18"/>
                <w:szCs w:val="18"/>
                <w:color w:val="auto"/>
              </w:rPr>
              <w:t>0.35 %</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0.40 %</w:t>
            </w:r>
          </w:p>
        </w:tc>
      </w:tr>
      <w:tr>
        <w:trPr>
          <w:trHeight w:val="188"/>
        </w:trPr>
        <w:tc>
          <w:tcPr>
            <w:tcW w:w="40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Non-performing loans to portfolio loans, excluding</w:t>
            </w:r>
          </w:p>
        </w:tc>
        <w:tc>
          <w:tcPr>
            <w:tcW w:w="10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r>
      <w:tr>
        <w:trPr>
          <w:trHeight w:val="217"/>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PPP loans</w:t>
            </w:r>
          </w:p>
        </w:tc>
        <w:tc>
          <w:tcPr>
            <w:tcW w:w="10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0.37 %</w:t>
            </w:r>
          </w:p>
        </w:tc>
        <w:tc>
          <w:tcPr>
            <w:tcW w:w="10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0.38 %</w:t>
            </w:r>
          </w:p>
        </w:tc>
        <w:tc>
          <w:tcPr>
            <w:tcW w:w="9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0.38 %</w:t>
            </w:r>
          </w:p>
        </w:tc>
        <w:tc>
          <w:tcPr>
            <w:tcW w:w="9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0.39 %</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0.40 %</w:t>
            </w:r>
          </w:p>
        </w:tc>
      </w:tr>
      <w:tr>
        <w:trPr>
          <w:trHeight w:val="203"/>
        </w:trPr>
        <w:tc>
          <w:tcPr>
            <w:tcW w:w="4020" w:type="dxa"/>
            <w:vAlign w:val="bottom"/>
          </w:tcPr>
          <w:p>
            <w:pPr>
              <w:spacing w:after="0" w:line="202" w:lineRule="exact"/>
              <w:rPr>
                <w:sz w:val="20"/>
                <w:szCs w:val="20"/>
                <w:color w:val="auto"/>
              </w:rPr>
            </w:pPr>
            <w:r>
              <w:rPr>
                <w:rFonts w:ascii="Arial" w:cs="Arial" w:eastAsia="Arial" w:hAnsi="Arial"/>
                <w:sz w:val="18"/>
                <w:szCs w:val="18"/>
                <w:color w:val="auto"/>
                <w:w w:val="97"/>
              </w:rPr>
              <w:t>Non-performing assets to portfolio loans and OREO</w:t>
            </w:r>
          </w:p>
        </w:tc>
        <w:tc>
          <w:tcPr>
            <w:tcW w:w="102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0.40 %</w:t>
            </w:r>
          </w:p>
        </w:tc>
        <w:tc>
          <w:tcPr>
            <w:tcW w:w="106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0.42 %</w:t>
            </w:r>
          </w:p>
        </w:tc>
        <w:tc>
          <w:tcPr>
            <w:tcW w:w="980" w:type="dxa"/>
            <w:vAlign w:val="bottom"/>
          </w:tcPr>
          <w:p>
            <w:pPr>
              <w:jc w:val="right"/>
              <w:ind w:right="90"/>
              <w:spacing w:after="0" w:line="202" w:lineRule="exact"/>
              <w:rPr>
                <w:sz w:val="20"/>
                <w:szCs w:val="20"/>
                <w:color w:val="auto"/>
              </w:rPr>
            </w:pPr>
            <w:r>
              <w:rPr>
                <w:rFonts w:ascii="Arial" w:cs="Arial" w:eastAsia="Arial" w:hAnsi="Arial"/>
                <w:sz w:val="18"/>
                <w:szCs w:val="18"/>
                <w:color w:val="auto"/>
              </w:rPr>
              <w:t>0.41 %</w:t>
            </w:r>
          </w:p>
        </w:tc>
        <w:tc>
          <w:tcPr>
            <w:tcW w:w="980" w:type="dxa"/>
            <w:vAlign w:val="bottom"/>
          </w:tcPr>
          <w:p>
            <w:pPr>
              <w:jc w:val="right"/>
              <w:ind w:right="90"/>
              <w:spacing w:after="0" w:line="202" w:lineRule="exact"/>
              <w:rPr>
                <w:sz w:val="20"/>
                <w:szCs w:val="20"/>
                <w:color w:val="auto"/>
              </w:rPr>
            </w:pPr>
            <w:r>
              <w:rPr>
                <w:rFonts w:ascii="Arial" w:cs="Arial" w:eastAsia="Arial" w:hAnsi="Arial"/>
                <w:sz w:val="18"/>
                <w:szCs w:val="18"/>
                <w:color w:val="auto"/>
              </w:rPr>
              <w:t>0.40 %</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0.46 %</w:t>
            </w:r>
          </w:p>
        </w:tc>
      </w:tr>
      <w:tr>
        <w:trPr>
          <w:trHeight w:val="188"/>
        </w:trPr>
        <w:tc>
          <w:tcPr>
            <w:tcW w:w="40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99"/>
              </w:rPr>
              <w:t>Classified assets to Busey Bank Tier 1 Capital and</w:t>
            </w:r>
          </w:p>
        </w:tc>
        <w:tc>
          <w:tcPr>
            <w:tcW w:w="10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r>
      <w:tr>
        <w:trPr>
          <w:trHeight w:val="217"/>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ACL</w:t>
            </w:r>
          </w:p>
        </w:tc>
        <w:tc>
          <w:tcPr>
            <w:tcW w:w="10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7.76 %</w:t>
            </w:r>
          </w:p>
        </w:tc>
        <w:tc>
          <w:tcPr>
            <w:tcW w:w="10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8.47 %</w:t>
            </w:r>
          </w:p>
        </w:tc>
        <w:tc>
          <w:tcPr>
            <w:tcW w:w="9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9.58 %</w:t>
            </w:r>
          </w:p>
        </w:tc>
        <w:tc>
          <w:tcPr>
            <w:tcW w:w="9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10.47 %</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10.53 %</w:t>
            </w:r>
          </w:p>
        </w:tc>
      </w:tr>
    </w:tbl>
    <w:p>
      <w:pPr>
        <w:spacing w:after="0" w:line="188" w:lineRule="exact"/>
        <w:rPr>
          <w:sz w:val="20"/>
          <w:szCs w:val="20"/>
          <w:color w:val="auto"/>
        </w:rPr>
      </w:pPr>
    </w:p>
    <w:p>
      <w:pPr>
        <w:ind w:left="60" w:right="299"/>
        <w:spacing w:after="0" w:line="241" w:lineRule="auto"/>
        <w:rPr>
          <w:sz w:val="20"/>
          <w:szCs w:val="20"/>
          <w:color w:val="auto"/>
        </w:rPr>
      </w:pPr>
      <w:r>
        <w:rPr>
          <w:rFonts w:ascii="Arial" w:cs="Arial" w:eastAsia="Arial" w:hAnsi="Arial"/>
          <w:sz w:val="18"/>
          <w:szCs w:val="18"/>
          <w:color w:val="auto"/>
        </w:rPr>
        <w:t>Non-performing loan balances decreased 6.0% to $22.9 million at March 31, 2021, compared with $24.3 million at December 31, 2020. Continued disciplined credit management resulted in non-performing loans as a percentage of total loans of 0.34% at March 31, 2021, compared to 0.36% at December 31, 2020, and 0.40% at March 31, 2020. Excluding the amortized cost of PPP loans, non-performing loans as a percentage of total loans was 0.37% at March 31, 2021, compared to 0.38% at December 31, 2020.</w:t>
      </w:r>
    </w:p>
    <w:p>
      <w:pPr>
        <w:spacing w:after="0" w:line="176" w:lineRule="exact"/>
        <w:rPr>
          <w:sz w:val="20"/>
          <w:szCs w:val="20"/>
          <w:color w:val="auto"/>
        </w:rPr>
      </w:pPr>
    </w:p>
    <w:p>
      <w:pPr>
        <w:ind w:left="60" w:right="99"/>
        <w:spacing w:after="0" w:line="248" w:lineRule="auto"/>
        <w:rPr>
          <w:sz w:val="20"/>
          <w:szCs w:val="20"/>
          <w:color w:val="auto"/>
        </w:rPr>
      </w:pPr>
      <w:r>
        <w:rPr>
          <w:rFonts w:ascii="Arial" w:cs="Arial" w:eastAsia="Arial" w:hAnsi="Arial"/>
          <w:sz w:val="18"/>
          <w:szCs w:val="18"/>
          <w:color w:val="auto"/>
        </w:rPr>
        <w:t>Asset quality metrics remain dependent upon market-specific economic conditions, and specific measures may fluctuate from period to period. If economic conditions were to deteriorate as a result of COVID-19, the Company would expect the credit quality of our loan portfolio to decline and loan defaults to increase.</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Potential Problem Loans</w:t>
      </w:r>
    </w:p>
    <w:p>
      <w:pPr>
        <w:spacing w:after="0" w:line="198" w:lineRule="exact"/>
        <w:rPr>
          <w:sz w:val="20"/>
          <w:szCs w:val="20"/>
          <w:color w:val="auto"/>
        </w:rPr>
      </w:pPr>
    </w:p>
    <w:p>
      <w:pPr>
        <w:ind w:left="60" w:right="139"/>
        <w:spacing w:after="0" w:line="272" w:lineRule="auto"/>
        <w:rPr>
          <w:sz w:val="20"/>
          <w:szCs w:val="20"/>
          <w:color w:val="auto"/>
        </w:rPr>
      </w:pPr>
      <w:r>
        <w:rPr>
          <w:rFonts w:ascii="Arial" w:cs="Arial" w:eastAsia="Arial" w:hAnsi="Arial"/>
          <w:sz w:val="16"/>
          <w:szCs w:val="16"/>
          <w:color w:val="auto"/>
        </w:rPr>
        <w:t>Potential problem loans are loans classified as substandard which are not categorized as impaired, restructured, non-accrual, or 90+ days past due, but where current information indicates that the borrower may not be able to comply with loan repayment terms. Management assesses the potential for loss on such loans and considers the effect of any potential loss in determining its provision for probable credit losses. Potential problem loans decreased by 5.5% to $65.0 million at March 31, 2021, compared to $68.8 million at December 31, 2020. Management continues to monitor these credits and anticipates that restructurings, guarantees, additional collateral, or other planned actions will result in full repayment of the debts. As of March 31, 2021, management identified no other loans that represent or result from trends or uncertainties which would be expected to materially impact future operating results, liquidity, or capital resources.</w:t>
      </w:r>
    </w:p>
    <w:p>
      <w:pPr>
        <w:spacing w:after="0" w:line="154" w:lineRule="exact"/>
        <w:rPr>
          <w:sz w:val="20"/>
          <w:szCs w:val="20"/>
          <w:color w:val="auto"/>
        </w:rPr>
      </w:pPr>
    </w:p>
    <w:p>
      <w:pPr>
        <w:ind w:left="60" w:right="179"/>
        <w:spacing w:after="0" w:line="284" w:lineRule="auto"/>
        <w:rPr>
          <w:sz w:val="20"/>
          <w:szCs w:val="20"/>
          <w:color w:val="auto"/>
        </w:rPr>
      </w:pPr>
      <w:r>
        <w:rPr>
          <w:rFonts w:ascii="Arial" w:cs="Arial" w:eastAsia="Arial" w:hAnsi="Arial"/>
          <w:sz w:val="16"/>
          <w:szCs w:val="16"/>
          <w:color w:val="auto"/>
        </w:rPr>
        <w:t>To alleviate some of the financial hardships faced as a result of COVID-19, the Company offered a Financial Relief Program to qualifying customers. The program included options for short-term loan payment deferrals and certain fee waivers. As of March 31, 2021, the Company had 72 commercial loans on payment deferrals representing $197.1 million in loans. Of this balance, $29.7 million remained on full payment deferral, with the remaining $167.4 million on</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1" w:name="page52"/>
    <w:bookmarkEnd w:id="5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6" w:lineRule="exact"/>
        <w:rPr>
          <w:sz w:val="20"/>
          <w:szCs w:val="20"/>
          <w:color w:val="auto"/>
        </w:rPr>
      </w:pPr>
    </w:p>
    <w:p>
      <w:pPr>
        <w:ind w:left="60" w:right="239"/>
        <w:spacing w:after="0" w:line="248" w:lineRule="auto"/>
        <w:rPr>
          <w:sz w:val="20"/>
          <w:szCs w:val="20"/>
          <w:color w:val="auto"/>
        </w:rPr>
      </w:pPr>
      <w:r>
        <w:rPr>
          <w:rFonts w:ascii="Arial" w:cs="Arial" w:eastAsia="Arial" w:hAnsi="Arial"/>
          <w:sz w:val="18"/>
          <w:szCs w:val="18"/>
          <w:color w:val="auto"/>
        </w:rPr>
        <w:t>interest only deferral. In addition, as of March 31, 2021, the Company had 178 retail loans on payment deferrals representing $24.9 million in loans. As these deferrals expire, the Company will continue to monitor credits for potential problem loans.</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Deposits</w:t>
      </w:r>
    </w:p>
    <w:p>
      <w:pPr>
        <w:spacing w:after="0" w:line="198" w:lineRule="exact"/>
        <w:rPr>
          <w:sz w:val="20"/>
          <w:szCs w:val="20"/>
          <w:color w:val="auto"/>
        </w:rPr>
      </w:pPr>
    </w:p>
    <w:p>
      <w:pPr>
        <w:ind w:left="60" w:right="79"/>
        <w:spacing w:after="0" w:line="241" w:lineRule="auto"/>
        <w:rPr>
          <w:sz w:val="20"/>
          <w:szCs w:val="20"/>
          <w:color w:val="auto"/>
        </w:rPr>
      </w:pPr>
      <w:r>
        <w:rPr>
          <w:rFonts w:ascii="Arial" w:cs="Arial" w:eastAsia="Arial" w:hAnsi="Arial"/>
          <w:sz w:val="18"/>
          <w:szCs w:val="18"/>
          <w:color w:val="auto"/>
        </w:rPr>
        <w:t>Total deposits increased 2.3% on a year-to-date basis to $8.9 billion at March 31, 2021, as compared to $8.7 billion at December 31, 2020. We focus on deepening our relationships with customers to foster core deposit growth, allowing us to reduce our reliance on wholesale funding. During the three months ended March 31, 2021, our deposit balances were impacted by the retention of PPP loan funding in customer deposit accounts, the impacts of economic stimulus payments to consumers, and other core deposit growth.</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w:t>
      </w:r>
    </w:p>
    <w:p>
      <w:pPr>
        <w:spacing w:after="0" w:line="202" w:lineRule="exact"/>
        <w:rPr>
          <w:sz w:val="20"/>
          <w:szCs w:val="20"/>
          <w:color w:val="auto"/>
        </w:rPr>
      </w:pPr>
    </w:p>
    <w:p>
      <w:pPr>
        <w:ind w:left="60" w:right="99"/>
        <w:spacing w:after="0" w:line="257" w:lineRule="auto"/>
        <w:rPr>
          <w:sz w:val="20"/>
          <w:szCs w:val="20"/>
          <w:color w:val="auto"/>
        </w:rPr>
      </w:pPr>
      <w:r>
        <w:rPr>
          <w:rFonts w:ascii="Arial" w:cs="Arial" w:eastAsia="Arial" w:hAnsi="Arial"/>
          <w:sz w:val="17"/>
          <w:szCs w:val="17"/>
          <w:color w:val="auto"/>
        </w:rPr>
        <w:t>Liquidity management is the process by which we ensure that adequate liquid funds are available to meet the present and future cash flow obligations arising in the daily operations of our business. These financial obligations consist of needs for funds to meet commitments to borrowers for extensions of credit, fund capital expenditures, honor withdrawals by customers, pay dividends to stockholders, and pay operating expenses. Our most liquid assets are cash and due from banks, interest-bearing bank deposits, and federal funds sold. Balances of these assets are dependent on the Company’s operating, investing, lending, and financing activities during any given period.</w:t>
      </w:r>
    </w:p>
    <w:p>
      <w:pPr>
        <w:spacing w:after="0" w:line="162" w:lineRule="exact"/>
        <w:rPr>
          <w:sz w:val="20"/>
          <w:szCs w:val="20"/>
          <w:color w:val="auto"/>
        </w:rPr>
      </w:pPr>
    </w:p>
    <w:p>
      <w:pPr>
        <w:ind w:left="60" w:right="159"/>
        <w:spacing w:after="0" w:line="269" w:lineRule="auto"/>
        <w:rPr>
          <w:sz w:val="20"/>
          <w:szCs w:val="20"/>
          <w:color w:val="auto"/>
        </w:rPr>
      </w:pPr>
      <w:r>
        <w:rPr>
          <w:rFonts w:ascii="Arial" w:cs="Arial" w:eastAsia="Arial" w:hAnsi="Arial"/>
          <w:sz w:val="16"/>
          <w:szCs w:val="16"/>
          <w:color w:val="auto"/>
        </w:rPr>
        <w:t>First Busey’s primary sources of funds consist of deposits, investment maturities and sales, loan principal repayments, and capital funds. Additional liquidity is provided by the ability to borrow from the FHLB, the Federal Reserve, First Busey’s revolving credit facility, or to utilize brokered deposits. As of March 31, 2021, the Company had additional capacity to borrow $1.6 billion from the FHLB and $483.8 million from the Federal Reserve. The Company has the ability to pledge</w:t>
      </w:r>
    </w:p>
    <w:p>
      <w:pPr>
        <w:spacing w:after="0" w:line="1" w:lineRule="exact"/>
        <w:rPr>
          <w:sz w:val="20"/>
          <w:szCs w:val="20"/>
          <w:color w:val="auto"/>
        </w:rPr>
      </w:pPr>
    </w:p>
    <w:p>
      <w:pPr>
        <w:ind w:left="60" w:right="479" w:hanging="10"/>
        <w:spacing w:after="0" w:line="271" w:lineRule="auto"/>
        <w:tabs>
          <w:tab w:leader="none" w:pos="405" w:val="left"/>
        </w:tabs>
        <w:numPr>
          <w:ilvl w:val="0"/>
          <w:numId w:val="13"/>
        </w:numPr>
        <w:rPr>
          <w:rFonts w:ascii="Arial" w:cs="Arial" w:eastAsia="Arial" w:hAnsi="Arial"/>
          <w:sz w:val="17"/>
          <w:szCs w:val="17"/>
          <w:color w:val="auto"/>
        </w:rPr>
      </w:pPr>
      <w:r>
        <w:rPr>
          <w:rFonts w:ascii="Arial" w:cs="Arial" w:eastAsia="Arial" w:hAnsi="Arial"/>
          <w:sz w:val="17"/>
          <w:szCs w:val="17"/>
          <w:color w:val="auto"/>
        </w:rPr>
        <w:t>loans as collateral to either the FHLB or Federal Reserve Discount Window to increase the availability to borrow against any potential short-term funding needs.</w:t>
      </w:r>
    </w:p>
    <w:p>
      <w:pPr>
        <w:spacing w:after="0" w:line="150" w:lineRule="exact"/>
        <w:rPr>
          <w:sz w:val="20"/>
          <w:szCs w:val="20"/>
          <w:color w:val="auto"/>
        </w:rPr>
      </w:pPr>
    </w:p>
    <w:p>
      <w:pPr>
        <w:ind w:left="60" w:right="179"/>
        <w:spacing w:after="0" w:line="243" w:lineRule="auto"/>
        <w:rPr>
          <w:sz w:val="20"/>
          <w:szCs w:val="20"/>
          <w:color w:val="auto"/>
        </w:rPr>
      </w:pPr>
      <w:r>
        <w:rPr>
          <w:rFonts w:ascii="Arial" w:cs="Arial" w:eastAsia="Arial" w:hAnsi="Arial"/>
          <w:sz w:val="18"/>
          <w:szCs w:val="18"/>
          <w:color w:val="auto"/>
        </w:rPr>
        <w:t>As of March 31, 2021, management believed that adequate liquidity existed to meet all projected cash flow obligations. We seek to achieve a satisfactory degree of liquidity by actively managing both assets and liabilities. Asset management guides the proportion of liquid assets to total assets, while liability management monitors future funding requirements and prices liabilities accordingly.</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OFF-BALANCE-SHEET ARRANGEMENTS</w:t>
      </w:r>
    </w:p>
    <w:p>
      <w:pPr>
        <w:spacing w:after="0" w:line="202" w:lineRule="exact"/>
        <w:rPr>
          <w:sz w:val="20"/>
          <w:szCs w:val="20"/>
          <w:color w:val="auto"/>
        </w:rPr>
      </w:pPr>
    </w:p>
    <w:p>
      <w:pPr>
        <w:ind w:left="60" w:right="179"/>
        <w:spacing w:after="0"/>
        <w:rPr>
          <w:sz w:val="20"/>
          <w:szCs w:val="20"/>
          <w:color w:val="auto"/>
        </w:rPr>
      </w:pPr>
      <w:r>
        <w:rPr>
          <w:rFonts w:ascii="Arial" w:cs="Arial" w:eastAsia="Arial" w:hAnsi="Arial"/>
          <w:sz w:val="18"/>
          <w:szCs w:val="18"/>
          <w:color w:val="auto"/>
        </w:rPr>
        <w:t>The Bank routinely enters into commitments to extend credit and standby letters of credit in the normal course of business to meet the financing needs of its customers. As of March 31, 2021, and December 31, 2020, we had outstanding loan commitments and standby letters of credit of $1.8 billion. The balance of commitments to extend credit represents future cash requirements and some of these commitments may expire without being drawn upon. We anticipate we will have sufficient funds available to meet current loan commitments, including loan applications received and in process prior to the issuance of firm commitments.</w:t>
      </w:r>
    </w:p>
    <w:p>
      <w:pPr>
        <w:spacing w:after="0" w:line="176" w:lineRule="exact"/>
        <w:rPr>
          <w:sz w:val="20"/>
          <w:szCs w:val="20"/>
          <w:color w:val="auto"/>
        </w:rPr>
      </w:pPr>
    </w:p>
    <w:p>
      <w:pPr>
        <w:ind w:left="60" w:right="99"/>
        <w:spacing w:after="0" w:line="248" w:lineRule="auto"/>
        <w:rPr>
          <w:sz w:val="20"/>
          <w:szCs w:val="20"/>
          <w:color w:val="auto"/>
        </w:rPr>
      </w:pPr>
      <w:r>
        <w:rPr>
          <w:rFonts w:ascii="Arial" w:cs="Arial" w:eastAsia="Arial" w:hAnsi="Arial"/>
          <w:sz w:val="18"/>
          <w:szCs w:val="18"/>
          <w:color w:val="auto"/>
        </w:rPr>
        <w:t>As of March 31, 2021, our reserve for unfunded commitments was $7.7 million, compared to $7.3 million at December 31, 2020. Unfunded provision expense for the three months ended March 31, 2021, was $0.4 million, compared to $1.0 million for the three months ended March 31, 2020.</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CAPITAL RESOURCES</w:t>
      </w:r>
    </w:p>
    <w:p>
      <w:pPr>
        <w:spacing w:after="0" w:line="202" w:lineRule="exact"/>
        <w:rPr>
          <w:sz w:val="20"/>
          <w:szCs w:val="20"/>
          <w:color w:val="auto"/>
        </w:rPr>
      </w:pPr>
    </w:p>
    <w:p>
      <w:pPr>
        <w:ind w:left="60" w:right="119"/>
        <w:spacing w:after="0" w:line="276" w:lineRule="auto"/>
        <w:rPr>
          <w:sz w:val="20"/>
          <w:szCs w:val="20"/>
          <w:color w:val="auto"/>
        </w:rPr>
      </w:pPr>
      <w:r>
        <w:rPr>
          <w:rFonts w:ascii="Arial" w:cs="Arial" w:eastAsia="Arial" w:hAnsi="Arial"/>
          <w:sz w:val="16"/>
          <w:szCs w:val="16"/>
          <w:color w:val="auto"/>
        </w:rPr>
        <w:t>Our capital ratios are in excess of those required to be considered “well-capitalized” pursuant to applicable regulatory guidelines. The Federal Reserve Board uses capital adequacy guidelines in its examination and regulation of bank holding companies and their subsidiary banks. Risk-based capital ratios are established by allocating assets and certain off-balance-sheet commitments into risk-weighted categories. These balances are then multiplied by the factor appropriate for that risk-weighted category. In order to refrain from restrictions on dividends, equity repurchases, and discretionary bonus payments, banking institutions must maintain capital in excess of regulatory minimum capital</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2" w:name="page53"/>
    <w:bookmarkEnd w:id="5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6" w:lineRule="exact"/>
        <w:rPr>
          <w:sz w:val="20"/>
          <w:szCs w:val="20"/>
          <w:color w:val="auto"/>
        </w:rPr>
      </w:pPr>
    </w:p>
    <w:p>
      <w:pPr>
        <w:ind w:left="60" w:right="259"/>
        <w:spacing w:after="0" w:line="261" w:lineRule="auto"/>
        <w:rPr>
          <w:sz w:val="20"/>
          <w:szCs w:val="20"/>
          <w:color w:val="auto"/>
        </w:rPr>
      </w:pPr>
      <w:r>
        <w:rPr>
          <w:rFonts w:ascii="Arial" w:cs="Arial" w:eastAsia="Arial" w:hAnsi="Arial"/>
          <w:sz w:val="18"/>
          <w:szCs w:val="18"/>
          <w:color w:val="auto"/>
        </w:rPr>
        <w:t>requirements. The table below presents minimum capital ratios with capital buffer and March 31, 2021, capital ratios for First Busey and Busey Bank.</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5340" w:type="dxa"/>
            <w:vAlign w:val="bottom"/>
          </w:tcPr>
          <w:p>
            <w:pPr>
              <w:spacing w:after="0"/>
              <w:rPr>
                <w:sz w:val="16"/>
                <w:szCs w:val="16"/>
                <w:color w:val="auto"/>
              </w:rPr>
            </w:pPr>
          </w:p>
        </w:tc>
        <w:tc>
          <w:tcPr>
            <w:tcW w:w="1520" w:type="dxa"/>
            <w:vAlign w:val="bottom"/>
            <w:gridSpan w:val="2"/>
          </w:tcPr>
          <w:p>
            <w:pPr>
              <w:jc w:val="center"/>
              <w:ind w:right="210"/>
              <w:spacing w:after="0"/>
              <w:rPr>
                <w:sz w:val="20"/>
                <w:szCs w:val="20"/>
                <w:color w:val="auto"/>
              </w:rPr>
            </w:pPr>
            <w:r>
              <w:rPr>
                <w:rFonts w:ascii="Arial" w:cs="Arial" w:eastAsia="Arial" w:hAnsi="Arial"/>
                <w:sz w:val="14"/>
                <w:szCs w:val="14"/>
                <w:b w:val="1"/>
                <w:bCs w:val="1"/>
                <w:color w:val="auto"/>
                <w:w w:val="98"/>
              </w:rPr>
              <w:t>Minimum Capital</w:t>
            </w:r>
          </w:p>
        </w:tc>
        <w:tc>
          <w:tcPr>
            <w:tcW w:w="2040" w:type="dxa"/>
            <w:vAlign w:val="bottom"/>
            <w:gridSpan w:val="4"/>
          </w:tcPr>
          <w:p>
            <w:pPr>
              <w:jc w:val="right"/>
              <w:ind w:right="430"/>
              <w:spacing w:after="0"/>
              <w:rPr>
                <w:sz w:val="20"/>
                <w:szCs w:val="20"/>
                <w:color w:val="auto"/>
              </w:rPr>
            </w:pPr>
            <w:r>
              <w:rPr>
                <w:rFonts w:ascii="Arial" w:cs="Arial" w:eastAsia="Arial" w:hAnsi="Arial"/>
                <w:sz w:val="14"/>
                <w:szCs w:val="14"/>
                <w:b w:val="1"/>
                <w:bCs w:val="1"/>
                <w:color w:val="auto"/>
              </w:rPr>
              <w:t>As of March 31, 2021</w:t>
            </w:r>
          </w:p>
        </w:tc>
      </w:tr>
      <w:tr>
        <w:trPr>
          <w:trHeight w:val="133"/>
        </w:trPr>
        <w:tc>
          <w:tcPr>
            <w:tcW w:w="5340" w:type="dxa"/>
            <w:vAlign w:val="bottom"/>
          </w:tcPr>
          <w:p>
            <w:pPr>
              <w:spacing w:after="0"/>
              <w:rPr>
                <w:sz w:val="11"/>
                <w:szCs w:val="11"/>
                <w:color w:val="auto"/>
              </w:rPr>
            </w:pPr>
          </w:p>
        </w:tc>
        <w:tc>
          <w:tcPr>
            <w:tcW w:w="1520" w:type="dxa"/>
            <w:vAlign w:val="bottom"/>
            <w:gridSpan w:val="2"/>
          </w:tcPr>
          <w:p>
            <w:pPr>
              <w:jc w:val="center"/>
              <w:ind w:right="210"/>
              <w:spacing w:after="0" w:line="133" w:lineRule="exact"/>
              <w:rPr>
                <w:sz w:val="20"/>
                <w:szCs w:val="20"/>
                <w:color w:val="auto"/>
              </w:rPr>
            </w:pPr>
            <w:r>
              <w:rPr>
                <w:rFonts w:ascii="Arial" w:cs="Arial" w:eastAsia="Arial" w:hAnsi="Arial"/>
                <w:sz w:val="14"/>
                <w:szCs w:val="14"/>
                <w:b w:val="1"/>
                <w:bCs w:val="1"/>
                <w:color w:val="auto"/>
                <w:w w:val="94"/>
              </w:rPr>
              <w:t>Requirements with</w:t>
            </w:r>
          </w:p>
        </w:tc>
        <w:tc>
          <w:tcPr>
            <w:tcW w:w="1100" w:type="dxa"/>
            <w:vAlign w:val="bottom"/>
            <w:tcBorders>
              <w:top w:val="single" w:sz="8" w:color="auto"/>
            </w:tcBorders>
            <w:gridSpan w:val="2"/>
          </w:tcPr>
          <w:p>
            <w:pPr>
              <w:jc w:val="right"/>
              <w:ind w:right="270"/>
              <w:spacing w:after="0" w:line="133" w:lineRule="exact"/>
              <w:rPr>
                <w:sz w:val="20"/>
                <w:szCs w:val="20"/>
                <w:color w:val="auto"/>
              </w:rPr>
            </w:pPr>
            <w:r>
              <w:rPr>
                <w:rFonts w:ascii="Arial" w:cs="Arial" w:eastAsia="Arial" w:hAnsi="Arial"/>
                <w:sz w:val="14"/>
                <w:szCs w:val="14"/>
                <w:b w:val="1"/>
                <w:bCs w:val="1"/>
                <w:color w:val="auto"/>
                <w:w w:val="94"/>
              </w:rPr>
              <w:t>First Busey</w:t>
            </w:r>
          </w:p>
        </w:tc>
        <w:tc>
          <w:tcPr>
            <w:tcW w:w="640" w:type="dxa"/>
            <w:vAlign w:val="bottom"/>
            <w:tcBorders>
              <w:top w:val="single" w:sz="8" w:color="auto"/>
            </w:tcBorders>
          </w:tcPr>
          <w:p>
            <w:pPr>
              <w:jc w:val="right"/>
              <w:ind w:right="56"/>
              <w:spacing w:after="0" w:line="133" w:lineRule="exact"/>
              <w:rPr>
                <w:sz w:val="20"/>
                <w:szCs w:val="20"/>
                <w:color w:val="auto"/>
              </w:rPr>
            </w:pPr>
            <w:r>
              <w:rPr>
                <w:rFonts w:ascii="Arial" w:cs="Arial" w:eastAsia="Arial" w:hAnsi="Arial"/>
                <w:sz w:val="14"/>
                <w:szCs w:val="14"/>
                <w:b w:val="1"/>
                <w:bCs w:val="1"/>
                <w:color w:val="auto"/>
              </w:rPr>
              <w:t>Busey</w:t>
            </w:r>
          </w:p>
        </w:tc>
        <w:tc>
          <w:tcPr>
            <w:tcW w:w="300" w:type="dxa"/>
            <w:vAlign w:val="bottom"/>
          </w:tcPr>
          <w:p>
            <w:pPr>
              <w:spacing w:after="0"/>
              <w:rPr>
                <w:sz w:val="11"/>
                <w:szCs w:val="11"/>
                <w:color w:val="auto"/>
              </w:rPr>
            </w:pPr>
          </w:p>
        </w:tc>
      </w:tr>
      <w:tr>
        <w:trPr>
          <w:trHeight w:val="185"/>
        </w:trPr>
        <w:tc>
          <w:tcPr>
            <w:tcW w:w="5340" w:type="dxa"/>
            <w:vAlign w:val="bottom"/>
          </w:tcPr>
          <w:p>
            <w:pPr>
              <w:spacing w:after="0"/>
              <w:rPr>
                <w:sz w:val="16"/>
                <w:szCs w:val="16"/>
                <w:color w:val="auto"/>
              </w:rPr>
            </w:pPr>
          </w:p>
        </w:tc>
        <w:tc>
          <w:tcPr>
            <w:tcW w:w="1520" w:type="dxa"/>
            <w:vAlign w:val="bottom"/>
            <w:gridSpan w:val="2"/>
          </w:tcPr>
          <w:p>
            <w:pPr>
              <w:jc w:val="center"/>
              <w:ind w:right="210"/>
              <w:spacing w:after="0"/>
              <w:rPr>
                <w:sz w:val="20"/>
                <w:szCs w:val="20"/>
                <w:color w:val="auto"/>
              </w:rPr>
            </w:pPr>
            <w:r>
              <w:rPr>
                <w:rFonts w:ascii="Arial" w:cs="Arial" w:eastAsia="Arial" w:hAnsi="Arial"/>
                <w:sz w:val="14"/>
                <w:szCs w:val="14"/>
                <w:b w:val="1"/>
                <w:bCs w:val="1"/>
                <w:color w:val="auto"/>
                <w:w w:val="98"/>
              </w:rPr>
              <w:t>Capital Buffer</w:t>
            </w:r>
          </w:p>
        </w:tc>
        <w:tc>
          <w:tcPr>
            <w:tcW w:w="1100" w:type="dxa"/>
            <w:vAlign w:val="bottom"/>
            <w:gridSpan w:val="2"/>
          </w:tcPr>
          <w:p>
            <w:pPr>
              <w:jc w:val="right"/>
              <w:ind w:right="230"/>
              <w:spacing w:after="0"/>
              <w:rPr>
                <w:sz w:val="20"/>
                <w:szCs w:val="20"/>
                <w:color w:val="auto"/>
              </w:rPr>
            </w:pPr>
            <w:r>
              <w:rPr>
                <w:rFonts w:ascii="Arial" w:cs="Arial" w:eastAsia="Arial" w:hAnsi="Arial"/>
                <w:sz w:val="14"/>
                <w:szCs w:val="14"/>
                <w:b w:val="1"/>
                <w:bCs w:val="1"/>
                <w:color w:val="auto"/>
                <w:w w:val="94"/>
              </w:rPr>
              <w:t>Corporation</w:t>
            </w:r>
          </w:p>
        </w:tc>
        <w:tc>
          <w:tcPr>
            <w:tcW w:w="940" w:type="dxa"/>
            <w:vAlign w:val="bottom"/>
            <w:gridSpan w:val="2"/>
          </w:tcPr>
          <w:p>
            <w:pPr>
              <w:jc w:val="right"/>
              <w:ind w:right="370"/>
              <w:spacing w:after="0"/>
              <w:rPr>
                <w:sz w:val="20"/>
                <w:szCs w:val="20"/>
                <w:color w:val="auto"/>
              </w:rPr>
            </w:pPr>
            <w:r>
              <w:rPr>
                <w:rFonts w:ascii="Arial" w:cs="Arial" w:eastAsia="Arial" w:hAnsi="Arial"/>
                <w:sz w:val="14"/>
                <w:szCs w:val="14"/>
                <w:b w:val="1"/>
                <w:bCs w:val="1"/>
                <w:color w:val="auto"/>
              </w:rPr>
              <w:t>Bank</w:t>
            </w:r>
          </w:p>
        </w:tc>
      </w:tr>
      <w:tr>
        <w:trPr>
          <w:trHeight w:val="196"/>
        </w:trPr>
        <w:tc>
          <w:tcPr>
            <w:tcW w:w="534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 Capital to Risk Weighted Assets</w:t>
            </w:r>
          </w:p>
        </w:tc>
        <w:tc>
          <w:tcPr>
            <w:tcW w:w="12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10.50</w:t>
            </w:r>
          </w:p>
        </w:tc>
        <w:tc>
          <w:tcPr>
            <w:tcW w:w="300" w:type="dxa"/>
            <w:vAlign w:val="bottom"/>
            <w:tcBorders>
              <w:top w:val="single" w:sz="8" w:color="CCEEFF"/>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4"/>
              </w:rPr>
              <w:t>%</w:t>
            </w:r>
          </w:p>
        </w:tc>
        <w:tc>
          <w:tcPr>
            <w:tcW w:w="8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17.39</w:t>
            </w:r>
          </w:p>
        </w:tc>
        <w:tc>
          <w:tcPr>
            <w:tcW w:w="300" w:type="dxa"/>
            <w:vAlign w:val="bottom"/>
            <w:tcBorders>
              <w:top w:val="single" w:sz="8" w:color="CCEEFF"/>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87"/>
              </w:rPr>
              <w:t>%</w:t>
            </w:r>
          </w:p>
        </w:tc>
        <w:tc>
          <w:tcPr>
            <w:tcW w:w="6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16.06</w:t>
            </w:r>
          </w:p>
        </w:tc>
        <w:tc>
          <w:tcPr>
            <w:tcW w:w="300" w:type="dxa"/>
            <w:vAlign w:val="bottom"/>
            <w:tcBorders>
              <w:top w:val="single" w:sz="8" w:color="CCEEFF"/>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4"/>
              </w:rPr>
              <w:t>%</w:t>
            </w:r>
          </w:p>
        </w:tc>
      </w:tr>
      <w:tr>
        <w:trPr>
          <w:trHeight w:val="203"/>
        </w:trPr>
        <w:tc>
          <w:tcPr>
            <w:tcW w:w="5340" w:type="dxa"/>
            <w:vAlign w:val="bottom"/>
          </w:tcPr>
          <w:p>
            <w:pPr>
              <w:ind w:left="20"/>
              <w:spacing w:after="0" w:line="202" w:lineRule="exact"/>
              <w:rPr>
                <w:sz w:val="20"/>
                <w:szCs w:val="20"/>
                <w:color w:val="auto"/>
              </w:rPr>
            </w:pPr>
            <w:r>
              <w:rPr>
                <w:rFonts w:ascii="Arial" w:cs="Arial" w:eastAsia="Arial" w:hAnsi="Arial"/>
                <w:sz w:val="18"/>
                <w:szCs w:val="18"/>
                <w:color w:val="auto"/>
              </w:rPr>
              <w:t>Tier 1 Capital to Risk Weighted Assets</w:t>
            </w:r>
          </w:p>
        </w:tc>
        <w:tc>
          <w:tcPr>
            <w:tcW w:w="152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8.50 %</w:t>
            </w:r>
          </w:p>
        </w:tc>
        <w:tc>
          <w:tcPr>
            <w:tcW w:w="110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13.84 %</w:t>
            </w:r>
          </w:p>
        </w:tc>
        <w:tc>
          <w:tcPr>
            <w:tcW w:w="94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15.06 %</w:t>
            </w:r>
          </w:p>
        </w:tc>
      </w:tr>
      <w:tr>
        <w:trPr>
          <w:trHeight w:val="203"/>
        </w:trPr>
        <w:tc>
          <w:tcPr>
            <w:tcW w:w="53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Common Equity Tier 1 Capital to Risk Weighted Assets</w:t>
            </w:r>
          </w:p>
        </w:tc>
        <w:tc>
          <w:tcPr>
            <w:tcW w:w="1520" w:type="dxa"/>
            <w:vAlign w:val="bottom"/>
            <w:gridSpan w:val="2"/>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7.00 %</w:t>
            </w:r>
          </w:p>
        </w:tc>
        <w:tc>
          <w:tcPr>
            <w:tcW w:w="1100" w:type="dxa"/>
            <w:vAlign w:val="bottom"/>
            <w:gridSpan w:val="2"/>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12.83 %</w:t>
            </w:r>
          </w:p>
        </w:tc>
        <w:tc>
          <w:tcPr>
            <w:tcW w:w="940" w:type="dxa"/>
            <w:vAlign w:val="bottom"/>
            <w:gridSpan w:val="2"/>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15.06 %</w:t>
            </w:r>
          </w:p>
        </w:tc>
      </w:tr>
      <w:tr>
        <w:trPr>
          <w:trHeight w:val="230"/>
        </w:trPr>
        <w:tc>
          <w:tcPr>
            <w:tcW w:w="5340" w:type="dxa"/>
            <w:vAlign w:val="bottom"/>
          </w:tcPr>
          <w:p>
            <w:pPr>
              <w:ind w:left="20"/>
              <w:spacing w:after="0"/>
              <w:rPr>
                <w:sz w:val="20"/>
                <w:szCs w:val="20"/>
                <w:color w:val="auto"/>
              </w:rPr>
            </w:pPr>
            <w:r>
              <w:rPr>
                <w:rFonts w:ascii="Arial" w:cs="Arial" w:eastAsia="Arial" w:hAnsi="Arial"/>
                <w:sz w:val="18"/>
                <w:szCs w:val="18"/>
                <w:color w:val="auto"/>
              </w:rPr>
              <w:t>Tier 1 Capital to Average Assets</w:t>
            </w:r>
          </w:p>
        </w:tc>
        <w:tc>
          <w:tcPr>
            <w:tcW w:w="1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gridSpan w:val="2"/>
          </w:tcPr>
          <w:p>
            <w:pPr>
              <w:jc w:val="right"/>
              <w:ind w:right="50"/>
              <w:spacing w:after="0"/>
              <w:rPr>
                <w:sz w:val="20"/>
                <w:szCs w:val="20"/>
                <w:color w:val="auto"/>
              </w:rPr>
            </w:pPr>
            <w:r>
              <w:rPr>
                <w:rFonts w:ascii="Arial" w:cs="Arial" w:eastAsia="Arial" w:hAnsi="Arial"/>
                <w:sz w:val="18"/>
                <w:szCs w:val="18"/>
                <w:color w:val="auto"/>
              </w:rPr>
              <w:t>9.85 %</w:t>
            </w:r>
          </w:p>
        </w:tc>
        <w:tc>
          <w:tcPr>
            <w:tcW w:w="940" w:type="dxa"/>
            <w:vAlign w:val="bottom"/>
            <w:gridSpan w:val="2"/>
          </w:tcPr>
          <w:p>
            <w:pPr>
              <w:jc w:val="right"/>
              <w:ind w:right="70"/>
              <w:spacing w:after="0"/>
              <w:rPr>
                <w:sz w:val="20"/>
                <w:szCs w:val="20"/>
                <w:color w:val="auto"/>
              </w:rPr>
            </w:pPr>
            <w:r>
              <w:rPr>
                <w:rFonts w:ascii="Arial" w:cs="Arial" w:eastAsia="Arial" w:hAnsi="Arial"/>
                <w:sz w:val="18"/>
                <w:szCs w:val="18"/>
                <w:color w:val="auto"/>
              </w:rPr>
              <w:t>10.71 %</w:t>
            </w:r>
          </w:p>
        </w:tc>
      </w:tr>
    </w:tbl>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color w:val="auto"/>
        </w:rPr>
        <w:t>For further discussion of capital resources and requirements, see “</w:t>
      </w:r>
      <w:r>
        <w:rPr>
          <w:rFonts w:ascii="Arial" w:cs="Arial" w:eastAsia="Arial" w:hAnsi="Arial"/>
          <w:sz w:val="18"/>
          <w:szCs w:val="18"/>
          <w:i w:val="1"/>
          <w:iCs w:val="1"/>
          <w:color w:val="auto"/>
        </w:rPr>
        <w:t>Note 7: Regulatory Capital.</w:t>
      </w:r>
      <w:r>
        <w:rPr>
          <w:rFonts w:ascii="Arial" w:cs="Arial" w:eastAsia="Arial" w:hAnsi="Arial"/>
          <w:sz w:val="18"/>
          <w:szCs w:val="18"/>
          <w:color w:val="auto"/>
        </w:rPr>
        <w:t>”</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NON-GAAP FINANCIAL INFORMATION</w:t>
      </w:r>
    </w:p>
    <w:p>
      <w:pPr>
        <w:spacing w:after="0" w:line="202" w:lineRule="exact"/>
        <w:rPr>
          <w:sz w:val="20"/>
          <w:szCs w:val="20"/>
          <w:color w:val="auto"/>
        </w:rPr>
      </w:pPr>
    </w:p>
    <w:p>
      <w:pPr>
        <w:ind w:left="60" w:right="159"/>
        <w:spacing w:after="0" w:line="276" w:lineRule="auto"/>
        <w:rPr>
          <w:sz w:val="20"/>
          <w:szCs w:val="20"/>
          <w:color w:val="auto"/>
        </w:rPr>
      </w:pPr>
      <w:r>
        <w:rPr>
          <w:rFonts w:ascii="Arial" w:cs="Arial" w:eastAsia="Arial" w:hAnsi="Arial"/>
          <w:sz w:val="16"/>
          <w:szCs w:val="16"/>
          <w:color w:val="auto"/>
        </w:rPr>
        <w:t>This Quarterly Report contains certain financial information determined by methods other than in accordance with GAAP. These measures include adjusted pre-provision net revenue, adjusted net income, adjusted diluted earnings per share, adjusted return on average assets, adjusted net interest margin, efficiency ratio, adjusted efficiency ratio, tangible common equity, tangible common equity to tangible assets, tangible book value per share, and return on average tangible common equity. Management uses these non-GAAP measures, together with the related GAAP measures, to analyze the Company’s performance and to make business decisions. Management also uses these measures for peer comparisons.</w:t>
      </w:r>
    </w:p>
    <w:p>
      <w:pPr>
        <w:spacing w:after="0" w:line="148" w:lineRule="exact"/>
        <w:rPr>
          <w:sz w:val="20"/>
          <w:szCs w:val="20"/>
          <w:color w:val="auto"/>
        </w:rPr>
      </w:pPr>
    </w:p>
    <w:p>
      <w:pPr>
        <w:ind w:left="60" w:right="119"/>
        <w:spacing w:after="0" w:line="272" w:lineRule="auto"/>
        <w:rPr>
          <w:sz w:val="20"/>
          <w:szCs w:val="20"/>
          <w:color w:val="auto"/>
        </w:rPr>
      </w:pPr>
      <w:r>
        <w:rPr>
          <w:rFonts w:ascii="Arial" w:cs="Arial" w:eastAsia="Arial" w:hAnsi="Arial"/>
          <w:sz w:val="16"/>
          <w:szCs w:val="16"/>
          <w:color w:val="auto"/>
        </w:rPr>
        <w:t>A reconciliation to what management believes to be the most directly comparable GAAP financial measures – specifically net income in the case of adjusted net income, adjusted earnings per share, and adjusted return on average assets; total net interest income in the case of adjusted net interest margin; total non-interest income and total non-interest expense in the case of efficiency ratio and adjusted efficiency ratio; and total stockholders’ equity in the case of tangible common equity, tangible common equity to tangible assets, tangible book value per share, and return on average tangible common equity – appears below. The Company believes the adjusted measures are useful for investors and management to understand the effects of certain non-recurring non-interest items and provides additional perspective on the Company’s performance over time as well as comparison to the Company’s peers.</w:t>
      </w:r>
    </w:p>
    <w:p>
      <w:pPr>
        <w:spacing w:after="0" w:line="154" w:lineRule="exact"/>
        <w:rPr>
          <w:sz w:val="20"/>
          <w:szCs w:val="20"/>
          <w:color w:val="auto"/>
        </w:rPr>
      </w:pPr>
    </w:p>
    <w:p>
      <w:pPr>
        <w:ind w:left="60" w:right="179"/>
        <w:spacing w:after="0" w:line="262" w:lineRule="auto"/>
        <w:rPr>
          <w:sz w:val="20"/>
          <w:szCs w:val="20"/>
          <w:color w:val="auto"/>
        </w:rPr>
      </w:pPr>
      <w:r>
        <w:rPr>
          <w:rFonts w:ascii="Arial" w:cs="Arial" w:eastAsia="Arial" w:hAnsi="Arial"/>
          <w:sz w:val="17"/>
          <w:szCs w:val="17"/>
          <w:color w:val="auto"/>
        </w:rPr>
        <w:t>These non-GAAP disclosures have inherent limitations and are not audited. They should not be considered in isolation or as a substitute for the results reported in accordance with GAAP, nor are they necessarily comparable to non-GAAP performance measures that may be presented by other companies. Tax effected numbers included in these non-GAAP disclosures are based on estimated statutory rates and effective rates as appropriate.</w:t>
      </w: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3" w:name="page54"/>
    <w:bookmarkEnd w:id="5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Reconciliation of Non-GAAP Financial Measures — Adjusted Pre-Provision Net Revenue</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(unaudited, dollars in thousands)</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224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w w:val="98"/>
              </w:rPr>
              <w:t>Three Months Ended</w:t>
            </w: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r>
      <w:tr>
        <w:trPr>
          <w:trHeight w:val="133"/>
        </w:trPr>
        <w:tc>
          <w:tcPr>
            <w:tcW w:w="224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jc w:val="right"/>
              <w:ind w:right="408"/>
              <w:spacing w:after="0" w:line="133" w:lineRule="exact"/>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1"/>
                <w:szCs w:val="11"/>
                <w:color w:val="auto"/>
              </w:rPr>
            </w:pPr>
          </w:p>
        </w:tc>
        <w:tc>
          <w:tcPr>
            <w:tcW w:w="1200" w:type="dxa"/>
            <w:vAlign w:val="bottom"/>
            <w:gridSpan w:val="2"/>
          </w:tcPr>
          <w:p>
            <w:pPr>
              <w:jc w:val="right"/>
              <w:ind w:right="360"/>
              <w:spacing w:after="0" w:line="133" w:lineRule="exact"/>
              <w:rPr>
                <w:sz w:val="20"/>
                <w:szCs w:val="20"/>
                <w:color w:val="auto"/>
              </w:rPr>
            </w:pPr>
            <w:r>
              <w:rPr>
                <w:rFonts w:ascii="Arial" w:cs="Arial" w:eastAsia="Arial" w:hAnsi="Arial"/>
                <w:sz w:val="14"/>
                <w:szCs w:val="14"/>
                <w:b w:val="1"/>
                <w:bCs w:val="1"/>
                <w:color w:val="auto"/>
                <w:w w:val="90"/>
              </w:rPr>
              <w:t>December 31,</w:t>
            </w:r>
          </w:p>
        </w:tc>
        <w:tc>
          <w:tcPr>
            <w:tcW w:w="120" w:type="dxa"/>
            <w:vAlign w:val="bottom"/>
          </w:tcPr>
          <w:p>
            <w:pPr>
              <w:spacing w:after="0"/>
              <w:rPr>
                <w:sz w:val="11"/>
                <w:szCs w:val="11"/>
                <w:color w:val="auto"/>
              </w:rPr>
            </w:pPr>
          </w:p>
        </w:tc>
        <w:tc>
          <w:tcPr>
            <w:tcW w:w="840" w:type="dxa"/>
            <w:vAlign w:val="bottom"/>
          </w:tcPr>
          <w:p>
            <w:pPr>
              <w:jc w:val="right"/>
              <w:ind w:right="93"/>
              <w:spacing w:after="0" w:line="133" w:lineRule="exact"/>
              <w:rPr>
                <w:sz w:val="20"/>
                <w:szCs w:val="20"/>
                <w:color w:val="auto"/>
              </w:rPr>
            </w:pPr>
            <w:r>
              <w:rPr>
                <w:rFonts w:ascii="Arial" w:cs="Arial" w:eastAsia="Arial" w:hAnsi="Arial"/>
                <w:sz w:val="14"/>
                <w:szCs w:val="14"/>
                <w:b w:val="1"/>
                <w:bCs w:val="1"/>
                <w:color w:val="auto"/>
                <w:w w:val="99"/>
              </w:rPr>
              <w:t>March 31,</w:t>
            </w:r>
          </w:p>
        </w:tc>
        <w:tc>
          <w:tcPr>
            <w:tcW w:w="260" w:type="dxa"/>
            <w:vAlign w:val="bottom"/>
          </w:tcPr>
          <w:p>
            <w:pPr>
              <w:spacing w:after="0"/>
              <w:rPr>
                <w:sz w:val="11"/>
                <w:szCs w:val="11"/>
                <w:color w:val="auto"/>
              </w:rPr>
            </w:pPr>
          </w:p>
        </w:tc>
      </w:tr>
      <w:tr>
        <w:trPr>
          <w:trHeight w:val="185"/>
        </w:trPr>
        <w:tc>
          <w:tcPr>
            <w:tcW w:w="2240" w:type="dxa"/>
            <w:vAlign w:val="bottom"/>
            <w:tcBorders>
              <w:bottom w:val="single" w:sz="8" w:color="CCEEFF"/>
            </w:tcBorders>
          </w:tcPr>
          <w:p>
            <w:pPr>
              <w:spacing w:after="0"/>
              <w:rPr>
                <w:sz w:val="16"/>
                <w:szCs w:val="16"/>
                <w:color w:val="auto"/>
              </w:rPr>
            </w:pPr>
          </w:p>
        </w:tc>
        <w:tc>
          <w:tcPr>
            <w:tcW w:w="28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CEEFF"/>
            </w:tcBorders>
          </w:tcPr>
          <w:p>
            <w:pPr>
              <w:spacing w:after="0"/>
              <w:rPr>
                <w:sz w:val="16"/>
                <w:szCs w:val="16"/>
                <w:color w:val="auto"/>
              </w:rPr>
            </w:pPr>
          </w:p>
        </w:tc>
      </w:tr>
      <w:tr>
        <w:trPr>
          <w:trHeight w:val="196"/>
        </w:trPr>
        <w:tc>
          <w:tcPr>
            <w:tcW w:w="508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Net interest income</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64,893</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72,936</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69,433</w:t>
            </w:r>
          </w:p>
        </w:tc>
        <w:tc>
          <w:tcPr>
            <w:tcW w:w="260" w:type="dxa"/>
            <w:vAlign w:val="bottom"/>
            <w:shd w:val="clear" w:color="auto" w:fill="CCEEFF"/>
          </w:tcPr>
          <w:p>
            <w:pPr>
              <w:spacing w:after="0"/>
              <w:rPr>
                <w:sz w:val="17"/>
                <w:szCs w:val="17"/>
                <w:color w:val="auto"/>
              </w:rPr>
            </w:pPr>
          </w:p>
        </w:tc>
      </w:tr>
      <w:tr>
        <w:trPr>
          <w:trHeight w:val="203"/>
        </w:trPr>
        <w:tc>
          <w:tcPr>
            <w:tcW w:w="50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Non-interest income</w:t>
            </w:r>
          </w:p>
        </w:tc>
        <w:tc>
          <w:tcPr>
            <w:tcW w:w="1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31,445</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30,499</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27,517</w:t>
            </w:r>
          </w:p>
        </w:tc>
        <w:tc>
          <w:tcPr>
            <w:tcW w:w="260" w:type="dxa"/>
            <w:vAlign w:val="bottom"/>
          </w:tcPr>
          <w:p>
            <w:pPr>
              <w:spacing w:after="0"/>
              <w:rPr>
                <w:sz w:val="17"/>
                <w:szCs w:val="17"/>
                <w:color w:val="auto"/>
              </w:rPr>
            </w:pPr>
          </w:p>
        </w:tc>
      </w:tr>
      <w:tr>
        <w:trPr>
          <w:trHeight w:val="188"/>
        </w:trPr>
        <w:tc>
          <w:tcPr>
            <w:tcW w:w="508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w w:val="93"/>
              </w:rPr>
              <w:t>Less net (gains) losses on sales of securities and unrealized (gains)</w:t>
            </w: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r>
      <w:tr>
        <w:trPr>
          <w:trHeight w:val="217"/>
        </w:trPr>
        <w:tc>
          <w:tcPr>
            <w:tcW w:w="5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losses recognized on equity securities</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(1,641)</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(855)</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(587)</w:t>
            </w:r>
          </w:p>
        </w:tc>
      </w:tr>
      <w:tr>
        <w:trPr>
          <w:trHeight w:val="203"/>
        </w:trPr>
        <w:tc>
          <w:tcPr>
            <w:tcW w:w="50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Non-interest expense</w:t>
            </w:r>
          </w:p>
        </w:tc>
        <w:tc>
          <w:tcPr>
            <w:tcW w:w="140" w:type="dxa"/>
            <w:vAlign w:val="bottom"/>
          </w:tcPr>
          <w:p>
            <w:pPr>
              <w:spacing w:after="0"/>
              <w:rPr>
                <w:sz w:val="17"/>
                <w:szCs w:val="17"/>
                <w:color w:val="auto"/>
              </w:rPr>
            </w:pPr>
          </w:p>
        </w:tc>
        <w:tc>
          <w:tcPr>
            <w:tcW w:w="1160" w:type="dxa"/>
            <w:vAlign w:val="bottom"/>
            <w:gridSpan w:val="2"/>
          </w:tcPr>
          <w:p>
            <w:pPr>
              <w:jc w:val="right"/>
              <w:ind w:right="168"/>
              <w:spacing w:after="0" w:line="202" w:lineRule="exact"/>
              <w:rPr>
                <w:sz w:val="20"/>
                <w:szCs w:val="20"/>
                <w:color w:val="auto"/>
              </w:rPr>
            </w:pPr>
            <w:r>
              <w:rPr>
                <w:rFonts w:ascii="Arial" w:cs="Arial" w:eastAsia="Arial" w:hAnsi="Arial"/>
                <w:sz w:val="18"/>
                <w:szCs w:val="18"/>
                <w:color w:val="auto"/>
              </w:rPr>
              <w:t>(54,499)</w:t>
            </w:r>
          </w:p>
        </w:tc>
        <w:tc>
          <w:tcPr>
            <w:tcW w:w="100" w:type="dxa"/>
            <w:vAlign w:val="bottom"/>
          </w:tcPr>
          <w:p>
            <w:pPr>
              <w:spacing w:after="0"/>
              <w:rPr>
                <w:sz w:val="17"/>
                <w:szCs w:val="17"/>
                <w:color w:val="auto"/>
              </w:rPr>
            </w:pPr>
          </w:p>
        </w:tc>
        <w:tc>
          <w:tcPr>
            <w:tcW w:w="12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(64,073)</w:t>
            </w:r>
          </w:p>
        </w:tc>
        <w:tc>
          <w:tcPr>
            <w:tcW w:w="120" w:type="dxa"/>
            <w:vAlign w:val="bottom"/>
          </w:tcPr>
          <w:p>
            <w:pPr>
              <w:spacing w:after="0"/>
              <w:rPr>
                <w:sz w:val="17"/>
                <w:szCs w:val="17"/>
                <w:color w:val="auto"/>
              </w:rPr>
            </w:pPr>
          </w:p>
        </w:tc>
        <w:tc>
          <w:tcPr>
            <w:tcW w:w="11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(60,514)</w:t>
            </w:r>
          </w:p>
        </w:tc>
      </w:tr>
      <w:tr>
        <w:trPr>
          <w:trHeight w:val="196"/>
        </w:trPr>
        <w:tc>
          <w:tcPr>
            <w:tcW w:w="5080" w:type="dxa"/>
            <w:vAlign w:val="bottom"/>
            <w:tcBorders>
              <w:top w:val="single" w:sz="8" w:color="CCEEFF"/>
              <w:bottom w:val="single" w:sz="8" w:color="CCEEFF"/>
            </w:tcBorders>
            <w:gridSpan w:val="2"/>
            <w:shd w:val="clear" w:color="auto" w:fill="CCEEFF"/>
          </w:tcPr>
          <w:p>
            <w:pPr>
              <w:ind w:left="220"/>
              <w:spacing w:after="0" w:line="196" w:lineRule="exact"/>
              <w:rPr>
                <w:sz w:val="20"/>
                <w:szCs w:val="20"/>
                <w:color w:val="auto"/>
              </w:rPr>
            </w:pPr>
            <w:r>
              <w:rPr>
                <w:rFonts w:ascii="Arial" w:cs="Arial" w:eastAsia="Arial" w:hAnsi="Arial"/>
                <w:sz w:val="18"/>
                <w:szCs w:val="18"/>
                <w:color w:val="auto"/>
              </w:rPr>
              <w:t>Pre-provision net revenue</w:t>
            </w: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40,198</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38,507</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35,849</w:t>
            </w: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22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83"/>
        </w:trPr>
        <w:tc>
          <w:tcPr>
            <w:tcW w:w="224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203"/>
        </w:trPr>
        <w:tc>
          <w:tcPr>
            <w:tcW w:w="508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Acquisition and other restructuring expenses</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320</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7,550</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145</w:t>
            </w:r>
          </w:p>
        </w:tc>
        <w:tc>
          <w:tcPr>
            <w:tcW w:w="260" w:type="dxa"/>
            <w:vAlign w:val="bottom"/>
            <w:shd w:val="clear" w:color="auto" w:fill="CCEEFF"/>
          </w:tcPr>
          <w:p>
            <w:pPr>
              <w:spacing w:after="0"/>
              <w:rPr>
                <w:sz w:val="17"/>
                <w:szCs w:val="17"/>
                <w:color w:val="auto"/>
              </w:rPr>
            </w:pPr>
          </w:p>
        </w:tc>
      </w:tr>
      <w:tr>
        <w:trPr>
          <w:trHeight w:val="203"/>
        </w:trPr>
        <w:tc>
          <w:tcPr>
            <w:tcW w:w="50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Provision for unfunded commitments</w:t>
            </w:r>
          </w:p>
        </w:tc>
        <w:tc>
          <w:tcPr>
            <w:tcW w:w="1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406</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(12)</w:t>
            </w:r>
          </w:p>
        </w:tc>
        <w:tc>
          <w:tcPr>
            <w:tcW w:w="1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1,017</w:t>
            </w:r>
          </w:p>
        </w:tc>
        <w:tc>
          <w:tcPr>
            <w:tcW w:w="260" w:type="dxa"/>
            <w:vAlign w:val="bottom"/>
          </w:tcPr>
          <w:p>
            <w:pPr>
              <w:spacing w:after="0"/>
              <w:rPr>
                <w:sz w:val="17"/>
                <w:szCs w:val="17"/>
                <w:color w:val="auto"/>
              </w:rPr>
            </w:pPr>
          </w:p>
        </w:tc>
      </w:tr>
      <w:tr>
        <w:trPr>
          <w:trHeight w:val="203"/>
        </w:trPr>
        <w:tc>
          <w:tcPr>
            <w:tcW w:w="508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New Market Tax Credit amortization</w:t>
            </w:r>
          </w:p>
        </w:tc>
        <w:tc>
          <w:tcPr>
            <w:tcW w:w="1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1,829</w:t>
            </w:r>
          </w:p>
        </w:tc>
        <w:tc>
          <w:tcPr>
            <w:tcW w:w="2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1,111</w:t>
            </w:r>
          </w:p>
        </w:tc>
        <w:tc>
          <w:tcPr>
            <w:tcW w:w="2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1,200</w:t>
            </w:r>
          </w:p>
        </w:tc>
        <w:tc>
          <w:tcPr>
            <w:tcW w:w="260" w:type="dxa"/>
            <w:vAlign w:val="bottom"/>
            <w:shd w:val="clear" w:color="auto" w:fill="CCEEFF"/>
          </w:tcPr>
          <w:p>
            <w:pPr>
              <w:spacing w:after="0"/>
              <w:rPr>
                <w:sz w:val="17"/>
                <w:szCs w:val="17"/>
                <w:color w:val="auto"/>
              </w:rPr>
            </w:pPr>
          </w:p>
        </w:tc>
      </w:tr>
      <w:tr>
        <w:trPr>
          <w:trHeight w:val="236"/>
        </w:trPr>
        <w:tc>
          <w:tcPr>
            <w:tcW w:w="5080" w:type="dxa"/>
            <w:vAlign w:val="bottom"/>
            <w:tcBorders>
              <w:bottom w:val="single" w:sz="8" w:color="CCEEFF"/>
            </w:tcBorders>
            <w:gridSpan w:val="2"/>
          </w:tcPr>
          <w:p>
            <w:pPr>
              <w:ind w:left="220"/>
              <w:spacing w:after="0" w:line="196" w:lineRule="exact"/>
              <w:rPr>
                <w:sz w:val="20"/>
                <w:szCs w:val="20"/>
                <w:color w:val="auto"/>
              </w:rPr>
            </w:pPr>
            <w:r>
              <w:rPr>
                <w:rFonts w:ascii="Arial" w:cs="Arial" w:eastAsia="Arial" w:hAnsi="Arial"/>
                <w:sz w:val="18"/>
                <w:szCs w:val="18"/>
                <w:b w:val="1"/>
                <w:bCs w:val="1"/>
                <w:color w:val="auto"/>
              </w:rPr>
              <w:t xml:space="preserve">Adjusted: </w:t>
            </w:r>
            <w:r>
              <w:rPr>
                <w:rFonts w:ascii="Arial" w:cs="Arial" w:eastAsia="Arial" w:hAnsi="Arial"/>
                <w:sz w:val="18"/>
                <w:szCs w:val="18"/>
                <w:color w:val="auto"/>
              </w:rPr>
              <w:t>Pre-provision net revenue</w:t>
            </w: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42,753</w:t>
            </w:r>
          </w:p>
        </w:tc>
        <w:tc>
          <w:tcPr>
            <w:tcW w:w="2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47,156</w:t>
            </w:r>
          </w:p>
        </w:tc>
        <w:tc>
          <w:tcPr>
            <w:tcW w:w="2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38,211</w:t>
            </w:r>
          </w:p>
        </w:tc>
        <w:tc>
          <w:tcPr>
            <w:tcW w:w="260" w:type="dxa"/>
            <w:vAlign w:val="bottom"/>
            <w:tcBorders>
              <w:bottom w:val="single" w:sz="8" w:color="CCEEFF"/>
            </w:tcBorders>
          </w:tcPr>
          <w:p>
            <w:pPr>
              <w:spacing w:after="0"/>
              <w:rPr>
                <w:sz w:val="20"/>
                <w:szCs w:val="20"/>
                <w:color w:val="auto"/>
              </w:rPr>
            </w:pPr>
          </w:p>
        </w:tc>
      </w:tr>
      <w:tr>
        <w:trPr>
          <w:trHeight w:val="183"/>
        </w:trPr>
        <w:tc>
          <w:tcPr>
            <w:tcW w:w="2240" w:type="dxa"/>
            <w:vAlign w:val="bottom"/>
            <w:shd w:val="clear" w:color="auto" w:fill="CCEEFF"/>
          </w:tcPr>
          <w:p>
            <w:pPr>
              <w:spacing w:after="0"/>
              <w:rPr>
                <w:sz w:val="15"/>
                <w:szCs w:val="15"/>
                <w:color w:val="auto"/>
              </w:rPr>
            </w:pPr>
          </w:p>
        </w:tc>
        <w:tc>
          <w:tcPr>
            <w:tcW w:w="2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r>
      <w:tr>
        <w:trPr>
          <w:trHeight w:val="203"/>
        </w:trPr>
        <w:tc>
          <w:tcPr>
            <w:tcW w:w="5080" w:type="dxa"/>
            <w:vAlign w:val="bottom"/>
            <w:gridSpan w:val="2"/>
          </w:tcPr>
          <w:p>
            <w:pPr>
              <w:ind w:left="20"/>
              <w:spacing w:after="0" w:line="202" w:lineRule="exact"/>
              <w:rPr>
                <w:sz w:val="20"/>
                <w:szCs w:val="20"/>
                <w:color w:val="auto"/>
              </w:rPr>
            </w:pPr>
            <w:r>
              <w:rPr>
                <w:rFonts w:ascii="Arial" w:cs="Arial" w:eastAsia="Arial" w:hAnsi="Arial"/>
                <w:sz w:val="18"/>
                <w:szCs w:val="18"/>
                <w:b w:val="1"/>
                <w:bCs w:val="1"/>
                <w:color w:val="auto"/>
              </w:rPr>
              <w:t>Average total assets</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w w:val="93"/>
              </w:rPr>
              <w:t>10,594,245</w:t>
            </w:r>
          </w:p>
        </w:tc>
        <w:tc>
          <w:tcPr>
            <w:tcW w:w="240" w:type="dxa"/>
            <w:vAlign w:val="bottom"/>
          </w:tcPr>
          <w:p>
            <w:pPr>
              <w:spacing w:after="0"/>
              <w:rPr>
                <w:sz w:val="17"/>
                <w:szCs w:val="17"/>
                <w:color w:val="auto"/>
              </w:rPr>
            </w:pP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w w:val="97"/>
              </w:rPr>
              <w:t>10,419,364</w:t>
            </w:r>
          </w:p>
        </w:tc>
        <w:tc>
          <w:tcPr>
            <w:tcW w:w="2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w w:val="97"/>
              </w:rPr>
              <w:t>9,688,177</w:t>
            </w:r>
          </w:p>
        </w:tc>
        <w:tc>
          <w:tcPr>
            <w:tcW w:w="260" w:type="dxa"/>
            <w:vAlign w:val="bottom"/>
          </w:tcPr>
          <w:p>
            <w:pPr>
              <w:spacing w:after="0"/>
              <w:rPr>
                <w:sz w:val="17"/>
                <w:szCs w:val="17"/>
                <w:color w:val="auto"/>
              </w:rPr>
            </w:pPr>
          </w:p>
        </w:tc>
      </w:tr>
      <w:tr>
        <w:trPr>
          <w:trHeight w:val="203"/>
        </w:trPr>
        <w:tc>
          <w:tcPr>
            <w:tcW w:w="2240" w:type="dxa"/>
            <w:vAlign w:val="bottom"/>
            <w:shd w:val="clear" w:color="auto" w:fill="CCEEFF"/>
          </w:tcPr>
          <w:p>
            <w:pPr>
              <w:spacing w:after="0"/>
              <w:rPr>
                <w:sz w:val="17"/>
                <w:szCs w:val="17"/>
                <w:color w:val="auto"/>
              </w:rPr>
            </w:pPr>
          </w:p>
        </w:tc>
        <w:tc>
          <w:tcPr>
            <w:tcW w:w="2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203"/>
        </w:trPr>
        <w:tc>
          <w:tcPr>
            <w:tcW w:w="5080" w:type="dxa"/>
            <w:vAlign w:val="bottom"/>
            <w:gridSpan w:val="2"/>
          </w:tcPr>
          <w:p>
            <w:pPr>
              <w:ind w:left="20"/>
              <w:spacing w:after="0" w:line="202" w:lineRule="exact"/>
              <w:rPr>
                <w:sz w:val="20"/>
                <w:szCs w:val="20"/>
                <w:color w:val="auto"/>
              </w:rPr>
            </w:pPr>
            <w:r>
              <w:rPr>
                <w:rFonts w:ascii="Arial" w:cs="Arial" w:eastAsia="Arial" w:hAnsi="Arial"/>
                <w:sz w:val="16"/>
                <w:szCs w:val="16"/>
                <w:b w:val="1"/>
                <w:bCs w:val="1"/>
                <w:color w:val="auto"/>
              </w:rPr>
              <w:t>Reported</w:t>
            </w:r>
            <w:r>
              <w:rPr>
                <w:rFonts w:ascii="Arial" w:cs="Arial" w:eastAsia="Arial" w:hAnsi="Arial"/>
                <w:sz w:val="16"/>
                <w:szCs w:val="16"/>
                <w:color w:val="auto"/>
              </w:rPr>
              <w:t>: Pre-provision net revenue to average assets</w:t>
            </w:r>
            <w:r>
              <w:rPr>
                <w:rFonts w:ascii="Arial" w:cs="Arial" w:eastAsia="Arial" w:hAnsi="Arial"/>
                <w:sz w:val="23"/>
                <w:szCs w:val="23"/>
                <w:color w:val="auto"/>
                <w:vertAlign w:val="superscript"/>
              </w:rPr>
              <w:t>(1)</w:t>
            </w:r>
          </w:p>
        </w:tc>
        <w:tc>
          <w:tcPr>
            <w:tcW w:w="140" w:type="dxa"/>
            <w:vAlign w:val="bottom"/>
          </w:tcPr>
          <w:p>
            <w:pPr>
              <w:spacing w:after="0"/>
              <w:rPr>
                <w:sz w:val="17"/>
                <w:szCs w:val="17"/>
                <w:color w:val="auto"/>
              </w:rPr>
            </w:pPr>
          </w:p>
        </w:tc>
        <w:tc>
          <w:tcPr>
            <w:tcW w:w="1160" w:type="dxa"/>
            <w:vAlign w:val="bottom"/>
            <w:gridSpan w:val="2"/>
          </w:tcPr>
          <w:p>
            <w:pPr>
              <w:jc w:val="right"/>
              <w:ind w:right="28"/>
              <w:spacing w:after="0" w:line="202" w:lineRule="exact"/>
              <w:rPr>
                <w:sz w:val="20"/>
                <w:szCs w:val="20"/>
                <w:color w:val="auto"/>
              </w:rPr>
            </w:pPr>
            <w:r>
              <w:rPr>
                <w:rFonts w:ascii="Arial" w:cs="Arial" w:eastAsia="Arial" w:hAnsi="Arial"/>
                <w:sz w:val="18"/>
                <w:szCs w:val="18"/>
                <w:color w:val="auto"/>
              </w:rPr>
              <w:t>1.54 %</w:t>
            </w:r>
          </w:p>
        </w:tc>
        <w:tc>
          <w:tcPr>
            <w:tcW w:w="100" w:type="dxa"/>
            <w:vAlign w:val="bottom"/>
          </w:tcPr>
          <w:p>
            <w:pPr>
              <w:spacing w:after="0"/>
              <w:rPr>
                <w:sz w:val="17"/>
                <w:szCs w:val="17"/>
                <w:color w:val="auto"/>
              </w:rPr>
            </w:pPr>
          </w:p>
        </w:tc>
        <w:tc>
          <w:tcPr>
            <w:tcW w:w="12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1.47 %</w:t>
            </w:r>
          </w:p>
        </w:tc>
        <w:tc>
          <w:tcPr>
            <w:tcW w:w="120" w:type="dxa"/>
            <w:vAlign w:val="bottom"/>
          </w:tcPr>
          <w:p>
            <w:pPr>
              <w:spacing w:after="0"/>
              <w:rPr>
                <w:sz w:val="17"/>
                <w:szCs w:val="17"/>
                <w:color w:val="auto"/>
              </w:rPr>
            </w:pPr>
          </w:p>
        </w:tc>
        <w:tc>
          <w:tcPr>
            <w:tcW w:w="11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1.49 %</w:t>
            </w:r>
          </w:p>
        </w:tc>
      </w:tr>
      <w:tr>
        <w:trPr>
          <w:trHeight w:val="203"/>
        </w:trPr>
        <w:tc>
          <w:tcPr>
            <w:tcW w:w="508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6"/>
                <w:szCs w:val="16"/>
                <w:b w:val="1"/>
                <w:bCs w:val="1"/>
                <w:color w:val="auto"/>
              </w:rPr>
              <w:t>Adjusted</w:t>
            </w:r>
            <w:r>
              <w:rPr>
                <w:rFonts w:ascii="Arial" w:cs="Arial" w:eastAsia="Arial" w:hAnsi="Arial"/>
                <w:sz w:val="16"/>
                <w:szCs w:val="16"/>
                <w:color w:val="auto"/>
              </w:rPr>
              <w:t>: Pre-provision net revenue to average assets</w:t>
            </w:r>
            <w:r>
              <w:rPr>
                <w:rFonts w:ascii="Arial" w:cs="Arial" w:eastAsia="Arial" w:hAnsi="Arial"/>
                <w:sz w:val="23"/>
                <w:szCs w:val="23"/>
                <w:color w:val="auto"/>
                <w:vertAlign w:val="superscript"/>
              </w:rPr>
              <w:t>(1)</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8"/>
              <w:spacing w:after="0" w:line="202" w:lineRule="exact"/>
              <w:rPr>
                <w:sz w:val="20"/>
                <w:szCs w:val="20"/>
                <w:color w:val="auto"/>
              </w:rPr>
            </w:pPr>
            <w:r>
              <w:rPr>
                <w:rFonts w:ascii="Arial" w:cs="Arial" w:eastAsia="Arial" w:hAnsi="Arial"/>
                <w:sz w:val="18"/>
                <w:szCs w:val="18"/>
                <w:color w:val="auto"/>
              </w:rPr>
              <w:t>1.64 %</w:t>
            </w: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1.80 %</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1.59 %</w:t>
            </w:r>
          </w:p>
        </w:tc>
      </w:tr>
      <w:tr>
        <w:trPr>
          <w:trHeight w:val="115"/>
        </w:trPr>
        <w:tc>
          <w:tcPr>
            <w:tcW w:w="2240" w:type="dxa"/>
            <w:vAlign w:val="bottom"/>
            <w:tcBorders>
              <w:bottom w:val="single" w:sz="8" w:color="auto"/>
            </w:tcBorders>
          </w:tcPr>
          <w:p>
            <w:pPr>
              <w:spacing w:after="0"/>
              <w:rPr>
                <w:sz w:val="10"/>
                <w:szCs w:val="10"/>
                <w:color w:val="auto"/>
              </w:rPr>
            </w:pPr>
          </w:p>
        </w:tc>
        <w:tc>
          <w:tcPr>
            <w:tcW w:w="2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60" w:type="dxa"/>
            <w:vAlign w:val="bottom"/>
          </w:tcPr>
          <w:p>
            <w:pPr>
              <w:spacing w:after="0"/>
              <w:rPr>
                <w:sz w:val="10"/>
                <w:szCs w:val="10"/>
                <w:color w:val="auto"/>
              </w:rPr>
            </w:pPr>
          </w:p>
        </w:tc>
      </w:tr>
    </w:tbl>
    <w:p>
      <w:pPr>
        <w:spacing w:after="0" w:line="62" w:lineRule="exact"/>
        <w:rPr>
          <w:sz w:val="20"/>
          <w:szCs w:val="20"/>
          <w:color w:val="auto"/>
        </w:rPr>
      </w:pPr>
    </w:p>
    <w:p>
      <w:pPr>
        <w:ind w:left="160"/>
        <w:spacing w:after="0"/>
        <w:tabs>
          <w:tab w:leader="none" w:pos="460" w:val="left"/>
        </w:tabs>
        <w:rPr>
          <w:sz w:val="20"/>
          <w:szCs w:val="20"/>
          <w:color w:val="auto"/>
        </w:rPr>
      </w:pPr>
      <w:r>
        <w:rPr>
          <w:rFonts w:ascii="Arial" w:cs="Arial" w:eastAsia="Arial" w:hAnsi="Arial"/>
          <w:sz w:val="13"/>
          <w:szCs w:val="13"/>
          <w:color w:val="auto"/>
        </w:rPr>
        <w:t>(1)</w:t>
      </w:r>
      <w:r>
        <w:rPr>
          <w:sz w:val="20"/>
          <w:szCs w:val="20"/>
          <w:color w:val="auto"/>
        </w:rPr>
        <w:tab/>
      </w:r>
      <w:r>
        <w:rPr>
          <w:rFonts w:ascii="Arial" w:cs="Arial" w:eastAsia="Arial" w:hAnsi="Arial"/>
          <w:sz w:val="14"/>
          <w:szCs w:val="14"/>
          <w:color w:val="auto"/>
        </w:rPr>
        <w:t>Annualized measure.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4" w:name="page55"/>
    <w:bookmarkEnd w:id="5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7"/>
          <w:szCs w:val="17"/>
          <w:u w:val="single" w:color="auto"/>
          <w:color w:val="auto"/>
        </w:rPr>
        <w:t>Reconciliation of Non-GAAP Financial Measures — Adjusted Net Income, Adjusted Diluted Earnings Per Share, and</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Adjusted Return on Average Assets</w:t>
      </w:r>
    </w:p>
    <w:p>
      <w:pPr>
        <w:jc w:val="center"/>
        <w:ind w:right="19"/>
        <w:spacing w:after="0"/>
        <w:rPr>
          <w:sz w:val="20"/>
          <w:szCs w:val="20"/>
          <w:color w:val="auto"/>
        </w:rPr>
      </w:pPr>
      <w:r>
        <w:rPr>
          <w:rFonts w:ascii="Arial" w:cs="Arial" w:eastAsia="Arial" w:hAnsi="Arial"/>
          <w:sz w:val="18"/>
          <w:szCs w:val="18"/>
          <w:i w:val="1"/>
          <w:iCs w:val="1"/>
          <w:color w:val="auto"/>
        </w:rPr>
        <w:t>(unaudited, dollars in thousands, except per share amounts)</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right"/>
              <w:ind w:right="308"/>
              <w:spacing w:after="0" w:line="133" w:lineRule="exact"/>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1"/>
                <w:szCs w:val="11"/>
                <w:color w:val="auto"/>
              </w:rPr>
            </w:pPr>
          </w:p>
        </w:tc>
        <w:tc>
          <w:tcPr>
            <w:tcW w:w="112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92"/>
              </w:rPr>
              <w:t>December 31,</w:t>
            </w:r>
          </w:p>
        </w:tc>
        <w:tc>
          <w:tcPr>
            <w:tcW w:w="140" w:type="dxa"/>
            <w:vAlign w:val="bottom"/>
          </w:tcPr>
          <w:p>
            <w:pPr>
              <w:spacing w:after="0"/>
              <w:rPr>
                <w:sz w:val="11"/>
                <w:szCs w:val="11"/>
                <w:color w:val="auto"/>
              </w:rPr>
            </w:pPr>
          </w:p>
        </w:tc>
        <w:tc>
          <w:tcPr>
            <w:tcW w:w="920" w:type="dxa"/>
            <w:vAlign w:val="bottom"/>
          </w:tcPr>
          <w:p>
            <w:pPr>
              <w:jc w:val="right"/>
              <w:ind w:right="152"/>
              <w:spacing w:after="0" w:line="133" w:lineRule="exact"/>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220" w:type="dxa"/>
            <w:vAlign w:val="bottom"/>
            <w:tcBorders>
              <w:bottom w:val="single" w:sz="8" w:color="CCEEFF"/>
            </w:tcBorders>
          </w:tcPr>
          <w:p>
            <w:pPr>
              <w:spacing w:after="0"/>
              <w:rPr>
                <w:sz w:val="16"/>
                <w:szCs w:val="16"/>
                <w:color w:val="auto"/>
              </w:rPr>
            </w:pPr>
          </w:p>
        </w:tc>
        <w:tc>
          <w:tcPr>
            <w:tcW w:w="2020" w:type="dxa"/>
            <w:vAlign w:val="bottom"/>
            <w:tcBorders>
              <w:bottom w:val="single" w:sz="8" w:color="CCEEFF"/>
            </w:tcBorders>
          </w:tcPr>
          <w:p>
            <w:pPr>
              <w:spacing w:after="0"/>
              <w:rPr>
                <w:sz w:val="16"/>
                <w:szCs w:val="16"/>
                <w:color w:val="auto"/>
              </w:rPr>
            </w:pPr>
          </w:p>
        </w:tc>
        <w:tc>
          <w:tcPr>
            <w:tcW w:w="10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96"/>
              </w:rPr>
              <w:t>2020</w:t>
            </w:r>
          </w:p>
        </w:tc>
        <w:tc>
          <w:tcPr>
            <w:tcW w:w="1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 xml:space="preserve">Reported: </w:t>
            </w:r>
            <w:r>
              <w:rPr>
                <w:rFonts w:ascii="Arial" w:cs="Arial" w:eastAsia="Arial" w:hAnsi="Arial"/>
                <w:sz w:val="18"/>
                <w:szCs w:val="18"/>
                <w:color w:val="auto"/>
              </w:rPr>
              <w:t>Net income</w:t>
            </w: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37,816</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28,345</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15,364</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4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Acquisition expenses:</w:t>
            </w: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40" w:type="dxa"/>
            <w:vAlign w:val="bottom"/>
            <w:gridSpan w:val="2"/>
            <w:shd w:val="clear" w:color="auto" w:fill="CCEEFF"/>
          </w:tcPr>
          <w:p>
            <w:pPr>
              <w:ind w:left="420"/>
              <w:spacing w:after="0" w:line="202" w:lineRule="exact"/>
              <w:rPr>
                <w:sz w:val="20"/>
                <w:szCs w:val="20"/>
                <w:color w:val="auto"/>
              </w:rPr>
            </w:pPr>
            <w:r>
              <w:rPr>
                <w:rFonts w:ascii="Arial" w:cs="Arial" w:eastAsia="Arial" w:hAnsi="Arial"/>
                <w:sz w:val="18"/>
                <w:szCs w:val="18"/>
                <w:color w:val="auto"/>
              </w:rPr>
              <w:t>Salaries, wages, and employee benefits</w:t>
            </w: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8"/>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40" w:type="dxa"/>
            <w:vAlign w:val="bottom"/>
            <w:gridSpan w:val="2"/>
          </w:tcPr>
          <w:p>
            <w:pPr>
              <w:ind w:left="420"/>
              <w:spacing w:after="0" w:line="202" w:lineRule="exact"/>
              <w:rPr>
                <w:sz w:val="20"/>
                <w:szCs w:val="20"/>
                <w:color w:val="auto"/>
              </w:rPr>
            </w:pPr>
            <w:r>
              <w:rPr>
                <w:rFonts w:ascii="Arial" w:cs="Arial" w:eastAsia="Arial" w:hAnsi="Arial"/>
                <w:sz w:val="18"/>
                <w:szCs w:val="18"/>
                <w:color w:val="auto"/>
              </w:rPr>
              <w:t>Data processing</w:t>
            </w: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7</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56</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40" w:type="dxa"/>
            <w:vAlign w:val="bottom"/>
            <w:gridSpan w:val="2"/>
            <w:shd w:val="clear" w:color="auto" w:fill="CCEEFF"/>
          </w:tcPr>
          <w:p>
            <w:pPr>
              <w:ind w:left="420"/>
              <w:spacing w:after="0" w:line="202" w:lineRule="exact"/>
              <w:rPr>
                <w:sz w:val="20"/>
                <w:szCs w:val="20"/>
                <w:color w:val="auto"/>
              </w:rPr>
            </w:pPr>
            <w:r>
              <w:rPr>
                <w:rFonts w:ascii="Arial" w:cs="Arial" w:eastAsia="Arial" w:hAnsi="Arial"/>
                <w:sz w:val="18"/>
                <w:szCs w:val="18"/>
                <w:color w:val="auto"/>
              </w:rPr>
              <w:t>Lease or fixed asset impairment</w:t>
            </w: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8"/>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245</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40" w:type="dxa"/>
            <w:vAlign w:val="bottom"/>
            <w:gridSpan w:val="2"/>
          </w:tcPr>
          <w:p>
            <w:pPr>
              <w:ind w:left="420"/>
              <w:spacing w:after="0" w:line="202" w:lineRule="exact"/>
              <w:rPr>
                <w:sz w:val="20"/>
                <w:szCs w:val="20"/>
                <w:color w:val="auto"/>
              </w:rPr>
            </w:pPr>
            <w:r>
              <w:rPr>
                <w:rFonts w:ascii="Arial" w:cs="Arial" w:eastAsia="Arial" w:hAnsi="Arial"/>
                <w:sz w:val="18"/>
                <w:szCs w:val="18"/>
                <w:color w:val="auto"/>
              </w:rPr>
              <w:t>Professional fees and other</w:t>
            </w: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313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479</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145</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4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Other restructuring costs:</w:t>
            </w: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40" w:type="dxa"/>
            <w:vAlign w:val="bottom"/>
            <w:gridSpan w:val="2"/>
          </w:tcPr>
          <w:p>
            <w:pPr>
              <w:ind w:left="420"/>
              <w:spacing w:after="0" w:line="202" w:lineRule="exact"/>
              <w:rPr>
                <w:sz w:val="20"/>
                <w:szCs w:val="20"/>
                <w:color w:val="auto"/>
              </w:rPr>
            </w:pPr>
            <w:r>
              <w:rPr>
                <w:rFonts w:ascii="Arial" w:cs="Arial" w:eastAsia="Arial" w:hAnsi="Arial"/>
                <w:sz w:val="18"/>
                <w:szCs w:val="18"/>
                <w:color w:val="auto"/>
              </w:rPr>
              <w:t>Salaries, wages, and employee benefits</w:t>
            </w: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148"/>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113</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40" w:type="dxa"/>
            <w:vAlign w:val="bottom"/>
            <w:gridSpan w:val="2"/>
            <w:shd w:val="clear" w:color="auto" w:fill="CCEEFF"/>
          </w:tcPr>
          <w:p>
            <w:pPr>
              <w:ind w:left="420"/>
              <w:spacing w:after="0" w:line="202" w:lineRule="exact"/>
              <w:rPr>
                <w:sz w:val="20"/>
                <w:szCs w:val="20"/>
                <w:color w:val="auto"/>
              </w:rPr>
            </w:pPr>
            <w:r>
              <w:rPr>
                <w:rFonts w:ascii="Arial" w:cs="Arial" w:eastAsia="Arial" w:hAnsi="Arial"/>
                <w:sz w:val="18"/>
                <w:szCs w:val="18"/>
                <w:color w:val="auto"/>
              </w:rPr>
              <w:t>Data processing</w:t>
            </w: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8"/>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40" w:type="dxa"/>
            <w:vAlign w:val="bottom"/>
            <w:gridSpan w:val="2"/>
          </w:tcPr>
          <w:p>
            <w:pPr>
              <w:ind w:left="420"/>
              <w:spacing w:after="0" w:line="202" w:lineRule="exact"/>
              <w:rPr>
                <w:sz w:val="20"/>
                <w:szCs w:val="20"/>
                <w:color w:val="auto"/>
              </w:rPr>
            </w:pPr>
            <w:r>
              <w:rPr>
                <w:rFonts w:ascii="Arial" w:cs="Arial" w:eastAsia="Arial" w:hAnsi="Arial"/>
                <w:sz w:val="18"/>
                <w:szCs w:val="18"/>
                <w:color w:val="auto"/>
              </w:rPr>
              <w:t>Lease or fixed asset impairment</w:t>
            </w: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148"/>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6,657</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40" w:type="dxa"/>
            <w:vAlign w:val="bottom"/>
            <w:gridSpan w:val="2"/>
            <w:shd w:val="clear" w:color="auto" w:fill="CCEEFF"/>
          </w:tcPr>
          <w:p>
            <w:pPr>
              <w:ind w:left="420"/>
              <w:spacing w:after="0" w:line="202" w:lineRule="exact"/>
              <w:rPr>
                <w:sz w:val="20"/>
                <w:szCs w:val="20"/>
                <w:color w:val="auto"/>
              </w:rPr>
            </w:pPr>
            <w:r>
              <w:rPr>
                <w:rFonts w:ascii="Arial" w:cs="Arial" w:eastAsia="Arial" w:hAnsi="Arial"/>
                <w:sz w:val="18"/>
                <w:szCs w:val="18"/>
                <w:color w:val="auto"/>
              </w:rPr>
              <w:t>Professional fees and other</w:t>
            </w: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8"/>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40" w:type="dxa"/>
            <w:vAlign w:val="bottom"/>
            <w:tcBorders>
              <w:bottom w:val="single" w:sz="8" w:color="CCEEFF"/>
            </w:tcBorders>
            <w:gridSpan w:val="2"/>
          </w:tcPr>
          <w:p>
            <w:pPr>
              <w:ind w:left="220"/>
              <w:spacing w:after="0" w:line="202" w:lineRule="exact"/>
              <w:rPr>
                <w:sz w:val="20"/>
                <w:szCs w:val="20"/>
                <w:color w:val="auto"/>
              </w:rPr>
            </w:pPr>
            <w:r>
              <w:rPr>
                <w:rFonts w:ascii="Arial" w:cs="Arial" w:eastAsia="Arial" w:hAnsi="Arial"/>
                <w:sz w:val="18"/>
                <w:szCs w:val="18"/>
                <w:color w:val="auto"/>
              </w:rPr>
              <w:t>Related tax benefit</w:t>
            </w:r>
          </w:p>
        </w:tc>
        <w:tc>
          <w:tcPr>
            <w:tcW w:w="10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(71)</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(1,640)</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w:t>
            </w:r>
          </w:p>
        </w:tc>
        <w:tc>
          <w:tcPr>
            <w:tcW w:w="1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40" w:type="dxa"/>
            <w:vAlign w:val="bottom"/>
            <w:tcBorders>
              <w:bottom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 xml:space="preserve">Adjusted: </w:t>
            </w:r>
            <w:r>
              <w:rPr>
                <w:rFonts w:ascii="Arial" w:cs="Arial" w:eastAsia="Arial" w:hAnsi="Arial"/>
                <w:sz w:val="18"/>
                <w:szCs w:val="18"/>
                <w:color w:val="auto"/>
              </w:rPr>
              <w:t>Net income</w:t>
            </w:r>
          </w:p>
        </w:tc>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38,065</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34,255</w:t>
            </w: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15,479</w:t>
            </w:r>
          </w:p>
        </w:tc>
        <w:tc>
          <w:tcPr>
            <w:tcW w:w="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22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2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Dilutive average common shares outstanding</w:t>
            </w: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3"/>
              </w:rPr>
              <w:t>55,035,806</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54,911,458</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3"/>
              </w:rPr>
              <w:t>54,913,329</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2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2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 xml:space="preserve">Reported: </w:t>
            </w:r>
            <w:r>
              <w:rPr>
                <w:rFonts w:ascii="Arial" w:cs="Arial" w:eastAsia="Arial" w:hAnsi="Arial"/>
                <w:sz w:val="18"/>
                <w:szCs w:val="18"/>
                <w:color w:val="auto"/>
              </w:rPr>
              <w:t>Diluted earnings per share</w:t>
            </w:r>
          </w:p>
        </w:tc>
        <w:tc>
          <w:tcPr>
            <w:tcW w:w="1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0.69</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0.52</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0.28</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4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 xml:space="preserve">Adjusted: </w:t>
            </w:r>
            <w:r>
              <w:rPr>
                <w:rFonts w:ascii="Arial" w:cs="Arial" w:eastAsia="Arial" w:hAnsi="Arial"/>
                <w:sz w:val="18"/>
                <w:szCs w:val="18"/>
                <w:color w:val="auto"/>
              </w:rPr>
              <w:t>Diluted earnings per share</w:t>
            </w: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0.69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0.62</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0.28</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240" w:type="dxa"/>
            <w:vAlign w:val="bottom"/>
            <w:gridSpan w:val="2"/>
          </w:tcPr>
          <w:p>
            <w:pPr>
              <w:spacing w:after="0" w:line="202" w:lineRule="exact"/>
              <w:rPr>
                <w:sz w:val="20"/>
                <w:szCs w:val="20"/>
                <w:color w:val="auto"/>
              </w:rPr>
            </w:pPr>
            <w:r>
              <w:rPr>
                <w:rFonts w:ascii="Arial" w:cs="Arial" w:eastAsia="Arial" w:hAnsi="Arial"/>
                <w:sz w:val="18"/>
                <w:szCs w:val="18"/>
                <w:color w:val="auto"/>
              </w:rPr>
              <w:t>Average total assets</w:t>
            </w: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w w:val="93"/>
              </w:rPr>
              <w:t>10,594,245</w:t>
            </w:r>
          </w:p>
        </w:tc>
        <w:tc>
          <w:tcPr>
            <w:tcW w:w="160" w:type="dxa"/>
            <w:vAlign w:val="bottom"/>
          </w:tcPr>
          <w:p>
            <w:pPr>
              <w:spacing w:after="0"/>
              <w:rPr>
                <w:sz w:val="17"/>
                <w:szCs w:val="17"/>
                <w:color w:val="auto"/>
              </w:rPr>
            </w:pP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w w:val="97"/>
              </w:rPr>
              <w:t>10,419,364</w:t>
            </w:r>
          </w:p>
        </w:tc>
        <w:tc>
          <w:tcPr>
            <w:tcW w:w="1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9,688,177</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240" w:type="dxa"/>
            <w:vAlign w:val="bottom"/>
            <w:gridSpan w:val="2"/>
          </w:tcPr>
          <w:p>
            <w:pPr>
              <w:spacing w:after="0" w:line="202" w:lineRule="exact"/>
              <w:rPr>
                <w:sz w:val="20"/>
                <w:szCs w:val="20"/>
                <w:color w:val="auto"/>
              </w:rPr>
            </w:pPr>
            <w:r>
              <w:rPr>
                <w:rFonts w:ascii="Arial" w:cs="Arial" w:eastAsia="Arial" w:hAnsi="Arial"/>
                <w:sz w:val="16"/>
                <w:szCs w:val="16"/>
                <w:b w:val="1"/>
                <w:bCs w:val="1"/>
                <w:color w:val="auto"/>
              </w:rPr>
              <w:t xml:space="preserve">Reported: </w:t>
            </w:r>
            <w:r>
              <w:rPr>
                <w:rFonts w:ascii="Arial" w:cs="Arial" w:eastAsia="Arial" w:hAnsi="Arial"/>
                <w:sz w:val="16"/>
                <w:szCs w:val="16"/>
                <w:color w:val="auto"/>
              </w:rPr>
              <w:t>Return on average assets</w:t>
            </w:r>
            <w:r>
              <w:rPr>
                <w:rFonts w:ascii="Arial" w:cs="Arial" w:eastAsia="Arial" w:hAnsi="Arial"/>
                <w:sz w:val="23"/>
                <w:szCs w:val="23"/>
                <w:color w:val="auto"/>
                <w:vertAlign w:val="superscript"/>
              </w:rPr>
              <w:t>(1)</w:t>
            </w: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1.45 %</w:t>
            </w:r>
          </w:p>
        </w:tc>
        <w:tc>
          <w:tcPr>
            <w:tcW w:w="100" w:type="dxa"/>
            <w:vAlign w:val="bottom"/>
          </w:tcPr>
          <w:p>
            <w:pPr>
              <w:spacing w:after="0"/>
              <w:rPr>
                <w:sz w:val="17"/>
                <w:szCs w:val="17"/>
                <w:color w:val="auto"/>
              </w:rPr>
            </w:pPr>
          </w:p>
        </w:tc>
        <w:tc>
          <w:tcPr>
            <w:tcW w:w="11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1.08 %</w:t>
            </w:r>
          </w:p>
        </w:tc>
        <w:tc>
          <w:tcPr>
            <w:tcW w:w="140" w:type="dxa"/>
            <w:vAlign w:val="bottom"/>
          </w:tcPr>
          <w:p>
            <w:pPr>
              <w:spacing w:after="0"/>
              <w:rPr>
                <w:sz w:val="17"/>
                <w:szCs w:val="17"/>
                <w:color w:val="auto"/>
              </w:rPr>
            </w:pPr>
          </w:p>
        </w:tc>
        <w:tc>
          <w:tcPr>
            <w:tcW w:w="10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0.64 %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40" w:type="dxa"/>
            <w:vAlign w:val="bottom"/>
            <w:gridSpan w:val="2"/>
            <w:shd w:val="clear" w:color="auto" w:fill="CCEEFF"/>
          </w:tcPr>
          <w:p>
            <w:pPr>
              <w:spacing w:after="0" w:line="202" w:lineRule="exact"/>
              <w:rPr>
                <w:sz w:val="20"/>
                <w:szCs w:val="20"/>
                <w:color w:val="auto"/>
              </w:rPr>
            </w:pPr>
            <w:r>
              <w:rPr>
                <w:rFonts w:ascii="Arial" w:cs="Arial" w:eastAsia="Arial" w:hAnsi="Arial"/>
                <w:sz w:val="16"/>
                <w:szCs w:val="16"/>
                <w:b w:val="1"/>
                <w:bCs w:val="1"/>
                <w:color w:val="auto"/>
              </w:rPr>
              <w:t xml:space="preserve">Adjusted: </w:t>
            </w:r>
            <w:r>
              <w:rPr>
                <w:rFonts w:ascii="Arial" w:cs="Arial" w:eastAsia="Arial" w:hAnsi="Arial"/>
                <w:sz w:val="16"/>
                <w:szCs w:val="16"/>
                <w:color w:val="auto"/>
              </w:rPr>
              <w:t>Return on average assets</w:t>
            </w:r>
            <w:r>
              <w:rPr>
                <w:rFonts w:ascii="Arial" w:cs="Arial" w:eastAsia="Arial" w:hAnsi="Arial"/>
                <w:sz w:val="23"/>
                <w:szCs w:val="23"/>
                <w:color w:val="auto"/>
                <w:vertAlign w:val="superscript"/>
              </w:rPr>
              <w:t>(1)</w:t>
            </w: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1.46 %</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1.31 %</w:t>
            </w: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0.64 %</w:t>
            </w:r>
          </w:p>
        </w:tc>
        <w:tc>
          <w:tcPr>
            <w:tcW w:w="0" w:type="dxa"/>
            <w:vAlign w:val="bottom"/>
          </w:tcPr>
          <w:p>
            <w:pPr>
              <w:spacing w:after="0"/>
              <w:rPr>
                <w:sz w:val="1"/>
                <w:szCs w:val="1"/>
                <w:color w:val="auto"/>
              </w:rPr>
            </w:pPr>
          </w:p>
        </w:tc>
      </w:tr>
      <w:tr>
        <w:trPr>
          <w:trHeight w:val="115"/>
        </w:trPr>
        <w:tc>
          <w:tcPr>
            <w:tcW w:w="2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tcPr>
          <w:p>
            <w:pPr>
              <w:spacing w:after="0"/>
              <w:rPr>
                <w:sz w:val="10"/>
                <w:szCs w:val="10"/>
                <w:color w:val="auto"/>
              </w:rPr>
            </w:pPr>
          </w:p>
        </w:tc>
        <w:tc>
          <w:tcPr>
            <w:tcW w:w="20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160"/>
        <w:spacing w:after="0"/>
        <w:tabs>
          <w:tab w:leader="none" w:pos="460" w:val="left"/>
        </w:tabs>
        <w:rPr>
          <w:sz w:val="20"/>
          <w:szCs w:val="20"/>
          <w:color w:val="auto"/>
        </w:rPr>
      </w:pPr>
      <w:r>
        <w:rPr>
          <w:rFonts w:ascii="Arial" w:cs="Arial" w:eastAsia="Arial" w:hAnsi="Arial"/>
          <w:sz w:val="13"/>
          <w:szCs w:val="13"/>
          <w:color w:val="auto"/>
        </w:rPr>
        <w:t>(1)</w:t>
      </w:r>
      <w:r>
        <w:rPr>
          <w:sz w:val="20"/>
          <w:szCs w:val="20"/>
          <w:color w:val="auto"/>
        </w:rPr>
        <w:tab/>
      </w:r>
      <w:r>
        <w:rPr>
          <w:rFonts w:ascii="Arial" w:cs="Arial" w:eastAsia="Arial" w:hAnsi="Arial"/>
          <w:sz w:val="14"/>
          <w:szCs w:val="14"/>
          <w:color w:val="auto"/>
        </w:rPr>
        <w:t>Annualized measure.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Reconciliation of Non-GAAP Financial Measures — Adjusted Net Interest Margin</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(unaudited, dollars in thousands)</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jc w:val="right"/>
              <w:ind w:right="308"/>
              <w:spacing w:after="0" w:line="133" w:lineRule="exact"/>
              <w:rPr>
                <w:sz w:val="20"/>
                <w:szCs w:val="20"/>
                <w:color w:val="auto"/>
              </w:rPr>
            </w:pPr>
            <w:r>
              <w:rPr>
                <w:rFonts w:ascii="Arial" w:cs="Arial" w:eastAsia="Arial" w:hAnsi="Arial"/>
                <w:sz w:val="14"/>
                <w:szCs w:val="14"/>
                <w:b w:val="1"/>
                <w:bCs w:val="1"/>
                <w:color w:val="auto"/>
                <w:w w:val="99"/>
              </w:rPr>
              <w:t>March 31,</w:t>
            </w:r>
          </w:p>
        </w:tc>
        <w:tc>
          <w:tcPr>
            <w:tcW w:w="40" w:type="dxa"/>
            <w:vAlign w:val="bottom"/>
          </w:tcPr>
          <w:p>
            <w:pPr>
              <w:spacing w:after="0"/>
              <w:rPr>
                <w:sz w:val="11"/>
                <w:szCs w:val="11"/>
                <w:color w:val="auto"/>
              </w:rPr>
            </w:pPr>
          </w:p>
        </w:tc>
        <w:tc>
          <w:tcPr>
            <w:tcW w:w="1180" w:type="dxa"/>
            <w:vAlign w:val="bottom"/>
            <w:gridSpan w:val="3"/>
          </w:tcPr>
          <w:p>
            <w:pPr>
              <w:jc w:val="center"/>
              <w:ind w:right="220"/>
              <w:spacing w:after="0" w:line="133" w:lineRule="exact"/>
              <w:rPr>
                <w:sz w:val="20"/>
                <w:szCs w:val="20"/>
                <w:color w:val="auto"/>
              </w:rPr>
            </w:pPr>
            <w:r>
              <w:rPr>
                <w:rFonts w:ascii="Arial" w:cs="Arial" w:eastAsia="Arial" w:hAnsi="Arial"/>
                <w:sz w:val="14"/>
                <w:szCs w:val="14"/>
                <w:b w:val="1"/>
                <w:bCs w:val="1"/>
                <w:color w:val="auto"/>
                <w:w w:val="92"/>
              </w:rPr>
              <w:t>December 31,</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right"/>
              <w:ind w:right="114"/>
              <w:spacing w:after="0" w:line="133" w:lineRule="exact"/>
              <w:rPr>
                <w:sz w:val="20"/>
                <w:szCs w:val="20"/>
                <w:color w:val="auto"/>
              </w:rPr>
            </w:pPr>
            <w:r>
              <w:rPr>
                <w:rFonts w:ascii="Arial" w:cs="Arial" w:eastAsia="Arial" w:hAnsi="Arial"/>
                <w:sz w:val="14"/>
                <w:szCs w:val="14"/>
                <w:b w:val="1"/>
                <w:bCs w:val="1"/>
                <w:color w:val="auto"/>
                <w:w w:val="99"/>
              </w:rPr>
              <w:t>March 31,</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220" w:type="dxa"/>
            <w:vAlign w:val="bottom"/>
            <w:tcBorders>
              <w:bottom w:val="single" w:sz="8" w:color="CCEEFF"/>
            </w:tcBorders>
          </w:tcPr>
          <w:p>
            <w:pPr>
              <w:spacing w:after="0"/>
              <w:rPr>
                <w:sz w:val="16"/>
                <w:szCs w:val="16"/>
                <w:color w:val="auto"/>
              </w:rPr>
            </w:pPr>
          </w:p>
        </w:tc>
        <w:tc>
          <w:tcPr>
            <w:tcW w:w="2320" w:type="dxa"/>
            <w:vAlign w:val="bottom"/>
            <w:tcBorders>
              <w:bottom w:val="single" w:sz="8" w:color="CCEEFF"/>
            </w:tcBorders>
          </w:tcPr>
          <w:p>
            <w:pPr>
              <w:spacing w:after="0"/>
              <w:rPr>
                <w:sz w:val="16"/>
                <w:szCs w:val="16"/>
                <w:color w:val="auto"/>
              </w:rPr>
            </w:pPr>
          </w:p>
        </w:tc>
        <w:tc>
          <w:tcPr>
            <w:tcW w:w="7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89"/>
              </w:rPr>
              <w:t>2020</w:t>
            </w:r>
          </w:p>
        </w:tc>
        <w:tc>
          <w:tcPr>
            <w:tcW w:w="22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Reported</w:t>
            </w:r>
            <w:r>
              <w:rPr>
                <w:rFonts w:ascii="Arial" w:cs="Arial" w:eastAsia="Arial" w:hAnsi="Arial"/>
                <w:sz w:val="18"/>
                <w:szCs w:val="18"/>
                <w:color w:val="auto"/>
              </w:rPr>
              <w:t>: Net interest income</w:t>
            </w: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64,893</w:t>
            </w: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72,936</w:t>
            </w: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69,433</w:t>
            </w: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Tax-equivalent adjustment</w:t>
            </w: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601</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655</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730</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Acquisition-related purchase accounting accretion</w:t>
            </w:r>
          </w:p>
        </w:tc>
        <w:tc>
          <w:tcPr>
            <w:tcW w:w="7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(2,157)</w:t>
            </w: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(2,469)</w:t>
            </w: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(2,827)</w:t>
            </w: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560" w:type="dxa"/>
            <w:vAlign w:val="bottom"/>
            <w:gridSpan w:val="3"/>
          </w:tcPr>
          <w:p>
            <w:pPr>
              <w:ind w:left="20"/>
              <w:spacing w:after="0" w:line="196" w:lineRule="exact"/>
              <w:rPr>
                <w:sz w:val="20"/>
                <w:szCs w:val="20"/>
                <w:color w:val="auto"/>
              </w:rPr>
            </w:pPr>
            <w:r>
              <w:rPr>
                <w:rFonts w:ascii="Arial" w:cs="Arial" w:eastAsia="Arial" w:hAnsi="Arial"/>
                <w:sz w:val="18"/>
                <w:szCs w:val="18"/>
                <w:b w:val="1"/>
                <w:bCs w:val="1"/>
                <w:color w:val="auto"/>
              </w:rPr>
              <w:t>Adjusted</w:t>
            </w:r>
            <w:r>
              <w:rPr>
                <w:rFonts w:ascii="Arial" w:cs="Arial" w:eastAsia="Arial" w:hAnsi="Arial"/>
                <w:sz w:val="18"/>
                <w:szCs w:val="18"/>
                <w:color w:val="auto"/>
              </w:rPr>
              <w:t>: Net interest income</w:t>
            </w:r>
          </w:p>
        </w:tc>
        <w:tc>
          <w:tcPr>
            <w:tcW w:w="720" w:type="dxa"/>
            <w:vAlign w:val="bottom"/>
          </w:tcPr>
          <w:p>
            <w:pPr>
              <w:spacing w:after="0"/>
              <w:rPr>
                <w:sz w:val="20"/>
                <w:szCs w:val="20"/>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63,337</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71,122</w:t>
            </w: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67,336</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2220" w:type="dxa"/>
            <w:vAlign w:val="bottom"/>
            <w:tcBorders>
              <w:top w:val="single" w:sz="8" w:color="CCEEFF"/>
            </w:tcBorders>
            <w:shd w:val="clear" w:color="auto" w:fill="CCEEFF"/>
          </w:tcPr>
          <w:p>
            <w:pPr>
              <w:spacing w:after="0"/>
              <w:rPr>
                <w:sz w:val="15"/>
                <w:szCs w:val="15"/>
                <w:color w:val="auto"/>
              </w:rPr>
            </w:pPr>
          </w:p>
        </w:tc>
        <w:tc>
          <w:tcPr>
            <w:tcW w:w="232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4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Average interest-earning assets</w:t>
            </w:r>
          </w:p>
        </w:tc>
        <w:tc>
          <w:tcPr>
            <w:tcW w:w="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w w:val="94"/>
              </w:rPr>
              <w:t>9,752,294</w:t>
            </w:r>
          </w:p>
        </w:tc>
        <w:tc>
          <w:tcPr>
            <w:tcW w:w="200" w:type="dxa"/>
            <w:vAlign w:val="bottom"/>
          </w:tcPr>
          <w:p>
            <w:pPr>
              <w:spacing w:after="0"/>
              <w:rPr>
                <w:sz w:val="17"/>
                <w:szCs w:val="17"/>
                <w:color w:val="auto"/>
              </w:rPr>
            </w:pPr>
          </w:p>
        </w:tc>
        <w:tc>
          <w:tcPr>
            <w:tcW w:w="1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w w:val="92"/>
              </w:rPr>
              <w:t>9,557,265</w:t>
            </w:r>
          </w:p>
        </w:tc>
        <w:tc>
          <w:tcPr>
            <w:tcW w:w="220" w:type="dxa"/>
            <w:vAlign w:val="bottom"/>
          </w:tcPr>
          <w:p>
            <w:pPr>
              <w:spacing w:after="0"/>
              <w:rPr>
                <w:sz w:val="17"/>
                <w:szCs w:val="17"/>
                <w:color w:val="auto"/>
              </w:rPr>
            </w:pPr>
          </w:p>
        </w:tc>
        <w:tc>
          <w:tcPr>
            <w:tcW w:w="14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w w:val="97"/>
              </w:rPr>
              <w:t>8,817,544</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23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40" w:type="dxa"/>
            <w:vAlign w:val="bottom"/>
            <w:gridSpan w:val="2"/>
          </w:tcPr>
          <w:p>
            <w:pPr>
              <w:spacing w:after="0" w:line="202" w:lineRule="exact"/>
              <w:rPr>
                <w:sz w:val="20"/>
                <w:szCs w:val="20"/>
                <w:color w:val="auto"/>
              </w:rPr>
            </w:pPr>
            <w:r>
              <w:rPr>
                <w:rFonts w:ascii="Arial" w:cs="Arial" w:eastAsia="Arial" w:hAnsi="Arial"/>
                <w:sz w:val="16"/>
                <w:szCs w:val="16"/>
                <w:b w:val="1"/>
                <w:bCs w:val="1"/>
                <w:color w:val="auto"/>
              </w:rPr>
              <w:t>Reported</w:t>
            </w:r>
            <w:r>
              <w:rPr>
                <w:rFonts w:ascii="Arial" w:cs="Arial" w:eastAsia="Arial" w:hAnsi="Arial"/>
                <w:sz w:val="16"/>
                <w:szCs w:val="16"/>
                <w:color w:val="auto"/>
              </w:rPr>
              <w:t>: Net interest margin</w:t>
            </w:r>
            <w:r>
              <w:rPr>
                <w:rFonts w:ascii="Arial" w:cs="Arial" w:eastAsia="Arial" w:hAnsi="Arial"/>
                <w:sz w:val="23"/>
                <w:szCs w:val="23"/>
                <w:color w:val="auto"/>
                <w:vertAlign w:val="superscript"/>
              </w:rPr>
              <w:t>(1)</w:t>
            </w: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2.72 %</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3.06 %</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3.20 %</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40" w:type="dxa"/>
            <w:vAlign w:val="bottom"/>
            <w:gridSpan w:val="2"/>
            <w:shd w:val="clear" w:color="auto" w:fill="CCEEFF"/>
          </w:tcPr>
          <w:p>
            <w:pPr>
              <w:spacing w:after="0" w:line="202" w:lineRule="exact"/>
              <w:rPr>
                <w:sz w:val="20"/>
                <w:szCs w:val="20"/>
                <w:color w:val="auto"/>
              </w:rPr>
            </w:pPr>
            <w:r>
              <w:rPr>
                <w:rFonts w:ascii="Arial" w:cs="Arial" w:eastAsia="Arial" w:hAnsi="Arial"/>
                <w:sz w:val="16"/>
                <w:szCs w:val="16"/>
                <w:b w:val="1"/>
                <w:bCs w:val="1"/>
                <w:color w:val="auto"/>
              </w:rPr>
              <w:t>Adjusted</w:t>
            </w:r>
            <w:r>
              <w:rPr>
                <w:rFonts w:ascii="Arial" w:cs="Arial" w:eastAsia="Arial" w:hAnsi="Arial"/>
                <w:sz w:val="16"/>
                <w:szCs w:val="16"/>
                <w:color w:val="auto"/>
              </w:rPr>
              <w:t>: Net Interest margin</w:t>
            </w:r>
            <w:r>
              <w:rPr>
                <w:rFonts w:ascii="Arial" w:cs="Arial" w:eastAsia="Arial" w:hAnsi="Arial"/>
                <w:sz w:val="23"/>
                <w:szCs w:val="23"/>
                <w:color w:val="auto"/>
                <w:vertAlign w:val="superscript"/>
              </w:rPr>
              <w:t>(1)</w:t>
            </w: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2.63 %</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2.96 %</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3.07 %</w:t>
            </w:r>
          </w:p>
        </w:tc>
        <w:tc>
          <w:tcPr>
            <w:tcW w:w="0" w:type="dxa"/>
            <w:vAlign w:val="bottom"/>
          </w:tcPr>
          <w:p>
            <w:pPr>
              <w:spacing w:after="0"/>
              <w:rPr>
                <w:sz w:val="1"/>
                <w:szCs w:val="1"/>
                <w:color w:val="auto"/>
              </w:rPr>
            </w:pPr>
          </w:p>
        </w:tc>
      </w:tr>
      <w:tr>
        <w:trPr>
          <w:trHeight w:val="115"/>
        </w:trPr>
        <w:tc>
          <w:tcPr>
            <w:tcW w:w="2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tcPr>
          <w:p>
            <w:pPr>
              <w:spacing w:after="0"/>
              <w:rPr>
                <w:sz w:val="10"/>
                <w:szCs w:val="10"/>
                <w:color w:val="auto"/>
              </w:rPr>
            </w:pPr>
          </w:p>
        </w:tc>
        <w:tc>
          <w:tcPr>
            <w:tcW w:w="2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160"/>
        <w:spacing w:after="0"/>
        <w:tabs>
          <w:tab w:leader="none" w:pos="460" w:val="left"/>
        </w:tabs>
        <w:rPr>
          <w:sz w:val="20"/>
          <w:szCs w:val="20"/>
          <w:color w:val="auto"/>
        </w:rPr>
      </w:pPr>
      <w:r>
        <w:rPr>
          <w:rFonts w:ascii="Arial" w:cs="Arial" w:eastAsia="Arial" w:hAnsi="Arial"/>
          <w:sz w:val="13"/>
          <w:szCs w:val="13"/>
          <w:color w:val="auto"/>
        </w:rPr>
        <w:t>(1)</w:t>
      </w:r>
      <w:r>
        <w:rPr>
          <w:sz w:val="20"/>
          <w:szCs w:val="20"/>
          <w:color w:val="auto"/>
        </w:rPr>
        <w:tab/>
      </w:r>
      <w:r>
        <w:rPr>
          <w:rFonts w:ascii="Arial" w:cs="Arial" w:eastAsia="Arial" w:hAnsi="Arial"/>
          <w:sz w:val="14"/>
          <w:szCs w:val="14"/>
          <w:color w:val="auto"/>
        </w:rPr>
        <w:t>Annualized measure.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5" w:name="page56"/>
    <w:bookmarkEnd w:id="5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Reconciliation of Non-GAAP Financial Measures — Adjusted Efficiency Ratio</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(unaudited, dollars in thousands)</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6"/>
          </w:tcPr>
          <w:p>
            <w:pPr>
              <w:jc w:val="center"/>
              <w:ind w:left="593"/>
              <w:spacing w:after="0"/>
              <w:rPr>
                <w:sz w:val="20"/>
                <w:szCs w:val="20"/>
                <w:color w:val="auto"/>
              </w:rPr>
            </w:pPr>
            <w:r>
              <w:rPr>
                <w:rFonts w:ascii="Arial" w:cs="Arial" w:eastAsia="Arial" w:hAnsi="Arial"/>
                <w:sz w:val="14"/>
                <w:szCs w:val="14"/>
                <w:b w:val="1"/>
                <w:bCs w:val="1"/>
                <w:color w:val="auto"/>
                <w:w w:val="93"/>
              </w:rPr>
              <w:t>Three Months Ended</w:t>
            </w:r>
          </w:p>
        </w:tc>
        <w:tc>
          <w:tcPr>
            <w:tcW w:w="7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3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ind w:right="300"/>
              <w:spacing w:after="0" w:line="133" w:lineRule="exact"/>
              <w:rPr>
                <w:sz w:val="20"/>
                <w:szCs w:val="20"/>
                <w:color w:val="auto"/>
              </w:rPr>
            </w:pPr>
            <w:r>
              <w:rPr>
                <w:rFonts w:ascii="Arial" w:cs="Arial" w:eastAsia="Arial" w:hAnsi="Arial"/>
                <w:sz w:val="14"/>
                <w:szCs w:val="14"/>
                <w:b w:val="1"/>
                <w:bCs w:val="1"/>
                <w:color w:val="auto"/>
                <w:w w:val="95"/>
              </w:rPr>
              <w:t>March 31,</w:t>
            </w:r>
          </w:p>
        </w:tc>
        <w:tc>
          <w:tcPr>
            <w:tcW w:w="1060" w:type="dxa"/>
            <w:vAlign w:val="bottom"/>
            <w:gridSpan w:val="3"/>
          </w:tcPr>
          <w:p>
            <w:pPr>
              <w:jc w:val="center"/>
              <w:ind w:right="180"/>
              <w:spacing w:after="0" w:line="133" w:lineRule="exact"/>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1"/>
                <w:szCs w:val="11"/>
                <w:color w:val="auto"/>
              </w:rPr>
            </w:pPr>
          </w:p>
        </w:tc>
        <w:tc>
          <w:tcPr>
            <w:tcW w:w="780" w:type="dxa"/>
            <w:vAlign w:val="bottom"/>
          </w:tcPr>
          <w:p>
            <w:pPr>
              <w:jc w:val="right"/>
              <w:ind w:right="72"/>
              <w:spacing w:after="0" w:line="133" w:lineRule="exact"/>
              <w:rPr>
                <w:sz w:val="20"/>
                <w:szCs w:val="20"/>
                <w:color w:val="auto"/>
              </w:rPr>
            </w:pPr>
            <w:r>
              <w:rPr>
                <w:rFonts w:ascii="Arial" w:cs="Arial" w:eastAsia="Arial" w:hAnsi="Arial"/>
                <w:sz w:val="14"/>
                <w:szCs w:val="14"/>
                <w:b w:val="1"/>
                <w:bCs w:val="1"/>
                <w:color w:val="auto"/>
                <w:w w:val="92"/>
              </w:rPr>
              <w:t>March 31,</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220" w:type="dxa"/>
            <w:vAlign w:val="bottom"/>
            <w:tcBorders>
              <w:bottom w:val="single" w:sz="8" w:color="CCEEFF"/>
            </w:tcBorders>
          </w:tcPr>
          <w:p>
            <w:pPr>
              <w:spacing w:after="0"/>
              <w:rPr>
                <w:sz w:val="16"/>
                <w:szCs w:val="16"/>
                <w:color w:val="auto"/>
              </w:rPr>
            </w:pPr>
          </w:p>
        </w:tc>
        <w:tc>
          <w:tcPr>
            <w:tcW w:w="356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131"/>
              <w:spacing w:after="0"/>
              <w:rPr>
                <w:sz w:val="20"/>
                <w:szCs w:val="20"/>
                <w:color w:val="auto"/>
              </w:rPr>
            </w:pPr>
            <w:r>
              <w:rPr>
                <w:rFonts w:ascii="Arial" w:cs="Arial" w:eastAsia="Arial" w:hAnsi="Arial"/>
                <w:sz w:val="14"/>
                <w:szCs w:val="14"/>
                <w:b w:val="1"/>
                <w:bCs w:val="1"/>
                <w:color w:val="auto"/>
                <w:w w:val="89"/>
              </w:rPr>
              <w:t>2020</w:t>
            </w:r>
          </w:p>
        </w:tc>
        <w:tc>
          <w:tcPr>
            <w:tcW w:w="1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Reported</w:t>
            </w:r>
            <w:r>
              <w:rPr>
                <w:rFonts w:ascii="Arial" w:cs="Arial" w:eastAsia="Arial" w:hAnsi="Arial"/>
                <w:sz w:val="18"/>
                <w:szCs w:val="18"/>
                <w:color w:val="auto"/>
              </w:rPr>
              <w:t>: Net Interest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64,893</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72,936</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69,433</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80" w:type="dxa"/>
            <w:vAlign w:val="bottom"/>
            <w:tcBorders>
              <w:bottom w:val="single" w:sz="8" w:color="CCEEFF"/>
            </w:tcBorders>
            <w:gridSpan w:val="2"/>
          </w:tcPr>
          <w:p>
            <w:pPr>
              <w:ind w:left="220"/>
              <w:spacing w:after="0" w:line="202" w:lineRule="exact"/>
              <w:rPr>
                <w:sz w:val="20"/>
                <w:szCs w:val="20"/>
                <w:color w:val="auto"/>
              </w:rPr>
            </w:pPr>
            <w:r>
              <w:rPr>
                <w:rFonts w:ascii="Arial" w:cs="Arial" w:eastAsia="Arial" w:hAnsi="Arial"/>
                <w:sz w:val="18"/>
                <w:szCs w:val="18"/>
                <w:color w:val="auto"/>
              </w:rPr>
              <w:t>Tax-equivalent adjustment</w:t>
            </w:r>
          </w:p>
        </w:tc>
        <w:tc>
          <w:tcPr>
            <w:tcW w:w="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601</w:t>
            </w: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655</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730</w:t>
            </w:r>
          </w:p>
        </w:tc>
        <w:tc>
          <w:tcPr>
            <w:tcW w:w="1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80" w:type="dxa"/>
            <w:vAlign w:val="bottom"/>
            <w:tcBorders>
              <w:bottom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Tax-equivalent interest income</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65,494</w:t>
            </w:r>
          </w:p>
        </w:tc>
        <w:tc>
          <w:tcPr>
            <w:tcW w:w="1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73,591</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70,163</w:t>
            </w:r>
          </w:p>
        </w:tc>
        <w:tc>
          <w:tcPr>
            <w:tcW w:w="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22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7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Reported</w:t>
            </w:r>
            <w:r>
              <w:rPr>
                <w:rFonts w:ascii="Arial" w:cs="Arial" w:eastAsia="Arial" w:hAnsi="Arial"/>
                <w:sz w:val="18"/>
                <w:szCs w:val="18"/>
                <w:color w:val="auto"/>
              </w:rPr>
              <w:t>: Non-interest income</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31,445</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30,499</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27,517</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780" w:type="dxa"/>
            <w:vAlign w:val="bottom"/>
            <w:gridSpan w:val="2"/>
          </w:tcPr>
          <w:p>
            <w:pPr>
              <w:ind w:left="220"/>
              <w:spacing w:after="0" w:line="189" w:lineRule="exact"/>
              <w:rPr>
                <w:sz w:val="20"/>
                <w:szCs w:val="20"/>
                <w:color w:val="auto"/>
              </w:rPr>
            </w:pPr>
            <w:r>
              <w:rPr>
                <w:rFonts w:ascii="Arial" w:cs="Arial" w:eastAsia="Arial" w:hAnsi="Arial"/>
                <w:sz w:val="18"/>
                <w:szCs w:val="18"/>
                <w:color w:val="auto"/>
                <w:w w:val="92"/>
              </w:rPr>
              <w:t>Less net (gains) losses on sales of securities and unrealized (gains) losses</w:t>
            </w: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8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recognized on equity securities</w:t>
            </w: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(1,641)</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(855)</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80" w:type="dxa"/>
            <w:vAlign w:val="bottom"/>
            <w:tcBorders>
              <w:bottom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 xml:space="preserve">Adjusted: </w:t>
            </w:r>
            <w:r>
              <w:rPr>
                <w:rFonts w:ascii="Arial" w:cs="Arial" w:eastAsia="Arial" w:hAnsi="Arial"/>
                <w:sz w:val="18"/>
                <w:szCs w:val="18"/>
                <w:color w:val="auto"/>
              </w:rPr>
              <w:t>Non-interest income</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29,804</w:t>
            </w:r>
          </w:p>
        </w:tc>
        <w:tc>
          <w:tcPr>
            <w:tcW w:w="1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29,644</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26,930</w:t>
            </w:r>
          </w:p>
        </w:tc>
        <w:tc>
          <w:tcPr>
            <w:tcW w:w="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22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7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Reported</w:t>
            </w:r>
            <w:r>
              <w:rPr>
                <w:rFonts w:ascii="Arial" w:cs="Arial" w:eastAsia="Arial" w:hAnsi="Arial"/>
                <w:sz w:val="18"/>
                <w:szCs w:val="18"/>
                <w:color w:val="auto"/>
              </w:rPr>
              <w:t>: Non-interest expense</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54,499</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64,073</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60,514</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8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Amortization of intangible assets</w:t>
            </w:r>
          </w:p>
        </w:tc>
        <w:tc>
          <w:tcPr>
            <w:tcW w:w="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(2,401)</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(2,439)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(2,557)</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8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Non-operating adjustments:</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8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Salaries, wages, and employee benefits</w:t>
            </w:r>
          </w:p>
        </w:tc>
        <w:tc>
          <w:tcPr>
            <w:tcW w:w="80" w:type="dxa"/>
            <w:vAlign w:val="bottom"/>
          </w:tcPr>
          <w:p>
            <w:pPr>
              <w:spacing w:after="0"/>
              <w:rPr>
                <w:sz w:val="17"/>
                <w:szCs w:val="17"/>
                <w:color w:val="auto"/>
              </w:rPr>
            </w:pPr>
          </w:p>
        </w:tc>
        <w:tc>
          <w:tcPr>
            <w:tcW w:w="9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(113)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80" w:type="dxa"/>
            <w:vAlign w:val="bottom"/>
            <w:gridSpan w:val="2"/>
            <w:shd w:val="clear" w:color="auto" w:fill="CCEEFF"/>
          </w:tcPr>
          <w:p>
            <w:pPr>
              <w:ind w:left="320"/>
              <w:spacing w:after="0" w:line="202" w:lineRule="exact"/>
              <w:rPr>
                <w:sz w:val="20"/>
                <w:szCs w:val="20"/>
                <w:color w:val="auto"/>
              </w:rPr>
            </w:pPr>
            <w:r>
              <w:rPr>
                <w:rFonts w:ascii="Arial" w:cs="Arial" w:eastAsia="Arial" w:hAnsi="Arial"/>
                <w:sz w:val="18"/>
                <w:szCs w:val="18"/>
                <w:color w:val="auto"/>
              </w:rPr>
              <w:t>Data processing</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(56)</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8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Lease or fixed asset impairment</w:t>
            </w:r>
          </w:p>
        </w:tc>
        <w:tc>
          <w:tcPr>
            <w:tcW w:w="80" w:type="dxa"/>
            <w:vAlign w:val="bottom"/>
          </w:tcPr>
          <w:p>
            <w:pPr>
              <w:spacing w:after="0"/>
              <w:rPr>
                <w:sz w:val="17"/>
                <w:szCs w:val="17"/>
                <w:color w:val="auto"/>
              </w:rPr>
            </w:pPr>
          </w:p>
        </w:tc>
        <w:tc>
          <w:tcPr>
            <w:tcW w:w="9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(6,902)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80" w:type="dxa"/>
            <w:vAlign w:val="bottom"/>
            <w:gridSpan w:val="2"/>
            <w:shd w:val="clear" w:color="auto" w:fill="CCEEFF"/>
          </w:tcPr>
          <w:p>
            <w:pPr>
              <w:ind w:left="320"/>
              <w:spacing w:after="0" w:line="202" w:lineRule="exact"/>
              <w:rPr>
                <w:sz w:val="20"/>
                <w:szCs w:val="20"/>
                <w:color w:val="auto"/>
              </w:rPr>
            </w:pPr>
            <w:r>
              <w:rPr>
                <w:rFonts w:ascii="Arial" w:cs="Arial" w:eastAsia="Arial" w:hAnsi="Arial"/>
                <w:sz w:val="18"/>
                <w:szCs w:val="18"/>
                <w:color w:val="auto"/>
              </w:rPr>
              <w:t>Professional fees and other</w:t>
            </w:r>
          </w:p>
        </w:tc>
        <w:tc>
          <w:tcPr>
            <w:tcW w:w="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(313)</w:t>
            </w:r>
          </w:p>
        </w:tc>
        <w:tc>
          <w:tcPr>
            <w:tcW w:w="1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(479)</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(145)</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800" w:type="dxa"/>
            <w:vAlign w:val="bottom"/>
            <w:gridSpan w:val="3"/>
          </w:tcPr>
          <w:p>
            <w:pPr>
              <w:ind w:left="20"/>
              <w:spacing w:after="0" w:line="196" w:lineRule="exact"/>
              <w:rPr>
                <w:sz w:val="20"/>
                <w:szCs w:val="20"/>
                <w:color w:val="auto"/>
              </w:rPr>
            </w:pPr>
            <w:r>
              <w:rPr>
                <w:rFonts w:ascii="Arial" w:cs="Arial" w:eastAsia="Arial" w:hAnsi="Arial"/>
                <w:sz w:val="18"/>
                <w:szCs w:val="18"/>
                <w:b w:val="1"/>
                <w:bCs w:val="1"/>
                <w:color w:val="auto"/>
              </w:rPr>
              <w:t xml:space="preserve">Adjusted: </w:t>
            </w:r>
            <w:r>
              <w:rPr>
                <w:rFonts w:ascii="Arial" w:cs="Arial" w:eastAsia="Arial" w:hAnsi="Arial"/>
                <w:sz w:val="18"/>
                <w:szCs w:val="18"/>
                <w:color w:val="auto"/>
              </w:rPr>
              <w:t>Non-interest expense</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51,778</w:t>
            </w:r>
          </w:p>
        </w:tc>
        <w:tc>
          <w:tcPr>
            <w:tcW w:w="160" w:type="dxa"/>
            <w:vAlign w:val="bottom"/>
          </w:tcPr>
          <w:p>
            <w:pPr>
              <w:spacing w:after="0"/>
              <w:rPr>
                <w:sz w:val="20"/>
                <w:szCs w:val="20"/>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54,084</w:t>
            </w:r>
          </w:p>
        </w:tc>
        <w:tc>
          <w:tcPr>
            <w:tcW w:w="16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57,812</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2220" w:type="dxa"/>
            <w:vAlign w:val="bottom"/>
            <w:tcBorders>
              <w:top w:val="single" w:sz="8" w:color="CCEEFF"/>
            </w:tcBorders>
            <w:shd w:val="clear" w:color="auto" w:fill="CCEEFF"/>
          </w:tcPr>
          <w:p>
            <w:pPr>
              <w:spacing w:after="0"/>
              <w:rPr>
                <w:sz w:val="15"/>
                <w:szCs w:val="15"/>
                <w:color w:val="auto"/>
              </w:rPr>
            </w:pPr>
          </w:p>
        </w:tc>
        <w:tc>
          <w:tcPr>
            <w:tcW w:w="35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780" w:type="dxa"/>
            <w:vAlign w:val="bottom"/>
            <w:gridSpan w:val="2"/>
          </w:tcPr>
          <w:p>
            <w:pPr>
              <w:spacing w:after="0" w:line="202" w:lineRule="exact"/>
              <w:rPr>
                <w:sz w:val="20"/>
                <w:szCs w:val="20"/>
                <w:color w:val="auto"/>
              </w:rPr>
            </w:pPr>
            <w:r>
              <w:rPr>
                <w:rFonts w:ascii="Arial" w:cs="Arial" w:eastAsia="Arial" w:hAnsi="Arial"/>
                <w:sz w:val="16"/>
                <w:szCs w:val="16"/>
                <w:b w:val="1"/>
                <w:bCs w:val="1"/>
                <w:color w:val="auto"/>
              </w:rPr>
              <w:t>Reported</w:t>
            </w:r>
            <w:r>
              <w:rPr>
                <w:rFonts w:ascii="Arial" w:cs="Arial" w:eastAsia="Arial" w:hAnsi="Arial"/>
                <w:sz w:val="16"/>
                <w:szCs w:val="16"/>
                <w:color w:val="auto"/>
              </w:rPr>
              <w:t>: Efficiency ratio</w:t>
            </w:r>
            <w:r>
              <w:rPr>
                <w:rFonts w:ascii="Arial" w:cs="Arial" w:eastAsia="Arial" w:hAnsi="Arial"/>
                <w:sz w:val="23"/>
                <w:szCs w:val="23"/>
                <w:color w:val="auto"/>
                <w:vertAlign w:val="superscript"/>
              </w:rPr>
              <w:t>(1)</w:t>
            </w:r>
          </w:p>
        </w:tc>
        <w:tc>
          <w:tcPr>
            <w:tcW w:w="80" w:type="dxa"/>
            <w:vAlign w:val="bottom"/>
          </w:tcPr>
          <w:p>
            <w:pPr>
              <w:spacing w:after="0"/>
              <w:rPr>
                <w:sz w:val="17"/>
                <w:szCs w:val="17"/>
                <w:color w:val="auto"/>
              </w:rPr>
            </w:pPr>
          </w:p>
        </w:tc>
        <w:tc>
          <w:tcPr>
            <w:tcW w:w="9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54.67 %</w:t>
            </w:r>
          </w:p>
        </w:tc>
        <w:tc>
          <w:tcPr>
            <w:tcW w:w="200" w:type="dxa"/>
            <w:vAlign w:val="bottom"/>
          </w:tcPr>
          <w:p>
            <w:pPr>
              <w:spacing w:after="0"/>
              <w:rPr>
                <w:sz w:val="17"/>
                <w:szCs w:val="17"/>
                <w:color w:val="auto"/>
              </w:rPr>
            </w:pPr>
          </w:p>
        </w:tc>
        <w:tc>
          <w:tcPr>
            <w:tcW w:w="8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59.70 %</w:t>
            </w:r>
          </w:p>
        </w:tc>
        <w:tc>
          <w:tcPr>
            <w:tcW w:w="100" w:type="dxa"/>
            <w:vAlign w:val="bottom"/>
          </w:tcPr>
          <w:p>
            <w:pPr>
              <w:spacing w:after="0"/>
              <w:rPr>
                <w:sz w:val="17"/>
                <w:szCs w:val="17"/>
                <w:color w:val="auto"/>
              </w:rPr>
            </w:pPr>
          </w:p>
        </w:tc>
        <w:tc>
          <w:tcPr>
            <w:tcW w:w="9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59.69 %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80" w:type="dxa"/>
            <w:vAlign w:val="bottom"/>
            <w:gridSpan w:val="2"/>
            <w:shd w:val="clear" w:color="auto" w:fill="CCEEFF"/>
          </w:tcPr>
          <w:p>
            <w:pPr>
              <w:spacing w:after="0" w:line="202" w:lineRule="exact"/>
              <w:rPr>
                <w:sz w:val="20"/>
                <w:szCs w:val="20"/>
                <w:color w:val="auto"/>
              </w:rPr>
            </w:pPr>
            <w:r>
              <w:rPr>
                <w:rFonts w:ascii="Arial" w:cs="Arial" w:eastAsia="Arial" w:hAnsi="Arial"/>
                <w:sz w:val="16"/>
                <w:szCs w:val="16"/>
                <w:b w:val="1"/>
                <w:bCs w:val="1"/>
                <w:color w:val="auto"/>
              </w:rPr>
              <w:t>Adjusted</w:t>
            </w:r>
            <w:r>
              <w:rPr>
                <w:rFonts w:ascii="Arial" w:cs="Arial" w:eastAsia="Arial" w:hAnsi="Arial"/>
                <w:sz w:val="16"/>
                <w:szCs w:val="16"/>
                <w:color w:val="auto"/>
              </w:rPr>
              <w:t>: Efficiency ratio</w:t>
            </w:r>
            <w:r>
              <w:rPr>
                <w:rFonts w:ascii="Arial" w:cs="Arial" w:eastAsia="Arial" w:hAnsi="Arial"/>
                <w:sz w:val="23"/>
                <w:szCs w:val="23"/>
                <w:color w:val="auto"/>
                <w:vertAlign w:val="superscript"/>
              </w:rPr>
              <w:t>(2)</w:t>
            </w: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54.33 %</w:t>
            </w: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52.39 %</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59.54 %</w:t>
            </w:r>
          </w:p>
        </w:tc>
        <w:tc>
          <w:tcPr>
            <w:tcW w:w="0" w:type="dxa"/>
            <w:vAlign w:val="bottom"/>
          </w:tcPr>
          <w:p>
            <w:pPr>
              <w:spacing w:after="0"/>
              <w:rPr>
                <w:sz w:val="1"/>
                <w:szCs w:val="1"/>
                <w:color w:val="auto"/>
              </w:rPr>
            </w:pPr>
          </w:p>
        </w:tc>
      </w:tr>
      <w:tr>
        <w:trPr>
          <w:trHeight w:val="115"/>
        </w:trPr>
        <w:tc>
          <w:tcPr>
            <w:tcW w:w="2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tcPr>
          <w:p>
            <w:pPr>
              <w:spacing w:after="0"/>
              <w:rPr>
                <w:sz w:val="10"/>
                <w:szCs w:val="10"/>
                <w:color w:val="auto"/>
              </w:rPr>
            </w:pPr>
          </w:p>
        </w:tc>
        <w:tc>
          <w:tcPr>
            <w:tcW w:w="3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480" w:right="79" w:hanging="322"/>
        <w:spacing w:after="0" w:line="250" w:lineRule="auto"/>
        <w:tabs>
          <w:tab w:leader="none" w:pos="480" w:val="left"/>
        </w:tabs>
        <w:numPr>
          <w:ilvl w:val="0"/>
          <w:numId w:val="14"/>
        </w:numPr>
        <w:rPr>
          <w:rFonts w:ascii="Arial" w:cs="Arial" w:eastAsia="Arial" w:hAnsi="Arial"/>
          <w:sz w:val="13"/>
          <w:szCs w:val="13"/>
          <w:color w:val="auto"/>
        </w:rPr>
      </w:pPr>
      <w:r>
        <w:rPr>
          <w:rFonts w:ascii="Arial" w:cs="Arial" w:eastAsia="Arial" w:hAnsi="Arial"/>
          <w:sz w:val="14"/>
          <w:szCs w:val="14"/>
          <w:color w:val="auto"/>
        </w:rPr>
        <w:t>Calculated as total non-interest expense, less amortization charges, as a percentage of tax-equivalent net interest income, plus non-interest income, less security gains and losses.</w:t>
      </w:r>
    </w:p>
    <w:p>
      <w:pPr>
        <w:ind w:left="480" w:right="79" w:hanging="322"/>
        <w:spacing w:after="0" w:line="255" w:lineRule="auto"/>
        <w:tabs>
          <w:tab w:leader="none" w:pos="480" w:val="left"/>
        </w:tabs>
        <w:numPr>
          <w:ilvl w:val="0"/>
          <w:numId w:val="14"/>
        </w:numPr>
        <w:rPr>
          <w:rFonts w:ascii="Arial" w:cs="Arial" w:eastAsia="Arial" w:hAnsi="Arial"/>
          <w:sz w:val="13"/>
          <w:szCs w:val="13"/>
          <w:color w:val="auto"/>
        </w:rPr>
      </w:pPr>
      <w:r>
        <w:rPr>
          <w:rFonts w:ascii="Arial" w:cs="Arial" w:eastAsia="Arial" w:hAnsi="Arial"/>
          <w:sz w:val="14"/>
          <w:szCs w:val="14"/>
          <w:color w:val="auto"/>
        </w:rPr>
        <w:t>Calculated as adjusted non-interest expense, as a percentage of tax-equivalent net interest income plus non-interest income, less security gains and losses.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6" w:name="page57"/>
    <w:bookmarkEnd w:id="5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6" w:lineRule="exact"/>
        <w:rPr>
          <w:sz w:val="20"/>
          <w:szCs w:val="20"/>
          <w:color w:val="auto"/>
        </w:rPr>
      </w:pPr>
    </w:p>
    <w:p>
      <w:pPr>
        <w:jc w:val="center"/>
        <w:ind w:left="1500" w:right="180"/>
        <w:spacing w:after="0" w:line="248" w:lineRule="auto"/>
        <w:rPr>
          <w:sz w:val="20"/>
          <w:szCs w:val="20"/>
          <w:color w:val="auto"/>
        </w:rPr>
      </w:pPr>
      <w:r>
        <w:rPr>
          <w:rFonts w:ascii="Arial" w:cs="Arial" w:eastAsia="Arial" w:hAnsi="Arial"/>
          <w:sz w:val="18"/>
          <w:szCs w:val="18"/>
          <w:u w:val="single" w:color="auto"/>
          <w:color w:val="auto"/>
        </w:rPr>
        <w:t xml:space="preserve">Reconciliation of Non-GAAP Financial Measures — Tangible Common Equity, Tangible Common Equity to Tangible Assets, Tangible Book Value per Share, and Return on Average Tangible Common Equity </w:t>
      </w:r>
      <w:r>
        <w:rPr>
          <w:rFonts w:ascii="Arial" w:cs="Arial" w:eastAsia="Arial" w:hAnsi="Arial"/>
          <w:sz w:val="18"/>
          <w:szCs w:val="18"/>
          <w:i w:val="1"/>
          <w:iCs w:val="1"/>
          <w:color w:val="auto"/>
        </w:rPr>
        <w:t>(unaudited, dollars in thousands)</w:t>
      </w:r>
    </w:p>
    <w:p>
      <w:pPr>
        <w:spacing w:after="0" w:line="173"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0" w:type="dxa"/>
            <w:vAlign w:val="bottom"/>
            <w:gridSpan w:val="10"/>
          </w:tcPr>
          <w:p>
            <w:pPr>
              <w:jc w:val="right"/>
              <w:ind w:right="780"/>
              <w:spacing w:after="0"/>
              <w:rPr>
                <w:sz w:val="20"/>
                <w:szCs w:val="20"/>
                <w:color w:val="auto"/>
              </w:rPr>
            </w:pPr>
            <w:r>
              <w:rPr>
                <w:rFonts w:ascii="Arial" w:cs="Arial" w:eastAsia="Arial" w:hAnsi="Arial"/>
                <w:sz w:val="14"/>
                <w:szCs w:val="14"/>
                <w:b w:val="1"/>
                <w:bCs w:val="1"/>
                <w:color w:val="auto"/>
              </w:rPr>
              <w:t>As of and for the Three Months Ended</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tcPr>
          <w:p>
            <w:pPr>
              <w:jc w:val="right"/>
              <w:ind w:right="420"/>
              <w:spacing w:after="0" w:line="133" w:lineRule="exact"/>
              <w:rPr>
                <w:sz w:val="20"/>
                <w:szCs w:val="20"/>
                <w:color w:val="auto"/>
              </w:rPr>
            </w:pPr>
            <w:r>
              <w:rPr>
                <w:rFonts w:ascii="Arial" w:cs="Arial" w:eastAsia="Arial" w:hAnsi="Arial"/>
                <w:sz w:val="14"/>
                <w:szCs w:val="14"/>
                <w:b w:val="1"/>
                <w:bCs w:val="1"/>
                <w:color w:val="auto"/>
              </w:rPr>
              <w:t>March 31,</w:t>
            </w:r>
          </w:p>
        </w:tc>
        <w:tc>
          <w:tcPr>
            <w:tcW w:w="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tcPr>
          <w:p>
            <w:pPr>
              <w:jc w:val="right"/>
              <w:ind w:right="260"/>
              <w:spacing w:after="0" w:line="133" w:lineRule="exact"/>
              <w:rPr>
                <w:sz w:val="20"/>
                <w:szCs w:val="20"/>
                <w:color w:val="auto"/>
              </w:rPr>
            </w:pPr>
            <w:r>
              <w:rPr>
                <w:rFonts w:ascii="Arial" w:cs="Arial" w:eastAsia="Arial" w:hAnsi="Arial"/>
                <w:sz w:val="14"/>
                <w:szCs w:val="14"/>
                <w:b w:val="1"/>
                <w:bCs w:val="1"/>
                <w:color w:val="auto"/>
                <w:w w:val="92"/>
              </w:rPr>
              <w:t>December 31,</w:t>
            </w:r>
          </w:p>
        </w:tc>
        <w:tc>
          <w:tcPr>
            <w:tcW w:w="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right"/>
              <w:ind w:right="152"/>
              <w:spacing w:after="0" w:line="133" w:lineRule="exact"/>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220" w:type="dxa"/>
            <w:vAlign w:val="bottom"/>
            <w:tcBorders>
              <w:bottom w:val="single" w:sz="8" w:color="CCEEFF"/>
            </w:tcBorders>
          </w:tcPr>
          <w:p>
            <w:pPr>
              <w:spacing w:after="0"/>
              <w:rPr>
                <w:sz w:val="16"/>
                <w:szCs w:val="16"/>
                <w:color w:val="auto"/>
              </w:rPr>
            </w:pPr>
          </w:p>
        </w:tc>
        <w:tc>
          <w:tcPr>
            <w:tcW w:w="2460" w:type="dxa"/>
            <w:vAlign w:val="bottom"/>
            <w:tcBorders>
              <w:bottom w:val="single" w:sz="8" w:color="CCEEFF"/>
            </w:tcBorders>
          </w:tcPr>
          <w:p>
            <w:pPr>
              <w:spacing w:after="0"/>
              <w:rPr>
                <w:sz w:val="16"/>
                <w:szCs w:val="16"/>
                <w:color w:val="auto"/>
              </w:rPr>
            </w:pPr>
          </w:p>
        </w:tc>
        <w:tc>
          <w:tcPr>
            <w:tcW w:w="4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Total Assets</w:t>
            </w: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3"/>
              </w:rPr>
              <w:t>10,759,563</w:t>
            </w: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10,544,047</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9,721,405</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Goodwill and other intangible assets, net</w:t>
            </w: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(361,120)</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(363,521)</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(370,572)</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Tax effect of other intangible assets, net</w:t>
            </w:r>
          </w:p>
        </w:tc>
        <w:tc>
          <w:tcPr>
            <w:tcW w:w="4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13,883</w:t>
            </w: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14,556</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16,530</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700" w:type="dxa"/>
            <w:vAlign w:val="bottom"/>
            <w:gridSpan w:val="3"/>
          </w:tcPr>
          <w:p>
            <w:pPr>
              <w:ind w:left="20"/>
              <w:spacing w:after="0" w:line="196" w:lineRule="exact"/>
              <w:rPr>
                <w:sz w:val="20"/>
                <w:szCs w:val="20"/>
                <w:color w:val="auto"/>
              </w:rPr>
            </w:pPr>
            <w:r>
              <w:rPr>
                <w:rFonts w:ascii="Arial" w:cs="Arial" w:eastAsia="Arial" w:hAnsi="Arial"/>
                <w:sz w:val="18"/>
                <w:szCs w:val="18"/>
                <w:color w:val="auto"/>
              </w:rPr>
              <w:t>Tangible assets</w:t>
            </w:r>
          </w:p>
        </w:tc>
        <w:tc>
          <w:tcPr>
            <w:tcW w:w="48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3"/>
              </w:rPr>
              <w:t>10,412,326</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7"/>
              </w:rPr>
              <w:t>10,195,082</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9,367,363</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2220" w:type="dxa"/>
            <w:vAlign w:val="bottom"/>
            <w:tcBorders>
              <w:top w:val="single" w:sz="8" w:color="CCEEFF"/>
            </w:tcBorders>
            <w:shd w:val="clear" w:color="auto" w:fill="CCEEFF"/>
          </w:tcPr>
          <w:p>
            <w:pPr>
              <w:spacing w:after="0"/>
              <w:rPr>
                <w:sz w:val="15"/>
                <w:szCs w:val="15"/>
                <w:color w:val="auto"/>
              </w:rPr>
            </w:pPr>
          </w:p>
        </w:tc>
        <w:tc>
          <w:tcPr>
            <w:tcW w:w="246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680" w:type="dxa"/>
            <w:vAlign w:val="bottom"/>
            <w:gridSpan w:val="2"/>
          </w:tcPr>
          <w:p>
            <w:pPr>
              <w:spacing w:after="0" w:line="202" w:lineRule="exact"/>
              <w:rPr>
                <w:sz w:val="20"/>
                <w:szCs w:val="20"/>
                <w:color w:val="auto"/>
              </w:rPr>
            </w:pPr>
            <w:r>
              <w:rPr>
                <w:rFonts w:ascii="Arial" w:cs="Arial" w:eastAsia="Arial" w:hAnsi="Arial"/>
                <w:sz w:val="18"/>
                <w:szCs w:val="18"/>
                <w:color w:val="auto"/>
              </w:rPr>
              <w:t>Total stockholders’ equity</w:t>
            </w: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1,265,822</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1,270,069</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1,217,585</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Goodwill and other intangible assets, net</w:t>
            </w: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(361,120)</w:t>
            </w: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(363,521)</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(370,572)</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tcBorders>
              <w:bottom w:val="single" w:sz="8" w:color="CCEEFF"/>
            </w:tcBorders>
            <w:gridSpan w:val="2"/>
          </w:tcPr>
          <w:p>
            <w:pPr>
              <w:ind w:left="220"/>
              <w:spacing w:after="0" w:line="202" w:lineRule="exact"/>
              <w:rPr>
                <w:sz w:val="20"/>
                <w:szCs w:val="20"/>
                <w:color w:val="auto"/>
              </w:rPr>
            </w:pPr>
            <w:r>
              <w:rPr>
                <w:rFonts w:ascii="Arial" w:cs="Arial" w:eastAsia="Arial" w:hAnsi="Arial"/>
                <w:sz w:val="18"/>
                <w:szCs w:val="18"/>
                <w:color w:val="auto"/>
              </w:rPr>
              <w:t>Tax effect of other intangible assets, net</w:t>
            </w:r>
          </w:p>
        </w:tc>
        <w:tc>
          <w:tcPr>
            <w:tcW w:w="4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13,883</w:t>
            </w:r>
          </w:p>
        </w:tc>
        <w:tc>
          <w:tcPr>
            <w:tcW w:w="18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14,556</w:t>
            </w:r>
          </w:p>
        </w:tc>
        <w:tc>
          <w:tcPr>
            <w:tcW w:w="1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16,530</w:t>
            </w:r>
          </w:p>
        </w:tc>
        <w:tc>
          <w:tcPr>
            <w:tcW w:w="1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80" w:type="dxa"/>
            <w:vAlign w:val="bottom"/>
            <w:tcBorders>
              <w:bottom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Tangible common equity</w:t>
            </w:r>
          </w:p>
        </w:tc>
        <w:tc>
          <w:tcPr>
            <w:tcW w:w="4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918,585</w:t>
            </w:r>
          </w:p>
        </w:tc>
        <w:tc>
          <w:tcPr>
            <w:tcW w:w="1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921,104</w:t>
            </w:r>
          </w:p>
        </w:tc>
        <w:tc>
          <w:tcPr>
            <w:tcW w:w="1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863,543</w:t>
            </w:r>
          </w:p>
        </w:tc>
        <w:tc>
          <w:tcPr>
            <w:tcW w:w="1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22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6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Ending number of common shares outstanding</w:t>
            </w: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3"/>
              </w:rPr>
              <w:t>54,345,379</w:t>
            </w: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54,404,379</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3"/>
              </w:rPr>
              <w:t>54,401,208</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2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680" w:type="dxa"/>
            <w:vAlign w:val="bottom"/>
            <w:gridSpan w:val="2"/>
            <w:shd w:val="clear" w:color="auto" w:fill="CCEEFF"/>
          </w:tcPr>
          <w:p>
            <w:pPr>
              <w:spacing w:after="0" w:line="202" w:lineRule="exact"/>
              <w:rPr>
                <w:sz w:val="20"/>
                <w:szCs w:val="20"/>
                <w:color w:val="auto"/>
              </w:rPr>
            </w:pPr>
            <w:r>
              <w:rPr>
                <w:rFonts w:ascii="Arial" w:cs="Arial" w:eastAsia="Arial" w:hAnsi="Arial"/>
                <w:sz w:val="16"/>
                <w:szCs w:val="16"/>
                <w:b w:val="1"/>
                <w:bCs w:val="1"/>
                <w:color w:val="auto"/>
              </w:rPr>
              <w:t>Tangible common equity to tangible assets</w:t>
            </w:r>
            <w:r>
              <w:rPr>
                <w:rFonts w:ascii="Arial" w:cs="Arial" w:eastAsia="Arial" w:hAnsi="Arial"/>
                <w:sz w:val="23"/>
                <w:szCs w:val="23"/>
                <w:color w:val="auto"/>
                <w:vertAlign w:val="superscript"/>
              </w:rPr>
              <w:t>(1)</w:t>
            </w: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8.82 %</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9.03 %</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9.22 %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Tangible book value per share</w:t>
            </w:r>
          </w:p>
        </w:tc>
        <w:tc>
          <w:tcPr>
            <w:tcW w:w="6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16.65</w:t>
            </w:r>
          </w:p>
        </w:tc>
        <w:tc>
          <w:tcPr>
            <w:tcW w:w="180" w:type="dxa"/>
            <w:vAlign w:val="bottom"/>
          </w:tcPr>
          <w:p>
            <w:pPr>
              <w:spacing w:after="0"/>
              <w:rPr>
                <w:sz w:val="17"/>
                <w:szCs w:val="17"/>
                <w:color w:val="auto"/>
              </w:rPr>
            </w:pPr>
          </w:p>
        </w:tc>
        <w:tc>
          <w:tcPr>
            <w:tcW w:w="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16.66</w:t>
            </w:r>
          </w:p>
        </w:tc>
        <w:tc>
          <w:tcPr>
            <w:tcW w:w="160" w:type="dxa"/>
            <w:vAlign w:val="bottom"/>
          </w:tcPr>
          <w:p>
            <w:pPr>
              <w:spacing w:after="0"/>
              <w:rPr>
                <w:sz w:val="17"/>
                <w:szCs w:val="17"/>
                <w:color w:val="auto"/>
              </w:rPr>
            </w:pPr>
          </w:p>
        </w:tc>
        <w:tc>
          <w:tcPr>
            <w:tcW w:w="14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15.57</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24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680" w:type="dxa"/>
            <w:vAlign w:val="bottom"/>
            <w:gridSpan w:val="2"/>
          </w:tcPr>
          <w:p>
            <w:pPr>
              <w:spacing w:after="0" w:line="202" w:lineRule="exact"/>
              <w:rPr>
                <w:sz w:val="20"/>
                <w:szCs w:val="20"/>
                <w:color w:val="auto"/>
              </w:rPr>
            </w:pPr>
            <w:r>
              <w:rPr>
                <w:rFonts w:ascii="Arial" w:cs="Arial" w:eastAsia="Arial" w:hAnsi="Arial"/>
                <w:sz w:val="18"/>
                <w:szCs w:val="18"/>
                <w:color w:val="auto"/>
              </w:rPr>
              <w:t>Average common equity</w:t>
            </w:r>
          </w:p>
        </w:tc>
        <w:tc>
          <w:tcPr>
            <w:tcW w:w="6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1,275,694</w:t>
            </w:r>
          </w:p>
        </w:tc>
        <w:tc>
          <w:tcPr>
            <w:tcW w:w="180" w:type="dxa"/>
            <w:vAlign w:val="bottom"/>
          </w:tcPr>
          <w:p>
            <w:pPr>
              <w:spacing w:after="0"/>
              <w:rPr>
                <w:sz w:val="17"/>
                <w:szCs w:val="17"/>
                <w:color w:val="auto"/>
              </w:rPr>
            </w:pPr>
          </w:p>
        </w:tc>
        <w:tc>
          <w:tcPr>
            <w:tcW w:w="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1,261,298</w:t>
            </w:r>
          </w:p>
        </w:tc>
        <w:tc>
          <w:tcPr>
            <w:tcW w:w="160" w:type="dxa"/>
            <w:vAlign w:val="bottom"/>
          </w:tcPr>
          <w:p>
            <w:pPr>
              <w:spacing w:after="0"/>
              <w:rPr>
                <w:sz w:val="17"/>
                <w:szCs w:val="17"/>
                <w:color w:val="auto"/>
              </w:rPr>
            </w:pPr>
          </w:p>
        </w:tc>
        <w:tc>
          <w:tcPr>
            <w:tcW w:w="14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1,218,160</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Average goodwill and other intangible assets, net</w:t>
            </w:r>
          </w:p>
        </w:tc>
        <w:tc>
          <w:tcPr>
            <w:tcW w:w="4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(362,693)</w:t>
            </w: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(365,120)</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(372,240)</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700" w:type="dxa"/>
            <w:vAlign w:val="bottom"/>
            <w:gridSpan w:val="3"/>
          </w:tcPr>
          <w:p>
            <w:pPr>
              <w:ind w:left="20"/>
              <w:spacing w:after="0" w:line="196" w:lineRule="exact"/>
              <w:rPr>
                <w:sz w:val="20"/>
                <w:szCs w:val="20"/>
                <w:color w:val="auto"/>
              </w:rPr>
            </w:pPr>
            <w:r>
              <w:rPr>
                <w:rFonts w:ascii="Arial" w:cs="Arial" w:eastAsia="Arial" w:hAnsi="Arial"/>
                <w:sz w:val="18"/>
                <w:szCs w:val="18"/>
                <w:color w:val="auto"/>
              </w:rPr>
              <w:t>Average tangible common equity</w:t>
            </w:r>
          </w:p>
        </w:tc>
        <w:tc>
          <w:tcPr>
            <w:tcW w:w="48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913,001</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896,178</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845,920</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2220" w:type="dxa"/>
            <w:vAlign w:val="bottom"/>
            <w:tcBorders>
              <w:top w:val="single" w:sz="8" w:color="CCEEFF"/>
            </w:tcBorders>
            <w:shd w:val="clear" w:color="auto" w:fill="CCEEFF"/>
          </w:tcPr>
          <w:p>
            <w:pPr>
              <w:spacing w:after="0"/>
              <w:rPr>
                <w:sz w:val="15"/>
                <w:szCs w:val="15"/>
                <w:color w:val="auto"/>
              </w:rPr>
            </w:pPr>
          </w:p>
        </w:tc>
        <w:tc>
          <w:tcPr>
            <w:tcW w:w="246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680" w:type="dxa"/>
            <w:vAlign w:val="bottom"/>
            <w:gridSpan w:val="2"/>
          </w:tcPr>
          <w:p>
            <w:pPr>
              <w:spacing w:after="0" w:line="202" w:lineRule="exact"/>
              <w:rPr>
                <w:sz w:val="20"/>
                <w:szCs w:val="20"/>
                <w:color w:val="auto"/>
              </w:rPr>
            </w:pPr>
            <w:r>
              <w:rPr>
                <w:rFonts w:ascii="Arial" w:cs="Arial" w:eastAsia="Arial" w:hAnsi="Arial"/>
                <w:sz w:val="16"/>
                <w:szCs w:val="16"/>
                <w:b w:val="1"/>
                <w:bCs w:val="1"/>
                <w:color w:val="auto"/>
              </w:rPr>
              <w:t>Reported</w:t>
            </w:r>
            <w:r>
              <w:rPr>
                <w:rFonts w:ascii="Arial" w:cs="Arial" w:eastAsia="Arial" w:hAnsi="Arial"/>
                <w:sz w:val="16"/>
                <w:szCs w:val="16"/>
                <w:color w:val="auto"/>
              </w:rPr>
              <w:t>: Return on average tangible common equity</w:t>
            </w:r>
            <w:r>
              <w:rPr>
                <w:rFonts w:ascii="Arial" w:cs="Arial" w:eastAsia="Arial" w:hAnsi="Arial"/>
                <w:sz w:val="23"/>
                <w:szCs w:val="23"/>
                <w:color w:val="auto"/>
                <w:vertAlign w:val="superscript"/>
              </w:rPr>
              <w:t>(2)</w:t>
            </w: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16.80 %</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12.58 %</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7.30 %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gridSpan w:val="2"/>
            <w:shd w:val="clear" w:color="auto" w:fill="CCEEFF"/>
          </w:tcPr>
          <w:p>
            <w:pPr>
              <w:spacing w:after="0" w:line="202" w:lineRule="exact"/>
              <w:rPr>
                <w:sz w:val="20"/>
                <w:szCs w:val="20"/>
                <w:color w:val="auto"/>
              </w:rPr>
            </w:pPr>
            <w:r>
              <w:rPr>
                <w:rFonts w:ascii="Arial" w:cs="Arial" w:eastAsia="Arial" w:hAnsi="Arial"/>
                <w:sz w:val="16"/>
                <w:szCs w:val="16"/>
                <w:b w:val="1"/>
                <w:bCs w:val="1"/>
                <w:color w:val="auto"/>
              </w:rPr>
              <w:t>Adjusted</w:t>
            </w:r>
            <w:r>
              <w:rPr>
                <w:rFonts w:ascii="Arial" w:cs="Arial" w:eastAsia="Arial" w:hAnsi="Arial"/>
                <w:sz w:val="16"/>
                <w:szCs w:val="16"/>
                <w:color w:val="auto"/>
              </w:rPr>
              <w:t>: Return on average tangible common equity</w:t>
            </w:r>
            <w:r>
              <w:rPr>
                <w:rFonts w:ascii="Arial" w:cs="Arial" w:eastAsia="Arial" w:hAnsi="Arial"/>
                <w:sz w:val="23"/>
                <w:szCs w:val="23"/>
                <w:color w:val="auto"/>
                <w:vertAlign w:val="superscript"/>
              </w:rPr>
              <w:t>(2)(3)</w:t>
            </w: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16.91 %</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15.21 %</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7.36 %</w:t>
            </w:r>
          </w:p>
        </w:tc>
        <w:tc>
          <w:tcPr>
            <w:tcW w:w="0" w:type="dxa"/>
            <w:vAlign w:val="bottom"/>
          </w:tcPr>
          <w:p>
            <w:pPr>
              <w:spacing w:after="0"/>
              <w:rPr>
                <w:sz w:val="1"/>
                <w:szCs w:val="1"/>
                <w:color w:val="auto"/>
              </w:rPr>
            </w:pPr>
          </w:p>
        </w:tc>
      </w:tr>
      <w:tr>
        <w:trPr>
          <w:trHeight w:val="115"/>
        </w:trPr>
        <w:tc>
          <w:tcPr>
            <w:tcW w:w="2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tcPr>
          <w:p>
            <w:pPr>
              <w:spacing w:after="0"/>
              <w:rPr>
                <w:sz w:val="10"/>
                <w:szCs w:val="10"/>
                <w:color w:val="auto"/>
              </w:rPr>
            </w:pPr>
          </w:p>
        </w:tc>
        <w:tc>
          <w:tcPr>
            <w:tcW w:w="24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160"/>
        <w:spacing w:after="0"/>
        <w:tabs>
          <w:tab w:leader="none" w:pos="460" w:val="left"/>
        </w:tabs>
        <w:rPr>
          <w:sz w:val="20"/>
          <w:szCs w:val="20"/>
          <w:color w:val="auto"/>
        </w:rPr>
      </w:pPr>
      <w:r>
        <w:rPr>
          <w:rFonts w:ascii="Arial" w:cs="Arial" w:eastAsia="Arial" w:hAnsi="Arial"/>
          <w:sz w:val="13"/>
          <w:szCs w:val="13"/>
          <w:color w:val="auto"/>
        </w:rPr>
        <w:t>(1)</w:t>
      </w:r>
      <w:r>
        <w:rPr>
          <w:sz w:val="20"/>
          <w:szCs w:val="20"/>
          <w:color w:val="auto"/>
        </w:rPr>
        <w:tab/>
      </w:r>
      <w:r>
        <w:rPr>
          <w:rFonts w:ascii="Arial" w:cs="Arial" w:eastAsia="Arial" w:hAnsi="Arial"/>
          <w:sz w:val="14"/>
          <w:szCs w:val="14"/>
          <w:color w:val="auto"/>
        </w:rPr>
        <w:t>Tax-effected measure, 28% estimated deferred tax rate.</w:t>
      </w:r>
    </w:p>
    <w:p>
      <w:pPr>
        <w:spacing w:after="0" w:line="13" w:lineRule="exact"/>
        <w:rPr>
          <w:sz w:val="20"/>
          <w:szCs w:val="20"/>
          <w:color w:val="auto"/>
        </w:rPr>
      </w:pPr>
    </w:p>
    <w:p>
      <w:pPr>
        <w:ind w:left="160"/>
        <w:spacing w:after="0"/>
        <w:tabs>
          <w:tab w:leader="none" w:pos="460" w:val="left"/>
        </w:tabs>
        <w:rPr>
          <w:sz w:val="20"/>
          <w:szCs w:val="20"/>
          <w:color w:val="auto"/>
        </w:rPr>
      </w:pPr>
      <w:r>
        <w:rPr>
          <w:rFonts w:ascii="Arial" w:cs="Arial" w:eastAsia="Arial" w:hAnsi="Arial"/>
          <w:sz w:val="13"/>
          <w:szCs w:val="13"/>
          <w:color w:val="auto"/>
        </w:rPr>
        <w:t>(2)</w:t>
      </w:r>
      <w:r>
        <w:rPr>
          <w:sz w:val="20"/>
          <w:szCs w:val="20"/>
          <w:color w:val="auto"/>
        </w:rPr>
        <w:tab/>
      </w:r>
      <w:r>
        <w:rPr>
          <w:rFonts w:ascii="Arial" w:cs="Arial" w:eastAsia="Arial" w:hAnsi="Arial"/>
          <w:sz w:val="14"/>
          <w:szCs w:val="14"/>
          <w:color w:val="auto"/>
        </w:rPr>
        <w:t>Annualized measure.</w:t>
      </w:r>
    </w:p>
    <w:p>
      <w:pPr>
        <w:spacing w:after="0" w:line="1" w:lineRule="exact"/>
        <w:rPr>
          <w:sz w:val="20"/>
          <w:szCs w:val="20"/>
          <w:color w:val="auto"/>
        </w:rPr>
      </w:pPr>
    </w:p>
    <w:p>
      <w:pPr>
        <w:ind w:left="160"/>
        <w:spacing w:after="0"/>
        <w:tabs>
          <w:tab w:leader="none" w:pos="460" w:val="left"/>
        </w:tabs>
        <w:rPr>
          <w:sz w:val="20"/>
          <w:szCs w:val="20"/>
          <w:color w:val="auto"/>
        </w:rPr>
      </w:pPr>
      <w:r>
        <w:rPr>
          <w:rFonts w:ascii="Arial" w:cs="Arial" w:eastAsia="Arial" w:hAnsi="Arial"/>
          <w:sz w:val="13"/>
          <w:szCs w:val="13"/>
          <w:color w:val="auto"/>
        </w:rPr>
        <w:t>(3)</w:t>
      </w:r>
      <w:r>
        <w:rPr>
          <w:sz w:val="20"/>
          <w:szCs w:val="20"/>
          <w:color w:val="auto"/>
        </w:rPr>
        <w:tab/>
      </w:r>
      <w:r>
        <w:rPr>
          <w:rFonts w:ascii="Arial" w:cs="Arial" w:eastAsia="Arial" w:hAnsi="Arial"/>
          <w:sz w:val="14"/>
          <w:szCs w:val="14"/>
          <w:color w:val="auto"/>
        </w:rPr>
        <w:t>Calculated using adjusted net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7" w:name="page58"/>
    <w:bookmarkEnd w:id="5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FORWARD-LOOKING STATEMENTS</w:t>
      </w:r>
    </w:p>
    <w:p>
      <w:pPr>
        <w:spacing w:after="0" w:line="202" w:lineRule="exact"/>
        <w:rPr>
          <w:sz w:val="20"/>
          <w:szCs w:val="20"/>
          <w:color w:val="auto"/>
        </w:rPr>
      </w:pPr>
    </w:p>
    <w:p>
      <w:pPr>
        <w:ind w:left="60" w:right="119"/>
        <w:spacing w:after="0" w:line="265" w:lineRule="auto"/>
        <w:rPr>
          <w:sz w:val="20"/>
          <w:szCs w:val="20"/>
          <w:color w:val="auto"/>
        </w:rPr>
      </w:pPr>
      <w:r>
        <w:rPr>
          <w:rFonts w:ascii="Arial" w:cs="Arial" w:eastAsia="Arial" w:hAnsi="Arial"/>
          <w:sz w:val="16"/>
          <w:szCs w:val="16"/>
          <w:color w:val="auto"/>
        </w:rPr>
        <w:t>Statements made in this document, other than those concerning historical financial information, may be considered forward-looking statements within the meaning of the Private Securities Litigation Reform Act of 1995 with respect to the financial condition, results of operations, plans, objectives, future performance, and business of the Company. Forward-looking statements, which may be based upon beliefs, expectations, and assumptions of the Company’s management, and on information currently available to management, are generally identifiable by the use of words such as “believe,” “expect,” “anticipate,” “plan,” “intend,” “estimate,” “may,” “will,” “would,” “could,” “should,” or other similar expressions. Additionally, all statements in this document, including forward-looking statements, speak only as of the date they are made, and the Company undertakes no obligation to update any statement in light of new information or future events. A number of factors, many of which are beyond the Company’s ability to control or predict, could cause actual results to differ materially from those in the Company’s forward-looking statements. These factors include, among others, the following: (i) the strength of the local, state, national, and international economy (including the impact of the new presidential administration); (ii) the economic impact of any future terrorist threats or attacks, widespread disease or pandemics (including the COVID-19 pandemic), or other adverse external events that could cause economic deterioration or instability in credit markets; (iii) changes in state and federal laws, regulations, and governmental policies concerning the Company’s general business; (iv) changes in accounting policies and practices, including FASB’s CECL impairment standards; (v) changes in interest rates and prepayment rates of the Company’s assets (including the impact of the LIBOR phase-out); (vi) increased competition in the financial services sector and the inability to attract new customers;</w:t>
      </w:r>
    </w:p>
    <w:p>
      <w:pPr>
        <w:spacing w:after="0" w:line="5" w:lineRule="exact"/>
        <w:rPr>
          <w:sz w:val="20"/>
          <w:szCs w:val="20"/>
          <w:color w:val="auto"/>
        </w:rPr>
      </w:pPr>
    </w:p>
    <w:p>
      <w:pPr>
        <w:ind w:left="60" w:right="119" w:hanging="10"/>
        <w:spacing w:after="0" w:line="269" w:lineRule="auto"/>
        <w:tabs>
          <w:tab w:leader="none" w:pos="415" w:val="left"/>
        </w:tabs>
        <w:numPr>
          <w:ilvl w:val="0"/>
          <w:numId w:val="15"/>
        </w:numPr>
        <w:rPr>
          <w:rFonts w:ascii="Arial" w:cs="Arial" w:eastAsia="Arial" w:hAnsi="Arial"/>
          <w:sz w:val="16"/>
          <w:szCs w:val="16"/>
          <w:color w:val="auto"/>
        </w:rPr>
      </w:pPr>
      <w:r>
        <w:rPr>
          <w:rFonts w:ascii="Arial" w:cs="Arial" w:eastAsia="Arial" w:hAnsi="Arial"/>
          <w:sz w:val="16"/>
          <w:szCs w:val="16"/>
          <w:color w:val="auto"/>
        </w:rPr>
        <w:t>changes in technology and the ability to develop and maintain secure and reliable electronic systems; (viii) the loss of key executives or associates; (ix) changes in consumer spending; (x) unexpected results of current and/or future acquisitions, which may include failure to realize the anticipated benefits of any acquisition and the possibility that the transaction costs may be greater than anticipated; (xi) unexpected outcomes of existing or new litigation involving the Company; and (xii) the economic impact of exceptional weather occurrences such as tornadoes, hurricanes, floods, and blizzards. These risks and uncertainties should be considered in evaluating forward-looking statements and undue reliance should not be placed on such statements. Additional information concerning the Company and its business, including additional factors that could materially affect its financial results, is included in the Company’s filings with the SEC.</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ESTIMATES</w:t>
      </w:r>
    </w:p>
    <w:p>
      <w:pPr>
        <w:spacing w:after="0" w:line="202" w:lineRule="exact"/>
        <w:rPr>
          <w:sz w:val="20"/>
          <w:szCs w:val="20"/>
          <w:color w:val="auto"/>
        </w:rPr>
      </w:pPr>
    </w:p>
    <w:p>
      <w:pPr>
        <w:jc w:val="both"/>
        <w:ind w:left="60" w:right="579"/>
        <w:spacing w:after="0" w:line="248" w:lineRule="auto"/>
        <w:rPr>
          <w:sz w:val="20"/>
          <w:szCs w:val="20"/>
          <w:color w:val="auto"/>
        </w:rPr>
      </w:pPr>
      <w:r>
        <w:rPr>
          <w:rFonts w:ascii="Arial" w:cs="Arial" w:eastAsia="Arial" w:hAnsi="Arial"/>
          <w:sz w:val="18"/>
          <w:szCs w:val="18"/>
          <w:color w:val="auto"/>
        </w:rPr>
        <w:t>First Busey has established various accounting policies that govern the application of GAAP in the preparation of its unaudited Consolidated Financial Statements. Significant accounting policies are described in “</w:t>
      </w:r>
      <w:r>
        <w:rPr>
          <w:rFonts w:ascii="Arial" w:cs="Arial" w:eastAsia="Arial" w:hAnsi="Arial"/>
          <w:sz w:val="18"/>
          <w:szCs w:val="18"/>
          <w:i w:val="1"/>
          <w:iCs w:val="1"/>
          <w:color w:val="auto"/>
        </w:rPr>
        <w:t>Note 1. Significant</w:t>
      </w:r>
      <w:r>
        <w:rPr>
          <w:rFonts w:ascii="Arial" w:cs="Arial" w:eastAsia="Arial" w:hAnsi="Arial"/>
          <w:sz w:val="18"/>
          <w:szCs w:val="18"/>
          <w:color w:val="auto"/>
        </w:rPr>
        <w:t xml:space="preserve"> </w:t>
      </w:r>
      <w:r>
        <w:rPr>
          <w:rFonts w:ascii="Arial" w:cs="Arial" w:eastAsia="Arial" w:hAnsi="Arial"/>
          <w:sz w:val="18"/>
          <w:szCs w:val="18"/>
          <w:i w:val="1"/>
          <w:iCs w:val="1"/>
          <w:color w:val="auto"/>
        </w:rPr>
        <w:t>Accounting Policies</w:t>
      </w:r>
      <w:r>
        <w:rPr>
          <w:rFonts w:ascii="Arial" w:cs="Arial" w:eastAsia="Arial" w:hAnsi="Arial"/>
          <w:sz w:val="18"/>
          <w:szCs w:val="18"/>
          <w:color w:val="auto"/>
        </w:rPr>
        <w:t>” of the Company’s 2020 Annual Report.</w:t>
      </w:r>
    </w:p>
    <w:p>
      <w:pPr>
        <w:spacing w:after="0" w:line="168" w:lineRule="exact"/>
        <w:rPr>
          <w:sz w:val="20"/>
          <w:szCs w:val="20"/>
          <w:color w:val="auto"/>
        </w:rPr>
      </w:pPr>
    </w:p>
    <w:p>
      <w:pPr>
        <w:ind w:left="60" w:right="139"/>
        <w:spacing w:after="0" w:line="239" w:lineRule="auto"/>
        <w:rPr>
          <w:sz w:val="20"/>
          <w:szCs w:val="20"/>
          <w:color w:val="auto"/>
        </w:rPr>
      </w:pPr>
      <w:r>
        <w:rPr>
          <w:rFonts w:ascii="Arial" w:cs="Arial" w:eastAsia="Arial" w:hAnsi="Arial"/>
          <w:sz w:val="18"/>
          <w:szCs w:val="18"/>
          <w:color w:val="auto"/>
        </w:rPr>
        <w:t>Critical accounting estimates are those that are critical to the portrayal and understanding of First Busey’s financial condition and results of operations and require management to make assumptions that are difficult, subjective, or complex. These estimates involve judgments, assumptions, and uncertainties that are susceptible to change. In the event that different assumptions or conditions were to prevail, and depending on the severity of such changes, the possibility of a materially different financial condition or materially different results of operations is a reasonable likelihood. Further, changes in accounting standards could impact the Company’s critical accounting estimates. The following policies could be deemed critical:</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Fair Value of Debt Securities Available for Sale</w:t>
      </w:r>
    </w:p>
    <w:p>
      <w:pPr>
        <w:spacing w:after="0" w:line="198" w:lineRule="exact"/>
        <w:rPr>
          <w:sz w:val="20"/>
          <w:szCs w:val="20"/>
          <w:color w:val="auto"/>
        </w:rPr>
      </w:pPr>
    </w:p>
    <w:p>
      <w:pPr>
        <w:ind w:left="60" w:right="59"/>
        <w:spacing w:after="0" w:line="241" w:lineRule="auto"/>
        <w:rPr>
          <w:sz w:val="20"/>
          <w:szCs w:val="20"/>
          <w:color w:val="auto"/>
        </w:rPr>
      </w:pPr>
      <w:r>
        <w:rPr>
          <w:rFonts w:ascii="Arial" w:cs="Arial" w:eastAsia="Arial" w:hAnsi="Arial"/>
          <w:sz w:val="18"/>
          <w:szCs w:val="18"/>
          <w:color w:val="auto"/>
        </w:rPr>
        <w:t>The fair values of debt securities available for sale are measurements from an independent pricing service and are based on observable data that may include dealer quotes, market spreads, cash flows, the U.S. Treasury yield curve, live trading levels, trade execution data, market consensus prepayment speeds, credit information, and the security’s terms and conditions, among other things. The use of different judgments and estimates to determine the fair value of securities could result in a different fair value estimate.</w:t>
      </w:r>
    </w:p>
    <w:p>
      <w:pPr>
        <w:spacing w:after="0" w:line="176" w:lineRule="exact"/>
        <w:rPr>
          <w:sz w:val="20"/>
          <w:szCs w:val="20"/>
          <w:color w:val="auto"/>
        </w:rPr>
      </w:pPr>
    </w:p>
    <w:p>
      <w:pPr>
        <w:ind w:left="60" w:right="379"/>
        <w:spacing w:after="0" w:line="261" w:lineRule="auto"/>
        <w:rPr>
          <w:sz w:val="20"/>
          <w:szCs w:val="20"/>
          <w:color w:val="auto"/>
        </w:rPr>
      </w:pPr>
      <w:r>
        <w:rPr>
          <w:rFonts w:ascii="Arial" w:cs="Arial" w:eastAsia="Arial" w:hAnsi="Arial"/>
          <w:sz w:val="18"/>
          <w:szCs w:val="18"/>
          <w:color w:val="auto"/>
        </w:rPr>
        <w:t>Realized securities gains or losses are reported in the Consolidated Statements of Income. The cost of securities sold is based on the specific identification method.</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8" w:name="page59"/>
    <w:bookmarkEnd w:id="5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6" w:lineRule="exact"/>
        <w:rPr>
          <w:sz w:val="20"/>
          <w:szCs w:val="20"/>
          <w:color w:val="auto"/>
        </w:rPr>
      </w:pPr>
    </w:p>
    <w:p>
      <w:pPr>
        <w:ind w:left="60" w:right="119"/>
        <w:spacing w:after="0" w:line="253" w:lineRule="auto"/>
        <w:rPr>
          <w:sz w:val="20"/>
          <w:szCs w:val="20"/>
          <w:color w:val="auto"/>
        </w:rPr>
      </w:pPr>
      <w:r>
        <w:rPr>
          <w:rFonts w:ascii="Arial" w:cs="Arial" w:eastAsia="Arial" w:hAnsi="Arial"/>
          <w:sz w:val="17"/>
          <w:szCs w:val="17"/>
          <w:color w:val="auto"/>
        </w:rPr>
        <w:t>Debt securities available for sale are not within the scope of CECL, however, the accounting for credit losses on these securities is affected by ASC 326-30. A debt security available for sale is impaired if the fair value of the security declines below its amortized cost basis. To determine the appropriate accounting, the Company must first determine if it intends to sell the security or if it is more likely than not that it will be required to sell the security before the fair value increases to at least the amortized cost basis. If either of those selling events is expected, the Company will write down the amortized cost basis of the security to its fair value. This is achieved by writing off any previously recorded ACL balance related to the debt security, if applicable, and recognizing any incremental impairment through earnings. If the Company does not intend to sell the security, nor believes it more likely than not will be required to sell the security before the fair value recovers to the amortized cost basis, the Company must determine whether any of the decline in fair value has resulted from a credit loss, or if it is entirely the result of noncredit factors.</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Company considers the following factors in assessing whether the decline is due to a credit loss:</w:t>
      </w:r>
    </w:p>
    <w:p>
      <w:pPr>
        <w:spacing w:after="0" w:line="198" w:lineRule="exact"/>
        <w:rPr>
          <w:sz w:val="20"/>
          <w:szCs w:val="20"/>
          <w:color w:val="auto"/>
        </w:rPr>
      </w:pPr>
    </w:p>
    <w:p>
      <w:pPr>
        <w:ind w:left="720" w:hanging="319"/>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Extent to which the fair value is less than the amortized cost basis.</w:t>
      </w:r>
    </w:p>
    <w:p>
      <w:pPr>
        <w:spacing w:after="0" w:line="11" w:lineRule="exact"/>
        <w:rPr>
          <w:rFonts w:ascii="Arial" w:cs="Arial" w:eastAsia="Arial" w:hAnsi="Arial"/>
          <w:sz w:val="18"/>
          <w:szCs w:val="18"/>
          <w:color w:val="auto"/>
        </w:rPr>
      </w:pPr>
    </w:p>
    <w:p>
      <w:pPr>
        <w:jc w:val="both"/>
        <w:ind w:left="720" w:right="139" w:hanging="319"/>
        <w:spacing w:after="0" w:line="234" w:lineRule="auto"/>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Adverse conditions specifically related to the security, an industry, or a geographic area (for example, changes in the financial condition of the issuer of the security, or in the case of an asset-backed debt security, in the financial condition of the underlying loan obligors).</w:t>
      </w:r>
    </w:p>
    <w:p>
      <w:pPr>
        <w:spacing w:after="0" w:line="2" w:lineRule="exact"/>
        <w:rPr>
          <w:rFonts w:ascii="Arial" w:cs="Arial" w:eastAsia="Arial" w:hAnsi="Arial"/>
          <w:sz w:val="18"/>
          <w:szCs w:val="18"/>
          <w:color w:val="auto"/>
        </w:rPr>
      </w:pPr>
    </w:p>
    <w:p>
      <w:pPr>
        <w:ind w:left="720" w:right="199" w:hanging="319"/>
        <w:spacing w:after="0" w:line="234" w:lineRule="auto"/>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Payment structure of the debt security and the likelihood of the issuer being able to make payments that increase in the future.</w:t>
      </w:r>
    </w:p>
    <w:p>
      <w:pPr>
        <w:spacing w:after="0" w:line="1" w:lineRule="exact"/>
        <w:rPr>
          <w:rFonts w:ascii="Arial" w:cs="Arial" w:eastAsia="Arial" w:hAnsi="Arial"/>
          <w:sz w:val="18"/>
          <w:szCs w:val="18"/>
          <w:color w:val="auto"/>
        </w:rPr>
      </w:pPr>
    </w:p>
    <w:p>
      <w:pPr>
        <w:ind w:left="720" w:hanging="319"/>
        <w:spacing w:after="0" w:line="234" w:lineRule="auto"/>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 of the issuer of the security to make scheduled interest or principal payments.</w:t>
      </w:r>
    </w:p>
    <w:p>
      <w:pPr>
        <w:ind w:left="720" w:hanging="319"/>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changes to the rating of the security by a rating agency.</w:t>
      </w:r>
    </w:p>
    <w:p>
      <w:pPr>
        <w:spacing w:after="0" w:line="182" w:lineRule="exact"/>
        <w:rPr>
          <w:sz w:val="20"/>
          <w:szCs w:val="20"/>
          <w:color w:val="auto"/>
        </w:rPr>
      </w:pPr>
    </w:p>
    <w:p>
      <w:pPr>
        <w:ind w:left="60" w:right="99"/>
        <w:spacing w:after="0" w:line="243" w:lineRule="auto"/>
        <w:rPr>
          <w:sz w:val="20"/>
          <w:szCs w:val="20"/>
          <w:color w:val="auto"/>
        </w:rPr>
      </w:pPr>
      <w:r>
        <w:rPr>
          <w:rFonts w:ascii="Arial" w:cs="Arial" w:eastAsia="Arial" w:hAnsi="Arial"/>
          <w:sz w:val="18"/>
          <w:szCs w:val="18"/>
          <w:color w:val="auto"/>
        </w:rPr>
        <w:t>Impairment related to a credit loss must be measured using the discounted cash flow method. Credit loss recognition is limited to the fair value of the security. The impairment is recognized by establishing an ACL balance for the debt security through the provision for credit losses. Impairment related to noncredit factors is recognized in accumulated other comprehensive income, net of applicable taxes.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Fair Value of Assets Acquired and Liabilities Assumed in Business Combinations</w:t>
      </w:r>
    </w:p>
    <w:p>
      <w:pPr>
        <w:spacing w:after="0" w:line="198" w:lineRule="exact"/>
        <w:rPr>
          <w:sz w:val="20"/>
          <w:szCs w:val="20"/>
          <w:color w:val="auto"/>
        </w:rPr>
      </w:pPr>
    </w:p>
    <w:p>
      <w:pPr>
        <w:ind w:left="60" w:right="79"/>
        <w:spacing w:after="0" w:line="284" w:lineRule="auto"/>
        <w:rPr>
          <w:sz w:val="20"/>
          <w:szCs w:val="20"/>
          <w:color w:val="auto"/>
        </w:rPr>
      </w:pPr>
      <w:r>
        <w:rPr>
          <w:rFonts w:ascii="Arial" w:cs="Arial" w:eastAsia="Arial" w:hAnsi="Arial"/>
          <w:sz w:val="16"/>
          <w:szCs w:val="16"/>
          <w:color w:val="auto"/>
        </w:rPr>
        <w:t>Business combinations are accounted for using the acquisition method of accounting. Under the acquisition method of accounting, assets acquired and liabilities assumed are recorded at their estimated fair value on the date of acquisition. Fair values are determined based on the definition of “fair value” defined in ASC 820 as “the price that would be received to sell an asset or paid to transfer a liability in an orderly transaction between market participants at the measurement date.”</w:t>
      </w:r>
    </w:p>
    <w:p>
      <w:pPr>
        <w:spacing w:after="0" w:line="142" w:lineRule="exact"/>
        <w:rPr>
          <w:sz w:val="20"/>
          <w:szCs w:val="20"/>
          <w:color w:val="auto"/>
        </w:rPr>
      </w:pPr>
    </w:p>
    <w:p>
      <w:pPr>
        <w:ind w:left="60" w:right="199"/>
        <w:spacing w:after="0" w:line="276" w:lineRule="auto"/>
        <w:rPr>
          <w:sz w:val="20"/>
          <w:szCs w:val="20"/>
          <w:color w:val="auto"/>
        </w:rPr>
      </w:pPr>
      <w:r>
        <w:rPr>
          <w:rFonts w:ascii="Arial" w:cs="Arial" w:eastAsia="Arial" w:hAnsi="Arial"/>
          <w:sz w:val="16"/>
          <w:szCs w:val="16"/>
          <w:color w:val="auto"/>
        </w:rPr>
        <w:t>The fair value of a loan portfolio acquired in a business combination generally requires greater levels of management estimates and judgment than other assets acquired or liabilities assumed. Acquired loans are in the scope of ASC 326-30. However, the offset to record the ACL at the date of acquisition on acquired loans depends on whether or not the loan is classified as PCD. The ACL for PCD loans is recorded through a gross-up effect, while the ACL for acquired non-PCD loans is recorded through provision expense, consistent with originated loans. Thus, the determination of which loans are PCD and non-PCD can have a significant effect on the accounting for these loans.</w:t>
      </w:r>
    </w:p>
    <w:p>
      <w:pPr>
        <w:spacing w:after="0" w:line="14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Goodwill</w:t>
      </w:r>
    </w:p>
    <w:p>
      <w:pPr>
        <w:spacing w:after="0" w:line="198"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Goodwill represents the excess of purchase price over the fair value of net assets acquired using the acquisition method of accounting. Determining the fair value often involves estimates based on third-party valuations, such as appraisals, or internal valuations based on discounted cash flow analyses or other valuation techniques. Goodwill is not amortized, instead, the Company assess the potential for impairment on an annual basis or more frequently if events and circumstances indicate that goodwill might be impaired. The Company will continue to monitor events around COVID-19 and its potential impact on goodwill.</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9" w:name="page60"/>
    <w:bookmarkEnd w:id="5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Income Taxes</w:t>
      </w:r>
    </w:p>
    <w:p>
      <w:pPr>
        <w:spacing w:after="0" w:line="198" w:lineRule="exact"/>
        <w:rPr>
          <w:sz w:val="20"/>
          <w:szCs w:val="20"/>
          <w:color w:val="auto"/>
        </w:rPr>
      </w:pPr>
    </w:p>
    <w:p>
      <w:pPr>
        <w:ind w:left="60" w:right="59"/>
        <w:spacing w:after="0" w:line="238" w:lineRule="auto"/>
        <w:rPr>
          <w:sz w:val="20"/>
          <w:szCs w:val="20"/>
          <w:color w:val="auto"/>
        </w:rPr>
      </w:pPr>
      <w:r>
        <w:rPr>
          <w:rFonts w:ascii="Arial" w:cs="Arial" w:eastAsia="Arial" w:hAnsi="Arial"/>
          <w:sz w:val="18"/>
          <w:szCs w:val="18"/>
          <w:color w:val="auto"/>
        </w:rPr>
        <w:t>The Company estimates income tax expense based on amounts expected to be owed to federal and state tax jurisdictions. Estimated income tax expense is reported in the unaudited Consolidated Statements of Income. Accrued and deferred taxes, as reported in other assets or other liabilities in the unaudited Consolidated Balance Sheets, represent the net estimated amount due to or to be received from taxing jurisdictions either currently or in the future. Management judgment is involved in estimating accrued and deferred taxes, as it may be necessary to evaluate the risks and merits of the tax treatment of transactions, filing positions, and taxable income calculations after considering tax-related statutes, regulations, and other relevant factors. Because of the complexity of tax laws and interpretations, interpretation is subject to judgment.</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Allowance for Credit Losses</w:t>
      </w:r>
    </w:p>
    <w:p>
      <w:pPr>
        <w:spacing w:after="0" w:line="198" w:lineRule="exact"/>
        <w:rPr>
          <w:sz w:val="20"/>
          <w:szCs w:val="20"/>
          <w:color w:val="auto"/>
        </w:rPr>
      </w:pPr>
    </w:p>
    <w:p>
      <w:pPr>
        <w:ind w:left="60" w:right="59"/>
        <w:spacing w:after="0"/>
        <w:rPr>
          <w:sz w:val="20"/>
          <w:szCs w:val="20"/>
          <w:color w:val="auto"/>
        </w:rPr>
      </w:pPr>
      <w:r>
        <w:rPr>
          <w:rFonts w:ascii="Arial" w:cs="Arial" w:eastAsia="Arial" w:hAnsi="Arial"/>
          <w:sz w:val="18"/>
          <w:szCs w:val="18"/>
          <w:color w:val="auto"/>
        </w:rPr>
        <w:t>The Company calculates the ACL at each reporting date. The Company recognizes an ACL for the lifetime expected credit losses for the amount the Company does not expect to collect. The measurement of expected credit losses is based on relevant information about past events, including historical experience, current conditions and reasonable and supportable forecasts that affect the collectability of the reported book value. The calculation also contemplates that the Company may not be able to make or obtain such forecasts for the entire life of the financial assets and requires a reversion to historical credit loss information.</w:t>
      </w:r>
    </w:p>
    <w:p>
      <w:pPr>
        <w:spacing w:after="0" w:line="176" w:lineRule="exact"/>
        <w:rPr>
          <w:sz w:val="20"/>
          <w:szCs w:val="20"/>
          <w:color w:val="auto"/>
        </w:rPr>
      </w:pPr>
    </w:p>
    <w:p>
      <w:pPr>
        <w:ind w:left="60" w:right="279"/>
        <w:spacing w:after="0" w:line="243" w:lineRule="auto"/>
        <w:rPr>
          <w:sz w:val="20"/>
          <w:szCs w:val="20"/>
          <w:color w:val="auto"/>
        </w:rPr>
      </w:pPr>
      <w:r>
        <w:rPr>
          <w:rFonts w:ascii="Arial" w:cs="Arial" w:eastAsia="Arial" w:hAnsi="Arial"/>
          <w:sz w:val="18"/>
          <w:szCs w:val="18"/>
          <w:color w:val="auto"/>
        </w:rPr>
        <w:t>In determining the ACL, management relies predominantly on a disciplined credit review and approval process that extends to the full range of the Company’s credit exposure. The ACL must be determined on a collective (pool) basis when similar risk characteristics exists. On a case-by-case basis, the Company may conclude a loan should be evaluated on an individual basis based on the disparate risk characteristics.</w:t>
      </w:r>
    </w:p>
    <w:p>
      <w:pPr>
        <w:spacing w:after="0" w:line="174" w:lineRule="exact"/>
        <w:rPr>
          <w:sz w:val="20"/>
          <w:szCs w:val="20"/>
          <w:color w:val="auto"/>
        </w:rPr>
      </w:pPr>
    </w:p>
    <w:p>
      <w:pPr>
        <w:ind w:left="60" w:right="339"/>
        <w:spacing w:after="0" w:line="284" w:lineRule="auto"/>
        <w:rPr>
          <w:sz w:val="20"/>
          <w:szCs w:val="20"/>
          <w:color w:val="auto"/>
        </w:rPr>
      </w:pPr>
      <w:r>
        <w:rPr>
          <w:rFonts w:ascii="Arial" w:cs="Arial" w:eastAsia="Arial" w:hAnsi="Arial"/>
          <w:sz w:val="16"/>
          <w:szCs w:val="16"/>
          <w:color w:val="auto"/>
        </w:rPr>
        <w:t>Loans deemed uncollectible are charged against and reduce the ACL. A provision for credit losses is charged to current expense and acts to replenish the ACL in order to maintain the ACL at a level that management deems adequate. Determining the ACL involves significant judgments and assumptions by management. Because of the nature of the judgments and assumptions made by management, actual results may differ from these judgments and assumptions.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02" w:lineRule="exact"/>
        <w:rPr>
          <w:sz w:val="20"/>
          <w:szCs w:val="20"/>
          <w:color w:val="auto"/>
        </w:rPr>
      </w:pPr>
    </w:p>
    <w:p>
      <w:pPr>
        <w:ind w:left="60" w:right="99"/>
        <w:spacing w:after="0" w:line="284" w:lineRule="auto"/>
        <w:rPr>
          <w:sz w:val="20"/>
          <w:szCs w:val="20"/>
          <w:color w:val="auto"/>
        </w:rPr>
      </w:pPr>
      <w:r>
        <w:rPr>
          <w:rFonts w:ascii="Arial" w:cs="Arial" w:eastAsia="Arial" w:hAnsi="Arial"/>
          <w:sz w:val="16"/>
          <w:szCs w:val="16"/>
          <w:color w:val="auto"/>
        </w:rPr>
        <w:t>Market risk is the risk of changes in asset values due to movements in underlying market rates and prices. Interest rate risk is a type of market risk to earnings and capital arising from movements in interest rates. Interest rate risk is the most significant market risk affecting First Busey as other types of market risk, such as foreign currency exchange rate risk and commodity price risk, have minimal impact or do not arise in the normal course of First Busey’s business activities.</w:t>
      </w:r>
    </w:p>
    <w:p>
      <w:pPr>
        <w:spacing w:after="0" w:line="142" w:lineRule="exact"/>
        <w:rPr>
          <w:sz w:val="20"/>
          <w:szCs w:val="20"/>
          <w:color w:val="auto"/>
        </w:rPr>
      </w:pPr>
    </w:p>
    <w:p>
      <w:pPr>
        <w:ind w:left="60" w:right="139"/>
        <w:spacing w:after="0" w:line="248" w:lineRule="auto"/>
        <w:rPr>
          <w:sz w:val="20"/>
          <w:szCs w:val="20"/>
          <w:color w:val="auto"/>
        </w:rPr>
      </w:pPr>
      <w:r>
        <w:rPr>
          <w:rFonts w:ascii="Arial" w:cs="Arial" w:eastAsia="Arial" w:hAnsi="Arial"/>
          <w:sz w:val="18"/>
          <w:szCs w:val="18"/>
          <w:color w:val="auto"/>
        </w:rPr>
        <w:t>First Busey has an asset-liability committee, whose policy is to meet at least quarterly, to review current market conditions and to structure the Consolidated Balance Sheets to optimize stability in net interest income in consideration of projected future changes in interest rates.</w:t>
      </w:r>
    </w:p>
    <w:p>
      <w:pPr>
        <w:spacing w:after="0" w:line="168" w:lineRule="exact"/>
        <w:rPr>
          <w:sz w:val="20"/>
          <w:szCs w:val="20"/>
          <w:color w:val="auto"/>
        </w:rPr>
      </w:pPr>
    </w:p>
    <w:p>
      <w:pPr>
        <w:ind w:left="60" w:right="79"/>
        <w:spacing w:after="0" w:line="252" w:lineRule="auto"/>
        <w:rPr>
          <w:sz w:val="20"/>
          <w:szCs w:val="20"/>
          <w:color w:val="auto"/>
        </w:rPr>
      </w:pPr>
      <w:r>
        <w:rPr>
          <w:rFonts w:ascii="Arial" w:cs="Arial" w:eastAsia="Arial" w:hAnsi="Arial"/>
          <w:sz w:val="17"/>
          <w:szCs w:val="17"/>
          <w:color w:val="auto"/>
        </w:rPr>
        <w:t>As interest rate changes do not impact all categories of assets and liabilities equally or simultaneously, the asset-liability committee primarily relies on balance sheet and income simulation analysis to determine the potential impact of changes in market interest rates on net interest income. In these standard simulation models, the balance sheet is projected over a one-year and a two-year time horizon and net interest income is calculated under current market rates and assuming permanent instantaneous shifts of +/-100, +200 and +300 basis points. Due to the current low interest rate environment, a downward adjustment in federal fund rates was not meaningful at March 31, 2021, or December 31, 2020. The model assumes immediate and sustained shifts in the federal funds rate and other market rate indices and corresponding shifts in other non-market rate indices based on their historical changes relative to changes in the federal funds rate and other market indices. Assets and liabilities are assumed to remain constant as of the measurement date; variable-rate assets and liabilities are repriced based on repricing frequency; and prepayment speeds on loans are projected for both declining and rising rate environments.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0" w:name="page61"/>
    <w:bookmarkEnd w:id="6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6" w:lineRule="exact"/>
        <w:rPr>
          <w:sz w:val="20"/>
          <w:szCs w:val="20"/>
          <w:color w:val="auto"/>
        </w:rPr>
      </w:pPr>
    </w:p>
    <w:p>
      <w:pPr>
        <w:ind w:left="60" w:right="199"/>
        <w:spacing w:after="0" w:line="296" w:lineRule="auto"/>
        <w:rPr>
          <w:sz w:val="20"/>
          <w:szCs w:val="20"/>
          <w:color w:val="auto"/>
        </w:rPr>
      </w:pPr>
      <w:r>
        <w:rPr>
          <w:rFonts w:ascii="Arial" w:cs="Arial" w:eastAsia="Arial" w:hAnsi="Arial"/>
          <w:sz w:val="15"/>
          <w:szCs w:val="15"/>
          <w:color w:val="auto"/>
        </w:rPr>
        <w:t>The interest rate risk of First Busey as a result of immediate and sustained changes in interest rates, expressed as a change in net interest income as a percentage of the net interest income calculated in the constant base model, was as follows:</w:t>
      </w:r>
    </w:p>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169"/>
        </w:trPr>
        <w:tc>
          <w:tcPr>
            <w:tcW w:w="5680" w:type="dxa"/>
            <w:vAlign w:val="bottom"/>
          </w:tcPr>
          <w:p>
            <w:pPr>
              <w:spacing w:after="0"/>
              <w:rPr>
                <w:sz w:val="14"/>
                <w:szCs w:val="14"/>
                <w:color w:val="auto"/>
              </w:rPr>
            </w:pPr>
          </w:p>
        </w:tc>
        <w:tc>
          <w:tcPr>
            <w:tcW w:w="3220" w:type="dxa"/>
            <w:vAlign w:val="bottom"/>
            <w:gridSpan w:val="6"/>
          </w:tcPr>
          <w:p>
            <w:pPr>
              <w:jc w:val="center"/>
              <w:ind w:right="190"/>
              <w:spacing w:after="0"/>
              <w:rPr>
                <w:sz w:val="20"/>
                <w:szCs w:val="20"/>
                <w:color w:val="auto"/>
              </w:rPr>
            </w:pPr>
            <w:r>
              <w:rPr>
                <w:rFonts w:ascii="Arial" w:cs="Arial" w:eastAsia="Arial" w:hAnsi="Arial"/>
                <w:sz w:val="14"/>
                <w:szCs w:val="14"/>
                <w:b w:val="1"/>
                <w:bCs w:val="1"/>
                <w:color w:val="auto"/>
                <w:w w:val="90"/>
              </w:rPr>
              <w:t>Year-One: Basis Point Changes</w:t>
            </w:r>
          </w:p>
        </w:tc>
      </w:tr>
      <w:tr>
        <w:trPr>
          <w:trHeight w:val="156"/>
        </w:trPr>
        <w:tc>
          <w:tcPr>
            <w:tcW w:w="5680" w:type="dxa"/>
            <w:vAlign w:val="bottom"/>
            <w:tcBorders>
              <w:bottom w:val="single" w:sz="8" w:color="CCEEFF"/>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179"/>
              <w:spacing w:after="0" w:line="155" w:lineRule="exact"/>
              <w:rPr>
                <w:sz w:val="20"/>
                <w:szCs w:val="20"/>
                <w:color w:val="auto"/>
              </w:rPr>
            </w:pPr>
            <w:r>
              <w:rPr>
                <w:rFonts w:ascii="Arial" w:cs="Arial" w:eastAsia="Arial" w:hAnsi="Arial"/>
                <w:sz w:val="14"/>
                <w:szCs w:val="14"/>
                <w:b w:val="1"/>
                <w:bCs w:val="1"/>
                <w:color w:val="auto"/>
              </w:rPr>
              <w:t>+100</w:t>
            </w:r>
          </w:p>
        </w:tc>
        <w:tc>
          <w:tcPr>
            <w:tcW w:w="240" w:type="dxa"/>
            <w:vAlign w:val="bottom"/>
            <w:tcBorders>
              <w:top w:val="single" w:sz="8" w:color="auto"/>
              <w:bottom w:val="single" w:sz="8" w:color="CCEEFF"/>
            </w:tcBorders>
          </w:tcPr>
          <w:p>
            <w:pPr>
              <w:spacing w:after="0"/>
              <w:rPr>
                <w:sz w:val="13"/>
                <w:szCs w:val="13"/>
                <w:color w:val="auto"/>
              </w:rPr>
            </w:pPr>
          </w:p>
        </w:tc>
        <w:tc>
          <w:tcPr>
            <w:tcW w:w="84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4"/>
              </w:rPr>
              <w:t>+200</w:t>
            </w:r>
          </w:p>
        </w:tc>
        <w:tc>
          <w:tcPr>
            <w:tcW w:w="240" w:type="dxa"/>
            <w:vAlign w:val="bottom"/>
            <w:tcBorders>
              <w:top w:val="single" w:sz="8" w:color="auto"/>
              <w:bottom w:val="single" w:sz="8" w:color="CCEEFF"/>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196"/>
              <w:spacing w:after="0" w:line="155" w:lineRule="exact"/>
              <w:rPr>
                <w:sz w:val="20"/>
                <w:szCs w:val="20"/>
                <w:color w:val="auto"/>
              </w:rPr>
            </w:pPr>
            <w:r>
              <w:rPr>
                <w:rFonts w:ascii="Arial" w:cs="Arial" w:eastAsia="Arial" w:hAnsi="Arial"/>
                <w:sz w:val="14"/>
                <w:szCs w:val="14"/>
                <w:b w:val="1"/>
                <w:bCs w:val="1"/>
                <w:color w:val="auto"/>
              </w:rPr>
              <w:t>+300</w:t>
            </w:r>
          </w:p>
        </w:tc>
        <w:tc>
          <w:tcPr>
            <w:tcW w:w="260" w:type="dxa"/>
            <w:vAlign w:val="bottom"/>
            <w:tcBorders>
              <w:bottom w:val="single" w:sz="8" w:color="CCEEFF"/>
            </w:tcBorders>
          </w:tcPr>
          <w:p>
            <w:pPr>
              <w:spacing w:after="0"/>
              <w:rPr>
                <w:sz w:val="13"/>
                <w:szCs w:val="13"/>
                <w:color w:val="auto"/>
              </w:rPr>
            </w:pPr>
          </w:p>
        </w:tc>
      </w:tr>
      <w:tr>
        <w:trPr>
          <w:trHeight w:val="196"/>
        </w:trPr>
        <w:tc>
          <w:tcPr>
            <w:tcW w:w="56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March 31, 2021</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6.06</w:t>
            </w:r>
          </w:p>
        </w:tc>
        <w:tc>
          <w:tcPr>
            <w:tcW w:w="24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4"/>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11.26</w:t>
            </w:r>
          </w:p>
        </w:tc>
        <w:tc>
          <w:tcPr>
            <w:tcW w:w="24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4"/>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15.92</w:t>
            </w:r>
          </w:p>
        </w:tc>
        <w:tc>
          <w:tcPr>
            <w:tcW w:w="26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4"/>
              </w:rPr>
              <w:t>%</w:t>
            </w:r>
          </w:p>
        </w:tc>
      </w:tr>
      <w:tr>
        <w:trPr>
          <w:trHeight w:val="230"/>
        </w:trPr>
        <w:tc>
          <w:tcPr>
            <w:tcW w:w="5680" w:type="dxa"/>
            <w:vAlign w:val="bottom"/>
          </w:tcPr>
          <w:p>
            <w:pPr>
              <w:spacing w:after="0"/>
              <w:rPr>
                <w:sz w:val="20"/>
                <w:szCs w:val="20"/>
                <w:color w:val="auto"/>
              </w:rPr>
            </w:pPr>
            <w:r>
              <w:rPr>
                <w:rFonts w:ascii="Arial" w:cs="Arial" w:eastAsia="Arial" w:hAnsi="Arial"/>
                <w:sz w:val="18"/>
                <w:szCs w:val="18"/>
                <w:color w:val="auto"/>
              </w:rPr>
              <w:t>December 31, 2020</w:t>
            </w:r>
          </w:p>
        </w:tc>
        <w:tc>
          <w:tcPr>
            <w:tcW w:w="1040" w:type="dxa"/>
            <w:vAlign w:val="bottom"/>
            <w:gridSpan w:val="2"/>
          </w:tcPr>
          <w:p>
            <w:pPr>
              <w:jc w:val="right"/>
              <w:ind w:right="10"/>
              <w:spacing w:after="0"/>
              <w:rPr>
                <w:sz w:val="20"/>
                <w:szCs w:val="20"/>
                <w:color w:val="auto"/>
              </w:rPr>
            </w:pPr>
            <w:r>
              <w:rPr>
                <w:rFonts w:ascii="Arial" w:cs="Arial" w:eastAsia="Arial" w:hAnsi="Arial"/>
                <w:sz w:val="18"/>
                <w:szCs w:val="18"/>
                <w:color w:val="auto"/>
              </w:rPr>
              <w:t>7.40 %</w:t>
            </w:r>
          </w:p>
        </w:tc>
        <w:tc>
          <w:tcPr>
            <w:tcW w:w="1080" w:type="dxa"/>
            <w:vAlign w:val="bottom"/>
            <w:gridSpan w:val="2"/>
          </w:tcPr>
          <w:p>
            <w:pPr>
              <w:jc w:val="right"/>
              <w:ind w:right="10"/>
              <w:spacing w:after="0"/>
              <w:rPr>
                <w:sz w:val="20"/>
                <w:szCs w:val="20"/>
                <w:color w:val="auto"/>
              </w:rPr>
            </w:pPr>
            <w:r>
              <w:rPr>
                <w:rFonts w:ascii="Arial" w:cs="Arial" w:eastAsia="Arial" w:hAnsi="Arial"/>
                <w:sz w:val="18"/>
                <w:szCs w:val="18"/>
                <w:color w:val="auto"/>
              </w:rPr>
              <w:t>14.16 %</w:t>
            </w:r>
          </w:p>
        </w:tc>
        <w:tc>
          <w:tcPr>
            <w:tcW w:w="1100" w:type="dxa"/>
            <w:vAlign w:val="bottom"/>
            <w:gridSpan w:val="2"/>
          </w:tcPr>
          <w:p>
            <w:pPr>
              <w:jc w:val="right"/>
              <w:ind w:right="30"/>
              <w:spacing w:after="0"/>
              <w:rPr>
                <w:sz w:val="20"/>
                <w:szCs w:val="20"/>
                <w:color w:val="auto"/>
              </w:rPr>
            </w:pPr>
            <w:r>
              <w:rPr>
                <w:rFonts w:ascii="Arial" w:cs="Arial" w:eastAsia="Arial" w:hAnsi="Arial"/>
                <w:sz w:val="18"/>
                <w:szCs w:val="18"/>
                <w:color w:val="auto"/>
              </w:rPr>
              <w:t>20.20 %</w:t>
            </w:r>
          </w:p>
        </w:tc>
      </w:tr>
      <w:tr>
        <w:trPr>
          <w:trHeight w:val="350"/>
        </w:trPr>
        <w:tc>
          <w:tcPr>
            <w:tcW w:w="5680" w:type="dxa"/>
            <w:vAlign w:val="bottom"/>
          </w:tcPr>
          <w:p>
            <w:pPr>
              <w:spacing w:after="0"/>
              <w:rPr>
                <w:sz w:val="24"/>
                <w:szCs w:val="24"/>
                <w:color w:val="auto"/>
              </w:rPr>
            </w:pPr>
          </w:p>
        </w:tc>
        <w:tc>
          <w:tcPr>
            <w:tcW w:w="3220" w:type="dxa"/>
            <w:vAlign w:val="bottom"/>
            <w:gridSpan w:val="6"/>
          </w:tcPr>
          <w:p>
            <w:pPr>
              <w:jc w:val="center"/>
              <w:ind w:right="190"/>
              <w:spacing w:after="0"/>
              <w:rPr>
                <w:sz w:val="20"/>
                <w:szCs w:val="20"/>
                <w:color w:val="auto"/>
              </w:rPr>
            </w:pPr>
            <w:r>
              <w:rPr>
                <w:rFonts w:ascii="Arial" w:cs="Arial" w:eastAsia="Arial" w:hAnsi="Arial"/>
                <w:sz w:val="14"/>
                <w:szCs w:val="14"/>
                <w:b w:val="1"/>
                <w:bCs w:val="1"/>
                <w:color w:val="auto"/>
                <w:w w:val="91"/>
              </w:rPr>
              <w:t>Year-Two: Basis Point Changes</w:t>
            </w:r>
          </w:p>
        </w:tc>
      </w:tr>
      <w:tr>
        <w:trPr>
          <w:trHeight w:val="156"/>
        </w:trPr>
        <w:tc>
          <w:tcPr>
            <w:tcW w:w="5680" w:type="dxa"/>
            <w:vAlign w:val="bottom"/>
            <w:tcBorders>
              <w:bottom w:val="single" w:sz="8" w:color="CCEEFF"/>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179"/>
              <w:spacing w:after="0" w:line="155" w:lineRule="exact"/>
              <w:rPr>
                <w:sz w:val="20"/>
                <w:szCs w:val="20"/>
                <w:color w:val="auto"/>
              </w:rPr>
            </w:pPr>
            <w:r>
              <w:rPr>
                <w:rFonts w:ascii="Arial" w:cs="Arial" w:eastAsia="Arial" w:hAnsi="Arial"/>
                <w:sz w:val="14"/>
                <w:szCs w:val="14"/>
                <w:b w:val="1"/>
                <w:bCs w:val="1"/>
                <w:color w:val="auto"/>
              </w:rPr>
              <w:t>+100</w:t>
            </w:r>
          </w:p>
        </w:tc>
        <w:tc>
          <w:tcPr>
            <w:tcW w:w="240" w:type="dxa"/>
            <w:vAlign w:val="bottom"/>
            <w:tcBorders>
              <w:top w:val="single" w:sz="8" w:color="auto"/>
              <w:bottom w:val="single" w:sz="8" w:color="CCEEFF"/>
            </w:tcBorders>
          </w:tcPr>
          <w:p>
            <w:pPr>
              <w:spacing w:after="0"/>
              <w:rPr>
                <w:sz w:val="13"/>
                <w:szCs w:val="13"/>
                <w:color w:val="auto"/>
              </w:rPr>
            </w:pPr>
          </w:p>
        </w:tc>
        <w:tc>
          <w:tcPr>
            <w:tcW w:w="84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4"/>
              </w:rPr>
              <w:t>+200</w:t>
            </w:r>
          </w:p>
        </w:tc>
        <w:tc>
          <w:tcPr>
            <w:tcW w:w="240" w:type="dxa"/>
            <w:vAlign w:val="bottom"/>
            <w:tcBorders>
              <w:top w:val="single" w:sz="8" w:color="auto"/>
              <w:bottom w:val="single" w:sz="8" w:color="CCEEFF"/>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196"/>
              <w:spacing w:after="0" w:line="155" w:lineRule="exact"/>
              <w:rPr>
                <w:sz w:val="20"/>
                <w:szCs w:val="20"/>
                <w:color w:val="auto"/>
              </w:rPr>
            </w:pPr>
            <w:r>
              <w:rPr>
                <w:rFonts w:ascii="Arial" w:cs="Arial" w:eastAsia="Arial" w:hAnsi="Arial"/>
                <w:sz w:val="14"/>
                <w:szCs w:val="14"/>
                <w:b w:val="1"/>
                <w:bCs w:val="1"/>
                <w:color w:val="auto"/>
              </w:rPr>
              <w:t>+300</w:t>
            </w:r>
          </w:p>
        </w:tc>
        <w:tc>
          <w:tcPr>
            <w:tcW w:w="260" w:type="dxa"/>
            <w:vAlign w:val="bottom"/>
            <w:tcBorders>
              <w:bottom w:val="single" w:sz="8" w:color="CCEEFF"/>
            </w:tcBorders>
          </w:tcPr>
          <w:p>
            <w:pPr>
              <w:spacing w:after="0"/>
              <w:rPr>
                <w:sz w:val="13"/>
                <w:szCs w:val="13"/>
                <w:color w:val="auto"/>
              </w:rPr>
            </w:pPr>
          </w:p>
        </w:tc>
      </w:tr>
      <w:tr>
        <w:trPr>
          <w:trHeight w:val="196"/>
        </w:trPr>
        <w:tc>
          <w:tcPr>
            <w:tcW w:w="56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March 31, 2021</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8.16</w:t>
            </w:r>
          </w:p>
        </w:tc>
        <w:tc>
          <w:tcPr>
            <w:tcW w:w="24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4"/>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14.99</w:t>
            </w:r>
          </w:p>
        </w:tc>
        <w:tc>
          <w:tcPr>
            <w:tcW w:w="24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4"/>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21.11</w:t>
            </w:r>
          </w:p>
        </w:tc>
        <w:tc>
          <w:tcPr>
            <w:tcW w:w="26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4"/>
              </w:rPr>
              <w:t>%</w:t>
            </w:r>
          </w:p>
        </w:tc>
      </w:tr>
      <w:tr>
        <w:trPr>
          <w:trHeight w:val="230"/>
        </w:trPr>
        <w:tc>
          <w:tcPr>
            <w:tcW w:w="5680" w:type="dxa"/>
            <w:vAlign w:val="bottom"/>
          </w:tcPr>
          <w:p>
            <w:pPr>
              <w:spacing w:after="0"/>
              <w:rPr>
                <w:sz w:val="20"/>
                <w:szCs w:val="20"/>
                <w:color w:val="auto"/>
              </w:rPr>
            </w:pPr>
            <w:r>
              <w:rPr>
                <w:rFonts w:ascii="Arial" w:cs="Arial" w:eastAsia="Arial" w:hAnsi="Arial"/>
                <w:sz w:val="18"/>
                <w:szCs w:val="18"/>
                <w:color w:val="auto"/>
              </w:rPr>
              <w:t>December 31, 2020</w:t>
            </w:r>
          </w:p>
        </w:tc>
        <w:tc>
          <w:tcPr>
            <w:tcW w:w="1040" w:type="dxa"/>
            <w:vAlign w:val="bottom"/>
            <w:gridSpan w:val="2"/>
          </w:tcPr>
          <w:p>
            <w:pPr>
              <w:jc w:val="right"/>
              <w:ind w:right="10"/>
              <w:spacing w:after="0"/>
              <w:rPr>
                <w:sz w:val="20"/>
                <w:szCs w:val="20"/>
                <w:color w:val="auto"/>
              </w:rPr>
            </w:pPr>
            <w:r>
              <w:rPr>
                <w:rFonts w:ascii="Arial" w:cs="Arial" w:eastAsia="Arial" w:hAnsi="Arial"/>
                <w:sz w:val="18"/>
                <w:szCs w:val="18"/>
                <w:color w:val="auto"/>
              </w:rPr>
              <w:t>9.59 %</w:t>
            </w:r>
          </w:p>
        </w:tc>
        <w:tc>
          <w:tcPr>
            <w:tcW w:w="1080" w:type="dxa"/>
            <w:vAlign w:val="bottom"/>
            <w:gridSpan w:val="2"/>
          </w:tcPr>
          <w:p>
            <w:pPr>
              <w:jc w:val="right"/>
              <w:ind w:right="10"/>
              <w:spacing w:after="0"/>
              <w:rPr>
                <w:sz w:val="20"/>
                <w:szCs w:val="20"/>
                <w:color w:val="auto"/>
              </w:rPr>
            </w:pPr>
            <w:r>
              <w:rPr>
                <w:rFonts w:ascii="Arial" w:cs="Arial" w:eastAsia="Arial" w:hAnsi="Arial"/>
                <w:sz w:val="18"/>
                <w:szCs w:val="18"/>
                <w:color w:val="auto"/>
              </w:rPr>
              <w:t>17.95 %</w:t>
            </w:r>
          </w:p>
        </w:tc>
        <w:tc>
          <w:tcPr>
            <w:tcW w:w="1100" w:type="dxa"/>
            <w:vAlign w:val="bottom"/>
            <w:gridSpan w:val="2"/>
          </w:tcPr>
          <w:p>
            <w:pPr>
              <w:jc w:val="right"/>
              <w:ind w:right="30"/>
              <w:spacing w:after="0"/>
              <w:rPr>
                <w:sz w:val="20"/>
                <w:szCs w:val="20"/>
                <w:color w:val="auto"/>
              </w:rPr>
            </w:pPr>
            <w:r>
              <w:rPr>
                <w:rFonts w:ascii="Arial" w:cs="Arial" w:eastAsia="Arial" w:hAnsi="Arial"/>
                <w:sz w:val="18"/>
                <w:szCs w:val="18"/>
                <w:color w:val="auto"/>
              </w:rPr>
              <w:t>25.40 %</w:t>
            </w:r>
          </w:p>
        </w:tc>
      </w:tr>
    </w:tbl>
    <w:p>
      <w:pPr>
        <w:spacing w:after="0" w:line="160" w:lineRule="exact"/>
        <w:rPr>
          <w:sz w:val="20"/>
          <w:szCs w:val="20"/>
          <w:color w:val="auto"/>
        </w:rPr>
      </w:pPr>
    </w:p>
    <w:p>
      <w:pPr>
        <w:ind w:left="60" w:right="239"/>
        <w:spacing w:after="0" w:line="262" w:lineRule="auto"/>
        <w:rPr>
          <w:sz w:val="20"/>
          <w:szCs w:val="20"/>
          <w:color w:val="auto"/>
        </w:rPr>
      </w:pPr>
      <w:r>
        <w:rPr>
          <w:rFonts w:ascii="Arial" w:cs="Arial" w:eastAsia="Arial" w:hAnsi="Arial"/>
          <w:sz w:val="17"/>
          <w:szCs w:val="17"/>
          <w:color w:val="auto"/>
        </w:rPr>
        <w:t>Interest rate risk is monitored and managed within approved policy limits. The calculation of potential effects of hypothetical interest rate changes is based on numerous assumptions and should not be relied upon as indicative of actual results. Actual results would likely differ from simulated results due to the timing, magnitude, and frequency of interest rate changes as well as changes in market conditions and management strategies.</w:t>
      </w:r>
    </w:p>
    <w:p>
      <w:pPr>
        <w:spacing w:after="0" w:line="155"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ITEM 4. CONTROLS AND PROCEDURES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02" w:lineRule="exact"/>
        <w:rPr>
          <w:sz w:val="20"/>
          <w:szCs w:val="20"/>
          <w:color w:val="auto"/>
        </w:rPr>
      </w:pPr>
    </w:p>
    <w:p>
      <w:pPr>
        <w:ind w:left="60" w:right="99"/>
        <w:spacing w:after="0" w:line="268" w:lineRule="auto"/>
        <w:rPr>
          <w:sz w:val="20"/>
          <w:szCs w:val="20"/>
          <w:color w:val="auto"/>
        </w:rPr>
      </w:pPr>
      <w:r>
        <w:rPr>
          <w:rFonts w:ascii="Arial" w:cs="Arial" w:eastAsia="Arial" w:hAnsi="Arial"/>
          <w:sz w:val="16"/>
          <w:szCs w:val="16"/>
          <w:color w:val="auto"/>
        </w:rPr>
        <w:t>An evaluation of our disclosure controls and procedures, as defined in Rule 13a-15(e) under the Exchange Act, was carried out as of March 31, 2021, under the supervision and with the participation of our Chief Executive Officer, Chief Financial Officer, and several other members of our senior management. Based on this evaluation, our Chief Executive Officer and Chief Financial Officer concluded that, as of March 31, 2021, our disclosure controls and procedures were effective in ensuring that the information we are required to disclose in the reports we file or submit under the Exchange Act was</w:t>
      </w:r>
    </w:p>
    <w:p>
      <w:pPr>
        <w:spacing w:after="0" w:line="1" w:lineRule="exact"/>
        <w:rPr>
          <w:sz w:val="20"/>
          <w:szCs w:val="20"/>
          <w:color w:val="auto"/>
        </w:rPr>
      </w:pPr>
    </w:p>
    <w:p>
      <w:pPr>
        <w:ind w:left="60" w:right="99" w:hanging="10"/>
        <w:spacing w:after="0" w:line="239" w:lineRule="auto"/>
        <w:tabs>
          <w:tab w:leader="none" w:pos="275"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accumulated and communicated to our management (including the Chief Executive Officer and Chief Financial Officer) to allow timely decisions regarding required disclosure, and (ii) recorded, processed, summarized, and reported within the time periods specified in the SEC’s rules and forms.</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02" w:lineRule="exact"/>
        <w:rPr>
          <w:sz w:val="20"/>
          <w:szCs w:val="20"/>
          <w:color w:val="auto"/>
        </w:rPr>
      </w:pPr>
    </w:p>
    <w:p>
      <w:pPr>
        <w:ind w:left="60" w:right="519"/>
        <w:spacing w:after="0" w:line="324" w:lineRule="auto"/>
        <w:rPr>
          <w:sz w:val="20"/>
          <w:szCs w:val="20"/>
          <w:color w:val="auto"/>
        </w:rPr>
      </w:pPr>
      <w:r>
        <w:rPr>
          <w:rFonts w:ascii="Arial" w:cs="Arial" w:eastAsia="Arial" w:hAnsi="Arial"/>
          <w:sz w:val="16"/>
          <w:szCs w:val="16"/>
          <w:color w:val="auto"/>
        </w:rPr>
        <w:t>During the quarter ended March 31, 2021, no change occurred in our internal control over financial reporting that has materially affected, or is reasonably likely to materially affect, our internal control over financial reporting.</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LEGAL PROCEEDINGS</w:t>
      </w:r>
    </w:p>
    <w:p>
      <w:pPr>
        <w:spacing w:after="0" w:line="202" w:lineRule="exact"/>
        <w:rPr>
          <w:sz w:val="20"/>
          <w:szCs w:val="20"/>
          <w:color w:val="auto"/>
        </w:rPr>
      </w:pPr>
    </w:p>
    <w:p>
      <w:pPr>
        <w:ind w:left="60" w:right="179"/>
        <w:spacing w:after="0" w:line="261" w:lineRule="auto"/>
        <w:rPr>
          <w:sz w:val="20"/>
          <w:szCs w:val="20"/>
          <w:color w:val="auto"/>
        </w:rPr>
      </w:pPr>
      <w:r>
        <w:rPr>
          <w:rFonts w:ascii="Arial" w:cs="Arial" w:eastAsia="Arial" w:hAnsi="Arial"/>
          <w:sz w:val="18"/>
          <w:szCs w:val="18"/>
          <w:color w:val="auto"/>
        </w:rPr>
        <w:t>As part of the ordinary course of business, First Busey and its subsidiaries are parties to litigation that is incidental to their regular business activities.</w:t>
      </w:r>
    </w:p>
    <w:p>
      <w:pPr>
        <w:spacing w:after="0" w:line="157" w:lineRule="exact"/>
        <w:rPr>
          <w:sz w:val="20"/>
          <w:szCs w:val="20"/>
          <w:color w:val="auto"/>
        </w:rPr>
      </w:pPr>
    </w:p>
    <w:p>
      <w:pPr>
        <w:ind w:left="60" w:right="79"/>
        <w:spacing w:after="0" w:line="243" w:lineRule="auto"/>
        <w:rPr>
          <w:sz w:val="20"/>
          <w:szCs w:val="20"/>
          <w:color w:val="auto"/>
        </w:rPr>
      </w:pPr>
      <w:r>
        <w:rPr>
          <w:rFonts w:ascii="Arial" w:cs="Arial" w:eastAsia="Arial" w:hAnsi="Arial"/>
          <w:sz w:val="18"/>
          <w:szCs w:val="18"/>
          <w:color w:val="auto"/>
        </w:rPr>
        <w:t>There is no material pending litigation, other than ordinary routine litigation incidental to its business, in which First Busey or any of its subsidiaries is involved or of which any of their property is the subject. Furthermore, there is no pending legal proceeding that is adverse to First Busey in which any director, officer, or affiliate of First Busey, or any associate of any such director or officer, is a party, or has a material interest.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1A. RISK FACTORS</w:t>
      </w:r>
    </w:p>
    <w:p>
      <w:pPr>
        <w:spacing w:after="0" w:line="202" w:lineRule="exact"/>
        <w:rPr>
          <w:sz w:val="20"/>
          <w:szCs w:val="20"/>
          <w:color w:val="auto"/>
        </w:rPr>
      </w:pPr>
    </w:p>
    <w:p>
      <w:pPr>
        <w:ind w:left="60" w:right="499"/>
        <w:spacing w:after="0" w:line="261" w:lineRule="auto"/>
        <w:rPr>
          <w:sz w:val="20"/>
          <w:szCs w:val="20"/>
          <w:color w:val="auto"/>
        </w:rPr>
      </w:pPr>
      <w:r>
        <w:rPr>
          <w:rFonts w:ascii="Arial" w:cs="Arial" w:eastAsia="Arial" w:hAnsi="Arial"/>
          <w:sz w:val="18"/>
          <w:szCs w:val="18"/>
          <w:color w:val="auto"/>
        </w:rPr>
        <w:t>There have been no material changes to the risk factors disclosed in Item 1A of Part 1 of the Company’s 2020 Annual Report.</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1" w:name="page62"/>
    <w:bookmarkEnd w:id="6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02"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On February 3, 2015, First Busey’s board of directors authorized the Company to repurchase up to an aggregate of 666,667 shares of its common stock. The repurchase plan has no expiration date. On May 22, 2019, First Busey’s board of directors approved an amendment to increase the authorized shares under the repurchase program by 1,000,000 shares, and on February 5, 2020, First Busey’s board of directors approved another amendment to increase the authorized shares under the repurchase program by an additional 2,000,000 shares. On March 11, 2021, the Company decided to resume open-market share repurchases under its share repurchase program. During the first quarter of 2021, the company purchased 59,000 shares under the plan. At March 31, 2021, the Company had 1,799,824 shares that may still be purchased under the plan.</w:t>
      </w:r>
    </w:p>
    <w:p>
      <w:pPr>
        <w:spacing w:after="0" w:line="186"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2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Number of Shares</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6"/>
              </w:rPr>
              <w:t>Maximum Number of</w:t>
            </w:r>
          </w:p>
        </w:tc>
      </w:tr>
      <w:tr>
        <w:trPr>
          <w:trHeight w:val="162"/>
        </w:trPr>
        <w:tc>
          <w:tcPr>
            <w:tcW w:w="2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Purchased as Part of</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4"/>
              </w:rPr>
              <w:t>Shares That May Yet</w:t>
            </w:r>
          </w:p>
        </w:tc>
      </w:tr>
      <w:tr>
        <w:trPr>
          <w:trHeight w:val="162"/>
        </w:trPr>
        <w:tc>
          <w:tcPr>
            <w:tcW w:w="2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Total Number of</w:t>
            </w:r>
          </w:p>
        </w:tc>
        <w:tc>
          <w:tcPr>
            <w:tcW w:w="16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3"/>
              </w:rPr>
              <w:t>Average Price Paid per</w:t>
            </w:r>
          </w:p>
        </w:tc>
        <w:tc>
          <w:tcPr>
            <w:tcW w:w="15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Publicly Announced</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1"/>
              </w:rPr>
              <w:t>Be Purchased Under</w:t>
            </w:r>
          </w:p>
        </w:tc>
      </w:tr>
      <w:tr>
        <w:trPr>
          <w:trHeight w:val="185"/>
        </w:trPr>
        <w:tc>
          <w:tcPr>
            <w:tcW w:w="2760" w:type="dxa"/>
            <w:vAlign w:val="bottom"/>
            <w:gridSpan w:val="2"/>
          </w:tcPr>
          <w:p>
            <w:pPr>
              <w:ind w:left="1120"/>
              <w:spacing w:after="0"/>
              <w:rPr>
                <w:sz w:val="20"/>
                <w:szCs w:val="20"/>
                <w:color w:val="auto"/>
              </w:rPr>
            </w:pPr>
            <w:r>
              <w:rPr>
                <w:rFonts w:ascii="Arial" w:cs="Arial" w:eastAsia="Arial" w:hAnsi="Arial"/>
                <w:sz w:val="14"/>
                <w:szCs w:val="14"/>
                <w:b w:val="1"/>
                <w:bCs w:val="1"/>
                <w:color w:val="auto"/>
              </w:rPr>
              <w:t>Period</w:t>
            </w:r>
          </w:p>
        </w:tc>
        <w:tc>
          <w:tcPr>
            <w:tcW w:w="15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Shares Purchased</w:t>
            </w:r>
          </w:p>
        </w:tc>
        <w:tc>
          <w:tcPr>
            <w:tcW w:w="160" w:type="dxa"/>
            <w:vAlign w:val="bottom"/>
          </w:tcPr>
          <w:p>
            <w:pPr>
              <w:spacing w:after="0"/>
              <w:rPr>
                <w:sz w:val="16"/>
                <w:szCs w:val="16"/>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Common Share</w:t>
            </w:r>
          </w:p>
        </w:tc>
        <w:tc>
          <w:tcPr>
            <w:tcW w:w="15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Plans or Programs</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2"/>
              </w:rPr>
              <w:t>the Plans or Programs</w:t>
            </w:r>
          </w:p>
        </w:tc>
      </w:tr>
      <w:tr>
        <w:trPr>
          <w:trHeight w:val="196"/>
        </w:trPr>
        <w:tc>
          <w:tcPr>
            <w:tcW w:w="262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January 1-31, 2021</w:t>
            </w:r>
          </w:p>
        </w:tc>
        <w:tc>
          <w:tcPr>
            <w:tcW w:w="14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1,858,824</w:t>
            </w:r>
          </w:p>
        </w:tc>
      </w:tr>
      <w:tr>
        <w:trPr>
          <w:trHeight w:val="203"/>
        </w:trPr>
        <w:tc>
          <w:tcPr>
            <w:tcW w:w="276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February 1-28, 2021</w:t>
            </w:r>
          </w:p>
        </w:tc>
        <w:tc>
          <w:tcPr>
            <w:tcW w:w="15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1,858,824</w:t>
            </w:r>
          </w:p>
        </w:tc>
      </w:tr>
      <w:tr>
        <w:trPr>
          <w:trHeight w:val="203"/>
        </w:trPr>
        <w:tc>
          <w:tcPr>
            <w:tcW w:w="276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March 1-31, 2021</w:t>
            </w:r>
          </w:p>
        </w:tc>
        <w:tc>
          <w:tcPr>
            <w:tcW w:w="1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59,000</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25.58</w:t>
            </w: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59,000</w:t>
            </w: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1,799,824</w:t>
            </w:r>
          </w:p>
        </w:tc>
      </w:tr>
    </w:tbl>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4. MINE SAFETY DISCLOSURES</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5. OTHER INFORMATION</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2" w:name="page63"/>
    <w:bookmarkEnd w:id="6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80" w:type="dxa"/>
            <w:vAlign w:val="bottom"/>
            <w:gridSpan w:val="10"/>
          </w:tcPr>
          <w:p>
            <w:pPr>
              <w:ind w:left="2840"/>
              <w:spacing w:after="0"/>
              <w:rPr>
                <w:sz w:val="20"/>
                <w:szCs w:val="20"/>
                <w:color w:val="auto"/>
              </w:rPr>
            </w:pPr>
            <w:r>
              <w:rPr>
                <w:rFonts w:ascii="Arial" w:cs="Arial" w:eastAsia="Arial" w:hAnsi="Arial"/>
                <w:sz w:val="18"/>
                <w:szCs w:val="18"/>
                <w:b w:val="1"/>
                <w:bCs w:val="1"/>
                <w:color w:val="auto"/>
              </w:rPr>
              <w:t>ITEM 6. EXHIBITS</w:t>
            </w:r>
          </w:p>
        </w:tc>
      </w:tr>
      <w:tr>
        <w:trPr>
          <w:trHeight w:val="342"/>
        </w:trPr>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3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5"/>
        </w:trPr>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Number</w:t>
            </w:r>
          </w:p>
        </w:tc>
        <w:tc>
          <w:tcPr>
            <w:tcW w:w="8080" w:type="dxa"/>
            <w:vAlign w:val="bottom"/>
            <w:gridSpan w:val="10"/>
          </w:tcPr>
          <w:p>
            <w:pPr>
              <w:ind w:left="3360"/>
              <w:spacing w:after="0"/>
              <w:rPr>
                <w:sz w:val="20"/>
                <w:szCs w:val="20"/>
                <w:color w:val="auto"/>
              </w:rPr>
            </w:pPr>
            <w:r>
              <w:rPr>
                <w:rFonts w:ascii="Arial" w:cs="Arial" w:eastAsia="Arial" w:hAnsi="Arial"/>
                <w:sz w:val="14"/>
                <w:szCs w:val="14"/>
                <w:b w:val="1"/>
                <w:bCs w:val="1"/>
                <w:color w:val="auto"/>
              </w:rPr>
              <w:t>Description of Exhibit</w:t>
            </w:r>
          </w:p>
        </w:tc>
      </w:tr>
      <w:tr>
        <w:trPr>
          <w:trHeight w:val="169"/>
        </w:trPr>
        <w:tc>
          <w:tcPr>
            <w:tcW w:w="720" w:type="dxa"/>
            <w:vAlign w:val="bottom"/>
            <w:tcBorders>
              <w:top w:val="single" w:sz="8" w:color="auto"/>
            </w:tcBorders>
          </w:tcPr>
          <w:p>
            <w:pPr>
              <w:ind w:left="20"/>
              <w:spacing w:after="0" w:line="169" w:lineRule="exact"/>
              <w:rPr>
                <w:sz w:val="20"/>
                <w:szCs w:val="20"/>
                <w:color w:val="auto"/>
              </w:rPr>
            </w:pPr>
            <w:r>
              <w:rPr>
                <w:rFonts w:ascii="Arial" w:cs="Arial" w:eastAsia="Arial" w:hAnsi="Arial"/>
                <w:sz w:val="18"/>
                <w:szCs w:val="18"/>
                <w:color w:val="auto"/>
              </w:rPr>
              <w:t>2.1**</w:t>
            </w:r>
          </w:p>
        </w:tc>
        <w:tc>
          <w:tcPr>
            <w:tcW w:w="100" w:type="dxa"/>
            <w:vAlign w:val="bottom"/>
          </w:tcPr>
          <w:p>
            <w:pPr>
              <w:spacing w:after="0"/>
              <w:rPr>
                <w:sz w:val="14"/>
                <w:szCs w:val="14"/>
                <w:color w:val="auto"/>
              </w:rPr>
            </w:pPr>
          </w:p>
        </w:tc>
        <w:tc>
          <w:tcPr>
            <w:tcW w:w="8080" w:type="dxa"/>
            <w:vAlign w:val="bottom"/>
            <w:tcBorders>
              <w:top w:val="single" w:sz="8" w:color="auto"/>
            </w:tcBorders>
            <w:gridSpan w:val="10"/>
          </w:tcPr>
          <w:p>
            <w:pPr>
              <w:spacing w:after="0" w:line="169" w:lineRule="exact"/>
              <w:rPr>
                <w:rFonts w:ascii="Arial" w:cs="Arial" w:eastAsia="Arial" w:hAnsi="Arial"/>
                <w:sz w:val="18"/>
                <w:szCs w:val="18"/>
                <w:color w:val="0000EE"/>
                <w:w w:val="97"/>
              </w:rPr>
            </w:pPr>
            <w:hyperlink r:id="rId55">
              <w:r>
                <w:rPr>
                  <w:rFonts w:ascii="Arial" w:cs="Arial" w:eastAsia="Arial" w:hAnsi="Arial"/>
                  <w:sz w:val="18"/>
                  <w:szCs w:val="18"/>
                  <w:color w:val="0000EE"/>
                  <w:w w:val="97"/>
                </w:rPr>
                <w:t>Agreement and Plan of Merger by and among First Busey Corporation, Energizer Acquisition Corp., and</w:t>
              </w:r>
            </w:hyperlink>
          </w:p>
        </w:tc>
      </w:tr>
      <w:tr>
        <w:trPr>
          <w:trHeight w:val="183"/>
        </w:trPr>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560" w:type="dxa"/>
            <w:vAlign w:val="bottom"/>
            <w:tcBorders>
              <w:top w:val="single" w:sz="8" w:color="0000EE"/>
            </w:tcBorders>
            <w:gridSpan w:val="7"/>
          </w:tcPr>
          <w:p>
            <w:pPr>
              <w:spacing w:after="0" w:line="182" w:lineRule="exact"/>
              <w:rPr>
                <w:rFonts w:ascii="Arial" w:cs="Arial" w:eastAsia="Arial" w:hAnsi="Arial"/>
                <w:sz w:val="18"/>
                <w:szCs w:val="18"/>
                <w:color w:val="0000EE"/>
                <w:w w:val="91"/>
              </w:rPr>
            </w:pPr>
            <w:hyperlink r:id="rId55">
              <w:r>
                <w:rPr>
                  <w:rFonts w:ascii="Arial" w:cs="Arial" w:eastAsia="Arial" w:hAnsi="Arial"/>
                  <w:sz w:val="18"/>
                  <w:szCs w:val="18"/>
                  <w:color w:val="0000EE"/>
                  <w:w w:val="91"/>
                </w:rPr>
                <w:t>Cummins-American Corp., dated January 19, 2021 (filed as Exhibit 2.1 to the Company’s Form 8-K filed</w:t>
              </w:r>
            </w:hyperlink>
          </w:p>
        </w:tc>
        <w:tc>
          <w:tcPr>
            <w:tcW w:w="520" w:type="dxa"/>
            <w:vAlign w:val="bottom"/>
            <w:gridSpan w:val="3"/>
          </w:tcPr>
          <w:p>
            <w:pPr>
              <w:ind w:left="80"/>
              <w:spacing w:after="0" w:line="182" w:lineRule="exact"/>
              <w:rPr>
                <w:rFonts w:ascii="Arial" w:cs="Arial" w:eastAsia="Arial" w:hAnsi="Arial"/>
                <w:sz w:val="18"/>
                <w:szCs w:val="18"/>
                <w:color w:val="0000EE"/>
              </w:rPr>
            </w:pPr>
            <w:hyperlink r:id="rId55">
              <w:r>
                <w:rPr>
                  <w:rFonts w:ascii="Arial" w:cs="Arial" w:eastAsia="Arial" w:hAnsi="Arial"/>
                  <w:sz w:val="18"/>
                  <w:szCs w:val="18"/>
                  <w:color w:val="0000EE"/>
                </w:rPr>
                <w:t>with</w:t>
              </w:r>
            </w:hyperlink>
          </w:p>
        </w:tc>
      </w:tr>
      <w:tr>
        <w:trPr>
          <w:trHeight w:val="183"/>
        </w:trPr>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960" w:type="dxa"/>
            <w:vAlign w:val="bottom"/>
            <w:tcBorders>
              <w:top w:val="single" w:sz="8" w:color="0000EE"/>
            </w:tcBorders>
            <w:gridSpan w:val="8"/>
          </w:tcPr>
          <w:p>
            <w:pPr>
              <w:spacing w:after="0" w:line="182" w:lineRule="exact"/>
              <w:rPr>
                <w:rFonts w:ascii="Arial" w:cs="Arial" w:eastAsia="Arial" w:hAnsi="Arial"/>
                <w:sz w:val="18"/>
                <w:szCs w:val="18"/>
                <w:color w:val="0000EE"/>
                <w:w w:val="95"/>
              </w:rPr>
            </w:pPr>
            <w:hyperlink r:id="rId55">
              <w:r>
                <w:rPr>
                  <w:rFonts w:ascii="Arial" w:cs="Arial" w:eastAsia="Arial" w:hAnsi="Arial"/>
                  <w:sz w:val="18"/>
                  <w:szCs w:val="18"/>
                  <w:color w:val="0000EE"/>
                  <w:w w:val="95"/>
                </w:rPr>
                <w:t>the Commission on January 19, 2021 (Commission No. 0-15950), and incorporated herein by reference)</w:t>
              </w:r>
            </w:hyperlink>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85"/>
        </w:trPr>
        <w:tc>
          <w:tcPr>
            <w:tcW w:w="820" w:type="dxa"/>
            <w:vAlign w:val="bottom"/>
            <w:gridSpan w:val="2"/>
          </w:tcPr>
          <w:p>
            <w:pPr>
              <w:ind w:left="20"/>
              <w:spacing w:after="0"/>
              <w:rPr>
                <w:sz w:val="20"/>
                <w:szCs w:val="20"/>
                <w:color w:val="auto"/>
              </w:rPr>
            </w:pPr>
            <w:r>
              <w:rPr>
                <w:rFonts w:ascii="Arial" w:cs="Arial" w:eastAsia="Arial" w:hAnsi="Arial"/>
                <w:sz w:val="18"/>
                <w:szCs w:val="18"/>
                <w:color w:val="auto"/>
              </w:rPr>
              <w:t>10.33†*</w:t>
            </w:r>
          </w:p>
        </w:tc>
        <w:tc>
          <w:tcPr>
            <w:tcW w:w="7500" w:type="dxa"/>
            <w:vAlign w:val="bottom"/>
            <w:tcBorders>
              <w:top w:val="single" w:sz="8" w:color="0000EE"/>
            </w:tcBorders>
            <w:gridSpan w:val="6"/>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Gregory B. Lykins Letter of Understanding, dated April 1, 2021</w:t>
              </w:r>
            </w:hyperlink>
          </w:p>
        </w:tc>
        <w:tc>
          <w:tcPr>
            <w:tcW w:w="580" w:type="dxa"/>
            <w:vAlign w:val="bottom"/>
            <w:gridSpan w:val="4"/>
          </w:tcPr>
          <w:p>
            <w:pPr>
              <w:spacing w:after="0"/>
              <w:rPr>
                <w:sz w:val="24"/>
                <w:szCs w:val="24"/>
                <w:color w:val="auto"/>
              </w:rPr>
            </w:pPr>
          </w:p>
        </w:tc>
      </w:tr>
      <w:tr>
        <w:trPr>
          <w:trHeight w:val="20"/>
        </w:trPr>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7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720" w:type="dxa"/>
            <w:vAlign w:val="bottom"/>
          </w:tcPr>
          <w:p>
            <w:pPr>
              <w:ind w:left="20"/>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4"/>
                <w:szCs w:val="24"/>
                <w:color w:val="auto"/>
              </w:rPr>
            </w:pPr>
          </w:p>
        </w:tc>
        <w:tc>
          <w:tcPr>
            <w:tcW w:w="8080" w:type="dxa"/>
            <w:vAlign w:val="bottom"/>
            <w:gridSpan w:val="10"/>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Certification of Principal Executive Officer, pursuant to Rule 13a-14(a) and Rule 15d-14(a)</w:t>
              </w:r>
            </w:hyperlink>
          </w:p>
        </w:tc>
      </w:tr>
      <w:tr>
        <w:trPr>
          <w:trHeight w:val="385"/>
        </w:trPr>
        <w:tc>
          <w:tcPr>
            <w:tcW w:w="720" w:type="dxa"/>
            <w:vAlign w:val="bottom"/>
          </w:tcPr>
          <w:p>
            <w:pPr>
              <w:ind w:left="2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4"/>
                <w:szCs w:val="24"/>
                <w:color w:val="auto"/>
              </w:rPr>
            </w:pPr>
          </w:p>
        </w:tc>
        <w:tc>
          <w:tcPr>
            <w:tcW w:w="654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1"/>
              </w:rPr>
            </w:pPr>
            <w:hyperlink w:anchor="page68">
              <w:r>
                <w:rPr>
                  <w:rFonts w:ascii="Arial" w:cs="Arial" w:eastAsia="Arial" w:hAnsi="Arial"/>
                  <w:sz w:val="18"/>
                  <w:szCs w:val="18"/>
                  <w:color w:val="0000EE"/>
                  <w:w w:val="91"/>
                </w:rPr>
                <w:t>Certification of Principal Financial Officer, pursuant to Rule 13a-14(a) and Rule 15d-14(a)</w:t>
              </w:r>
            </w:hyperlink>
          </w:p>
        </w:tc>
        <w:tc>
          <w:tcPr>
            <w:tcW w:w="40" w:type="dxa"/>
            <w:vAlign w:val="bottom"/>
            <w:tcBorders>
              <w:top w:val="single" w:sz="8" w:color="0000EE"/>
            </w:tcBorders>
          </w:tcPr>
          <w:p>
            <w:pPr>
              <w:spacing w:after="0"/>
              <w:rPr>
                <w:sz w:val="24"/>
                <w:szCs w:val="24"/>
                <w:color w:val="auto"/>
              </w:rPr>
            </w:pPr>
          </w:p>
        </w:tc>
        <w:tc>
          <w:tcPr>
            <w:tcW w:w="1500" w:type="dxa"/>
            <w:vAlign w:val="bottom"/>
            <w:gridSpan w:val="5"/>
          </w:tcPr>
          <w:p>
            <w:pPr>
              <w:spacing w:after="0"/>
              <w:rPr>
                <w:sz w:val="24"/>
                <w:szCs w:val="24"/>
                <w:color w:val="auto"/>
              </w:rPr>
            </w:pPr>
          </w:p>
        </w:tc>
      </w:tr>
      <w:tr>
        <w:trPr>
          <w:trHeight w:val="385"/>
        </w:trPr>
        <w:tc>
          <w:tcPr>
            <w:tcW w:w="720" w:type="dxa"/>
            <w:vAlign w:val="bottom"/>
          </w:tcPr>
          <w:p>
            <w:pPr>
              <w:ind w:left="20"/>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4"/>
                <w:szCs w:val="24"/>
                <w:color w:val="auto"/>
              </w:rPr>
            </w:pPr>
          </w:p>
        </w:tc>
        <w:tc>
          <w:tcPr>
            <w:tcW w:w="8080" w:type="dxa"/>
            <w:vAlign w:val="bottom"/>
            <w:gridSpan w:val="10"/>
          </w:tcPr>
          <w:p>
            <w:pPr>
              <w:spacing w:after="0"/>
              <w:rPr>
                <w:rFonts w:ascii="Arial" w:cs="Arial" w:eastAsia="Arial" w:hAnsi="Arial"/>
                <w:sz w:val="18"/>
                <w:szCs w:val="18"/>
                <w:color w:val="0000EE"/>
                <w:w w:val="90"/>
              </w:rPr>
            </w:pPr>
            <w:hyperlink w:anchor="page69">
              <w:r>
                <w:rPr>
                  <w:rFonts w:ascii="Arial" w:cs="Arial" w:eastAsia="Arial" w:hAnsi="Arial"/>
                  <w:sz w:val="18"/>
                  <w:szCs w:val="18"/>
                  <w:color w:val="0000EE"/>
                  <w:w w:val="90"/>
                </w:rPr>
                <w:t>Certification pursuant to 18 U.S.C. Section 1350, as adopted pursuant to Section 906 of the Sarbanes-Oxley Act</w:t>
              </w:r>
            </w:hyperlink>
          </w:p>
        </w:tc>
      </w:tr>
      <w:tr>
        <w:trPr>
          <w:trHeight w:val="183"/>
        </w:trPr>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76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92"/>
              </w:rPr>
            </w:pPr>
            <w:hyperlink w:anchor="page69">
              <w:r>
                <w:rPr>
                  <w:rFonts w:ascii="Arial" w:cs="Arial" w:eastAsia="Arial" w:hAnsi="Arial"/>
                  <w:sz w:val="18"/>
                  <w:szCs w:val="18"/>
                  <w:color w:val="0000EE"/>
                  <w:w w:val="92"/>
                </w:rPr>
                <w:t>of 2002, from First Busey’s Chief Executive Officer</w:t>
              </w:r>
            </w:hyperlink>
          </w:p>
        </w:tc>
        <w:tc>
          <w:tcPr>
            <w:tcW w:w="4300" w:type="dxa"/>
            <w:vAlign w:val="bottom"/>
            <w:tcBorders>
              <w:top w:val="single" w:sz="8" w:color="0000EE"/>
            </w:tcBorders>
            <w:gridSpan w:val="7"/>
          </w:tcPr>
          <w:p>
            <w:pPr>
              <w:spacing w:after="0"/>
              <w:rPr>
                <w:sz w:val="15"/>
                <w:szCs w:val="15"/>
                <w:color w:val="auto"/>
              </w:rPr>
            </w:pPr>
          </w:p>
        </w:tc>
        <w:tc>
          <w:tcPr>
            <w:tcW w:w="20" w:type="dxa"/>
            <w:vAlign w:val="bottom"/>
          </w:tcPr>
          <w:p>
            <w:pPr>
              <w:spacing w:after="0"/>
              <w:rPr>
                <w:sz w:val="15"/>
                <w:szCs w:val="15"/>
                <w:color w:val="auto"/>
              </w:rPr>
            </w:pPr>
          </w:p>
        </w:tc>
      </w:tr>
      <w:tr>
        <w:trPr>
          <w:trHeight w:val="385"/>
        </w:trPr>
        <w:tc>
          <w:tcPr>
            <w:tcW w:w="720" w:type="dxa"/>
            <w:vAlign w:val="bottom"/>
          </w:tcPr>
          <w:p>
            <w:pPr>
              <w:ind w:left="20"/>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4"/>
                <w:szCs w:val="24"/>
                <w:color w:val="auto"/>
              </w:rPr>
            </w:pPr>
          </w:p>
        </w:tc>
        <w:tc>
          <w:tcPr>
            <w:tcW w:w="8080" w:type="dxa"/>
            <w:vAlign w:val="bottom"/>
            <w:gridSpan w:val="10"/>
          </w:tcPr>
          <w:p>
            <w:pPr>
              <w:spacing w:after="0"/>
              <w:rPr>
                <w:rFonts w:ascii="Arial" w:cs="Arial" w:eastAsia="Arial" w:hAnsi="Arial"/>
                <w:sz w:val="18"/>
                <w:szCs w:val="18"/>
                <w:color w:val="0000EE"/>
                <w:w w:val="90"/>
              </w:rPr>
            </w:pPr>
            <w:hyperlink w:anchor="page70">
              <w:r>
                <w:rPr>
                  <w:rFonts w:ascii="Arial" w:cs="Arial" w:eastAsia="Arial" w:hAnsi="Arial"/>
                  <w:sz w:val="18"/>
                  <w:szCs w:val="18"/>
                  <w:color w:val="0000EE"/>
                  <w:w w:val="90"/>
                </w:rPr>
                <w:t>Certification pursuant to 18 U.S.C. Section 1350, as adopted pursuant to Section 906 of the Sarbanes-Oxley Act</w:t>
              </w:r>
            </w:hyperlink>
          </w:p>
        </w:tc>
      </w:tr>
      <w:tr>
        <w:trPr>
          <w:trHeight w:val="183"/>
        </w:trPr>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60" w:type="dxa"/>
            <w:vAlign w:val="bottom"/>
            <w:tcBorders>
              <w:top w:val="single" w:sz="8" w:color="0000EE"/>
            </w:tcBorders>
            <w:gridSpan w:val="9"/>
          </w:tcPr>
          <w:p>
            <w:pPr>
              <w:spacing w:after="0" w:line="182" w:lineRule="exact"/>
              <w:rPr>
                <w:rFonts w:ascii="Arial" w:cs="Arial" w:eastAsia="Arial" w:hAnsi="Arial"/>
                <w:sz w:val="18"/>
                <w:szCs w:val="18"/>
                <w:color w:val="0000EE"/>
              </w:rPr>
            </w:pPr>
            <w:hyperlink w:anchor="page70">
              <w:r>
                <w:rPr>
                  <w:rFonts w:ascii="Arial" w:cs="Arial" w:eastAsia="Arial" w:hAnsi="Arial"/>
                  <w:sz w:val="18"/>
                  <w:szCs w:val="18"/>
                  <w:color w:val="0000EE"/>
                </w:rPr>
                <w:t>of 2002, from First Busey’s Chief Financial Officer</w:t>
              </w:r>
            </w:hyperlink>
          </w:p>
        </w:tc>
        <w:tc>
          <w:tcPr>
            <w:tcW w:w="20" w:type="dxa"/>
            <w:vAlign w:val="bottom"/>
          </w:tcPr>
          <w:p>
            <w:pPr>
              <w:spacing w:after="0"/>
              <w:rPr>
                <w:sz w:val="15"/>
                <w:szCs w:val="15"/>
                <w:color w:val="auto"/>
              </w:rPr>
            </w:pPr>
          </w:p>
        </w:tc>
      </w:tr>
      <w:tr>
        <w:trPr>
          <w:trHeight w:val="426"/>
        </w:trPr>
        <w:tc>
          <w:tcPr>
            <w:tcW w:w="820" w:type="dxa"/>
            <w:vAlign w:val="bottom"/>
            <w:gridSpan w:val="2"/>
          </w:tcPr>
          <w:p>
            <w:pPr>
              <w:ind w:left="20"/>
              <w:spacing w:after="0"/>
              <w:rPr>
                <w:sz w:val="20"/>
                <w:szCs w:val="20"/>
                <w:color w:val="auto"/>
              </w:rPr>
            </w:pPr>
            <w:r>
              <w:rPr>
                <w:rFonts w:ascii="Arial" w:cs="Arial" w:eastAsia="Arial" w:hAnsi="Arial"/>
                <w:sz w:val="18"/>
                <w:szCs w:val="18"/>
                <w:color w:val="auto"/>
              </w:rPr>
              <w:t>101.INS</w:t>
            </w:r>
          </w:p>
        </w:tc>
        <w:tc>
          <w:tcPr>
            <w:tcW w:w="370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iXBRL Instance Document</w:t>
            </w:r>
          </w:p>
        </w:tc>
        <w:tc>
          <w:tcPr>
            <w:tcW w:w="4380" w:type="dxa"/>
            <w:vAlign w:val="bottom"/>
            <w:gridSpan w:val="9"/>
          </w:tcPr>
          <w:p>
            <w:pPr>
              <w:spacing w:after="0"/>
              <w:rPr>
                <w:sz w:val="24"/>
                <w:szCs w:val="24"/>
                <w:color w:val="auto"/>
              </w:rPr>
            </w:pPr>
          </w:p>
        </w:tc>
      </w:tr>
      <w:tr>
        <w:trPr>
          <w:trHeight w:val="405"/>
        </w:trPr>
        <w:tc>
          <w:tcPr>
            <w:tcW w:w="820" w:type="dxa"/>
            <w:vAlign w:val="bottom"/>
            <w:gridSpan w:val="2"/>
          </w:tcPr>
          <w:p>
            <w:pPr>
              <w:ind w:left="20"/>
              <w:spacing w:after="0"/>
              <w:rPr>
                <w:sz w:val="20"/>
                <w:szCs w:val="20"/>
                <w:color w:val="auto"/>
              </w:rPr>
            </w:pPr>
            <w:r>
              <w:rPr>
                <w:rFonts w:ascii="Arial" w:cs="Arial" w:eastAsia="Arial" w:hAnsi="Arial"/>
                <w:sz w:val="18"/>
                <w:szCs w:val="18"/>
                <w:color w:val="auto"/>
              </w:rPr>
              <w:t>101.SCH</w:t>
            </w:r>
          </w:p>
        </w:tc>
        <w:tc>
          <w:tcPr>
            <w:tcW w:w="8080" w:type="dxa"/>
            <w:vAlign w:val="bottom"/>
            <w:gridSpan w:val="10"/>
          </w:tcPr>
          <w:p>
            <w:pPr>
              <w:spacing w:after="0"/>
              <w:rPr>
                <w:sz w:val="20"/>
                <w:szCs w:val="20"/>
                <w:color w:val="auto"/>
              </w:rPr>
            </w:pPr>
            <w:r>
              <w:rPr>
                <w:rFonts w:ascii="Arial" w:cs="Arial" w:eastAsia="Arial" w:hAnsi="Arial"/>
                <w:sz w:val="18"/>
                <w:szCs w:val="18"/>
                <w:color w:val="auto"/>
              </w:rPr>
              <w:t>iXBRL Taxonomy Extension Schema</w:t>
            </w:r>
          </w:p>
        </w:tc>
      </w:tr>
      <w:tr>
        <w:trPr>
          <w:trHeight w:val="405"/>
        </w:trPr>
        <w:tc>
          <w:tcPr>
            <w:tcW w:w="820" w:type="dxa"/>
            <w:vAlign w:val="bottom"/>
            <w:gridSpan w:val="2"/>
          </w:tcPr>
          <w:p>
            <w:pPr>
              <w:ind w:left="20"/>
              <w:spacing w:after="0"/>
              <w:rPr>
                <w:sz w:val="20"/>
                <w:szCs w:val="20"/>
                <w:color w:val="auto"/>
              </w:rPr>
            </w:pPr>
            <w:r>
              <w:rPr>
                <w:rFonts w:ascii="Arial" w:cs="Arial" w:eastAsia="Arial" w:hAnsi="Arial"/>
                <w:sz w:val="18"/>
                <w:szCs w:val="18"/>
                <w:color w:val="auto"/>
              </w:rPr>
              <w:t>101.CAL</w:t>
            </w:r>
          </w:p>
        </w:tc>
        <w:tc>
          <w:tcPr>
            <w:tcW w:w="8080" w:type="dxa"/>
            <w:vAlign w:val="bottom"/>
            <w:gridSpan w:val="10"/>
          </w:tcPr>
          <w:p>
            <w:pPr>
              <w:spacing w:after="0"/>
              <w:rPr>
                <w:sz w:val="20"/>
                <w:szCs w:val="20"/>
                <w:color w:val="auto"/>
              </w:rPr>
            </w:pPr>
            <w:r>
              <w:rPr>
                <w:rFonts w:ascii="Arial" w:cs="Arial" w:eastAsia="Arial" w:hAnsi="Arial"/>
                <w:sz w:val="18"/>
                <w:szCs w:val="18"/>
                <w:color w:val="auto"/>
              </w:rPr>
              <w:t>iXBRL Taxonomy Extension Calculation Linkbase</w:t>
            </w:r>
          </w:p>
        </w:tc>
      </w:tr>
      <w:tr>
        <w:trPr>
          <w:trHeight w:val="405"/>
        </w:trPr>
        <w:tc>
          <w:tcPr>
            <w:tcW w:w="820" w:type="dxa"/>
            <w:vAlign w:val="bottom"/>
            <w:gridSpan w:val="2"/>
          </w:tcPr>
          <w:p>
            <w:pPr>
              <w:ind w:left="20"/>
              <w:spacing w:after="0"/>
              <w:rPr>
                <w:sz w:val="20"/>
                <w:szCs w:val="20"/>
                <w:color w:val="auto"/>
              </w:rPr>
            </w:pPr>
            <w:r>
              <w:rPr>
                <w:rFonts w:ascii="Arial" w:cs="Arial" w:eastAsia="Arial" w:hAnsi="Arial"/>
                <w:sz w:val="18"/>
                <w:szCs w:val="18"/>
                <w:color w:val="auto"/>
              </w:rPr>
              <w:t>101.LAB</w:t>
            </w:r>
          </w:p>
        </w:tc>
        <w:tc>
          <w:tcPr>
            <w:tcW w:w="8080" w:type="dxa"/>
            <w:vAlign w:val="bottom"/>
            <w:gridSpan w:val="10"/>
          </w:tcPr>
          <w:p>
            <w:pPr>
              <w:spacing w:after="0"/>
              <w:rPr>
                <w:sz w:val="20"/>
                <w:szCs w:val="20"/>
                <w:color w:val="auto"/>
              </w:rPr>
            </w:pPr>
            <w:r>
              <w:rPr>
                <w:rFonts w:ascii="Arial" w:cs="Arial" w:eastAsia="Arial" w:hAnsi="Arial"/>
                <w:sz w:val="18"/>
                <w:szCs w:val="18"/>
                <w:color w:val="auto"/>
              </w:rPr>
              <w:t>iXBRL Taxonomy Extension Label Linkbase</w:t>
            </w:r>
          </w:p>
        </w:tc>
      </w:tr>
      <w:tr>
        <w:trPr>
          <w:trHeight w:val="405"/>
        </w:trPr>
        <w:tc>
          <w:tcPr>
            <w:tcW w:w="820" w:type="dxa"/>
            <w:vAlign w:val="bottom"/>
            <w:gridSpan w:val="2"/>
          </w:tcPr>
          <w:p>
            <w:pPr>
              <w:ind w:left="20"/>
              <w:spacing w:after="0"/>
              <w:rPr>
                <w:sz w:val="20"/>
                <w:szCs w:val="20"/>
                <w:color w:val="auto"/>
              </w:rPr>
            </w:pPr>
            <w:r>
              <w:rPr>
                <w:rFonts w:ascii="Arial" w:cs="Arial" w:eastAsia="Arial" w:hAnsi="Arial"/>
                <w:sz w:val="18"/>
                <w:szCs w:val="18"/>
                <w:color w:val="auto"/>
              </w:rPr>
              <w:t>101.PRE</w:t>
            </w:r>
          </w:p>
        </w:tc>
        <w:tc>
          <w:tcPr>
            <w:tcW w:w="8080" w:type="dxa"/>
            <w:vAlign w:val="bottom"/>
            <w:gridSpan w:val="10"/>
          </w:tcPr>
          <w:p>
            <w:pPr>
              <w:spacing w:after="0"/>
              <w:rPr>
                <w:sz w:val="20"/>
                <w:szCs w:val="20"/>
                <w:color w:val="auto"/>
              </w:rPr>
            </w:pPr>
            <w:r>
              <w:rPr>
                <w:rFonts w:ascii="Arial" w:cs="Arial" w:eastAsia="Arial" w:hAnsi="Arial"/>
                <w:sz w:val="18"/>
                <w:szCs w:val="18"/>
                <w:color w:val="auto"/>
              </w:rPr>
              <w:t>iXBRL Taxonomy Extension Presentation Linkbase</w:t>
            </w:r>
          </w:p>
        </w:tc>
      </w:tr>
      <w:tr>
        <w:trPr>
          <w:trHeight w:val="405"/>
        </w:trPr>
        <w:tc>
          <w:tcPr>
            <w:tcW w:w="820" w:type="dxa"/>
            <w:vAlign w:val="bottom"/>
            <w:gridSpan w:val="2"/>
          </w:tcPr>
          <w:p>
            <w:pPr>
              <w:ind w:left="20"/>
              <w:spacing w:after="0"/>
              <w:rPr>
                <w:sz w:val="20"/>
                <w:szCs w:val="20"/>
                <w:color w:val="auto"/>
              </w:rPr>
            </w:pPr>
            <w:r>
              <w:rPr>
                <w:rFonts w:ascii="Arial" w:cs="Arial" w:eastAsia="Arial" w:hAnsi="Arial"/>
                <w:sz w:val="18"/>
                <w:szCs w:val="18"/>
                <w:color w:val="auto"/>
              </w:rPr>
              <w:t>101.DEF</w:t>
            </w:r>
          </w:p>
        </w:tc>
        <w:tc>
          <w:tcPr>
            <w:tcW w:w="8080" w:type="dxa"/>
            <w:vAlign w:val="bottom"/>
            <w:gridSpan w:val="10"/>
          </w:tcPr>
          <w:p>
            <w:pPr>
              <w:spacing w:after="0"/>
              <w:rPr>
                <w:sz w:val="20"/>
                <w:szCs w:val="20"/>
                <w:color w:val="auto"/>
              </w:rPr>
            </w:pPr>
            <w:r>
              <w:rPr>
                <w:rFonts w:ascii="Arial" w:cs="Arial" w:eastAsia="Arial" w:hAnsi="Arial"/>
                <w:sz w:val="18"/>
                <w:szCs w:val="18"/>
                <w:color w:val="auto"/>
              </w:rPr>
              <w:t>iXBRL Taxonomy Extension Definition Linkbase</w:t>
            </w:r>
          </w:p>
        </w:tc>
      </w:tr>
    </w:tbl>
    <w:p>
      <w:pPr>
        <w:spacing w:after="0" w:line="175" w:lineRule="exact"/>
        <w:rPr>
          <w:sz w:val="20"/>
          <w:szCs w:val="20"/>
          <w:color w:val="auto"/>
        </w:rPr>
      </w:pPr>
    </w:p>
    <w:p>
      <w:pPr>
        <w:ind w:left="860" w:right="279" w:hanging="810"/>
        <w:spacing w:after="0" w:line="261" w:lineRule="auto"/>
        <w:tabs>
          <w:tab w:leader="none" w:pos="8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with applicable taxonomy extension information contained in Exhibits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48895</wp:posOffset>
            </wp:positionV>
            <wp:extent cx="141414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51" w:lineRule="exact"/>
        <w:rPr>
          <w:sz w:val="20"/>
          <w:szCs w:val="20"/>
          <w:color w:val="auto"/>
        </w:rPr>
      </w:pPr>
    </w:p>
    <w:p>
      <w:pPr>
        <w:ind w:left="380" w:hanging="330"/>
        <w:spacing w:after="0"/>
        <w:tabs>
          <w:tab w:leader="none" w:pos="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2" w:lineRule="exact"/>
        <w:rPr>
          <w:sz w:val="20"/>
          <w:szCs w:val="20"/>
          <w:color w:val="auto"/>
        </w:rPr>
      </w:pPr>
    </w:p>
    <w:p>
      <w:pPr>
        <w:ind w:left="380" w:right="99" w:hanging="330"/>
        <w:spacing w:after="0" w:line="234" w:lineRule="auto"/>
        <w:tabs>
          <w:tab w:leader="none" w:pos="3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First Busey has omitted schedules and similar attachments to the subject agreement pursuant to Item 601(b) of Regulation S-K. First Busey hereby agrees to furnish a copy of any omitted schedule or similar attachment to the SEC upon request.</w:t>
      </w:r>
    </w:p>
    <w:p>
      <w:pPr>
        <w:spacing w:after="0" w:line="2" w:lineRule="exact"/>
        <w:rPr>
          <w:sz w:val="20"/>
          <w:szCs w:val="20"/>
          <w:color w:val="auto"/>
        </w:rPr>
      </w:pPr>
    </w:p>
    <w:p>
      <w:pPr>
        <w:ind w:left="380" w:hanging="330"/>
        <w:spacing w:after="0"/>
        <w:tabs>
          <w:tab w:leader="none" w:pos="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Management contract or compensatory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3" w:name="page64"/>
    <w:bookmarkEnd w:id="6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left="60" w:right="579"/>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FIRST BUSEY CORPORATION</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w:t>
      </w:r>
    </w:p>
    <w:p>
      <w:pPr>
        <w:spacing w:after="0" w:line="19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By:/s/ VAN A. DUKEMAN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6350</wp:posOffset>
            </wp:positionV>
            <wp:extent cx="259715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1"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Van A. Dukeman</w:t>
      </w:r>
    </w:p>
    <w:p>
      <w:pPr>
        <w:ind w:left="4860"/>
        <w:spacing w:after="0"/>
        <w:rPr>
          <w:sz w:val="20"/>
          <w:szCs w:val="20"/>
          <w:color w:val="auto"/>
        </w:rPr>
      </w:pPr>
      <w:r>
        <w:rPr>
          <w:rFonts w:ascii="Arial" w:cs="Arial" w:eastAsia="Arial" w:hAnsi="Arial"/>
          <w:sz w:val="16"/>
          <w:szCs w:val="16"/>
          <w:color w:val="auto"/>
        </w:rPr>
        <w:t>Chairman, President and Chief Executive Officer</w:t>
      </w:r>
    </w:p>
    <w:p>
      <w:pPr>
        <w:spacing w:after="0" w:line="19"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(Principal Executive Officer)</w:t>
      </w:r>
    </w:p>
    <w:p>
      <w:pPr>
        <w:spacing w:after="0" w:line="182"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By:/s/ JEFFREY D.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6350</wp:posOffset>
            </wp:positionV>
            <wp:extent cx="259715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1"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Jeffrey D. Jones</w:t>
      </w:r>
    </w:p>
    <w:p>
      <w:pPr>
        <w:ind w:left="4860"/>
        <w:spacing w:after="0" w:line="234"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(Principal Financial Officer)</w:t>
      </w:r>
    </w:p>
    <w:p>
      <w:pPr>
        <w:spacing w:after="0" w:line="182"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By:/s/ LYNETTE M. STRODE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6350</wp:posOffset>
            </wp:positionV>
            <wp:extent cx="259715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1"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Lynette M. Strode</w:t>
      </w:r>
    </w:p>
    <w:p>
      <w:pPr>
        <w:ind w:left="4860"/>
        <w:spacing w:after="0"/>
        <w:rPr>
          <w:sz w:val="20"/>
          <w:szCs w:val="20"/>
          <w:color w:val="auto"/>
        </w:rPr>
      </w:pPr>
      <w:r>
        <w:rPr>
          <w:rFonts w:ascii="Arial" w:cs="Arial" w:eastAsia="Arial" w:hAnsi="Arial"/>
          <w:sz w:val="18"/>
          <w:szCs w:val="18"/>
          <w:color w:val="auto"/>
        </w:rPr>
        <w:t>Principal Accounting Officer</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May 6,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4" w:name="page65"/>
    <w:bookmarkEnd w:id="64"/>
    <w:p>
      <w:pPr>
        <w:jc w:val="right"/>
        <w:ind w:right="219"/>
        <w:spacing w:after="0"/>
        <w:rPr>
          <w:sz w:val="20"/>
          <w:szCs w:val="20"/>
          <w:color w:val="auto"/>
        </w:rPr>
      </w:pPr>
      <w:r>
        <w:rPr>
          <w:rFonts w:ascii="Arial" w:cs="Arial" w:eastAsia="Arial" w:hAnsi="Arial"/>
          <w:sz w:val="22"/>
          <w:szCs w:val="22"/>
          <w:b w:val="1"/>
          <w:bCs w:val="1"/>
          <w:color w:val="auto"/>
        </w:rPr>
        <w:t>Exhibit 10.33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200"/>
        <w:spacing w:after="0"/>
        <w:rPr>
          <w:sz w:val="20"/>
          <w:szCs w:val="20"/>
          <w:color w:val="auto"/>
        </w:rPr>
      </w:pPr>
      <w:r>
        <w:rPr>
          <w:rFonts w:ascii="Arial" w:cs="Arial" w:eastAsia="Arial" w:hAnsi="Arial"/>
          <w:sz w:val="22"/>
          <w:szCs w:val="22"/>
          <w:color w:val="auto"/>
        </w:rPr>
        <w:t>April 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00"/>
        <w:spacing w:after="0"/>
        <w:rPr>
          <w:sz w:val="20"/>
          <w:szCs w:val="20"/>
          <w:color w:val="auto"/>
        </w:rPr>
      </w:pPr>
      <w:r>
        <w:rPr>
          <w:rFonts w:ascii="Arial" w:cs="Arial" w:eastAsia="Arial" w:hAnsi="Arial"/>
          <w:sz w:val="22"/>
          <w:szCs w:val="22"/>
          <w:color w:val="auto"/>
        </w:rPr>
        <w:t>Mr. Gregory B. Lykins</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22"/>
          <w:szCs w:val="22"/>
          <w:color w:val="auto"/>
        </w:rPr>
        <w:t>Vice Chairman of the Board</w:t>
      </w:r>
    </w:p>
    <w:p>
      <w:pPr>
        <w:spacing w:after="0" w:line="4" w:lineRule="exact"/>
        <w:rPr>
          <w:sz w:val="20"/>
          <w:szCs w:val="20"/>
          <w:color w:val="auto"/>
        </w:rPr>
      </w:pPr>
    </w:p>
    <w:p>
      <w:pPr>
        <w:ind w:left="200"/>
        <w:spacing w:after="0"/>
        <w:rPr>
          <w:sz w:val="20"/>
          <w:szCs w:val="20"/>
          <w:color w:val="auto"/>
        </w:rPr>
      </w:pPr>
      <w:r>
        <w:rPr>
          <w:rFonts w:ascii="Arial" w:cs="Arial" w:eastAsia="Arial" w:hAnsi="Arial"/>
          <w:sz w:val="22"/>
          <w:szCs w:val="22"/>
          <w:color w:val="auto"/>
        </w:rPr>
        <w:t>First Busey Corporation</w:t>
      </w:r>
    </w:p>
    <w:p>
      <w:pPr>
        <w:spacing w:after="0" w:line="4" w:lineRule="exact"/>
        <w:rPr>
          <w:sz w:val="20"/>
          <w:szCs w:val="20"/>
          <w:color w:val="auto"/>
        </w:rPr>
      </w:pPr>
    </w:p>
    <w:p>
      <w:pPr>
        <w:ind w:left="200"/>
        <w:spacing w:after="0"/>
        <w:rPr>
          <w:sz w:val="20"/>
          <w:szCs w:val="20"/>
          <w:color w:val="auto"/>
        </w:rPr>
      </w:pPr>
      <w:r>
        <w:rPr>
          <w:rFonts w:ascii="Arial" w:cs="Arial" w:eastAsia="Arial" w:hAnsi="Arial"/>
          <w:sz w:val="22"/>
          <w:szCs w:val="22"/>
          <w:color w:val="auto"/>
        </w:rPr>
        <w:t>100 West University Avenue</w:t>
      </w:r>
    </w:p>
    <w:p>
      <w:pPr>
        <w:spacing w:after="0" w:line="4" w:lineRule="exact"/>
        <w:rPr>
          <w:sz w:val="20"/>
          <w:szCs w:val="20"/>
          <w:color w:val="auto"/>
        </w:rPr>
      </w:pPr>
    </w:p>
    <w:p>
      <w:pPr>
        <w:ind w:left="200"/>
        <w:spacing w:after="0"/>
        <w:rPr>
          <w:sz w:val="20"/>
          <w:szCs w:val="20"/>
          <w:color w:val="auto"/>
        </w:rPr>
      </w:pPr>
      <w:r>
        <w:rPr>
          <w:rFonts w:ascii="Arial" w:cs="Arial" w:eastAsia="Arial" w:hAnsi="Arial"/>
          <w:sz w:val="22"/>
          <w:szCs w:val="22"/>
          <w:color w:val="auto"/>
        </w:rPr>
        <w:t>Champaign, Illinois 61820</w:t>
      </w:r>
    </w:p>
    <w:p>
      <w:pPr>
        <w:spacing w:after="0" w:line="256" w:lineRule="exact"/>
        <w:rPr>
          <w:sz w:val="20"/>
          <w:szCs w:val="20"/>
          <w:color w:val="auto"/>
        </w:rPr>
      </w:pPr>
    </w:p>
    <w:p>
      <w:pPr>
        <w:ind w:left="200"/>
        <w:spacing w:after="0"/>
        <w:rPr>
          <w:sz w:val="20"/>
          <w:szCs w:val="20"/>
          <w:color w:val="auto"/>
        </w:rPr>
      </w:pPr>
      <w:r>
        <w:rPr>
          <w:rFonts w:ascii="Arial" w:cs="Arial" w:eastAsia="Arial" w:hAnsi="Arial"/>
          <w:sz w:val="22"/>
          <w:szCs w:val="22"/>
          <w:color w:val="auto"/>
        </w:rPr>
        <w:t>Dear Greg:</w:t>
      </w:r>
    </w:p>
    <w:p>
      <w:pPr>
        <w:spacing w:after="0" w:line="274" w:lineRule="exact"/>
        <w:rPr>
          <w:sz w:val="20"/>
          <w:szCs w:val="20"/>
          <w:color w:val="auto"/>
        </w:rPr>
      </w:pPr>
    </w:p>
    <w:p>
      <w:pPr>
        <w:jc w:val="both"/>
        <w:ind w:left="200" w:right="219" w:firstLine="648"/>
        <w:spacing w:after="0" w:line="260" w:lineRule="auto"/>
        <w:rPr>
          <w:sz w:val="20"/>
          <w:szCs w:val="20"/>
          <w:color w:val="auto"/>
        </w:rPr>
      </w:pPr>
      <w:r>
        <w:rPr>
          <w:rFonts w:ascii="Arial" w:cs="Arial" w:eastAsia="Arial" w:hAnsi="Arial"/>
          <w:sz w:val="21"/>
          <w:szCs w:val="21"/>
          <w:color w:val="auto"/>
        </w:rPr>
        <w:t>As you know, in connection with the merger of Main Street Trust, Inc. with First Busey Corporation ("Busey") you entered into that certain letter of understanding dated September 20, 2006, which set forth the terms of your employment from the merger until June 30, 2010. Effective July, 1, 2010, the terms of your employment were modified pursuant to the terms and conditions of a letter agreement dated December 31, 2010 (the "Second Letter Agreement"). The purpose of this new letter of understanding is to memorialize the changes to the terms of your employment which were effective July 1, 2020.</w:t>
      </w:r>
    </w:p>
    <w:p>
      <w:pPr>
        <w:spacing w:after="0" w:line="234" w:lineRule="exact"/>
        <w:rPr>
          <w:sz w:val="20"/>
          <w:szCs w:val="20"/>
          <w:color w:val="auto"/>
        </w:rPr>
      </w:pPr>
    </w:p>
    <w:p>
      <w:pPr>
        <w:jc w:val="both"/>
        <w:ind w:left="200" w:right="219" w:firstLine="648"/>
        <w:spacing w:after="0" w:line="253" w:lineRule="auto"/>
        <w:rPr>
          <w:sz w:val="20"/>
          <w:szCs w:val="20"/>
          <w:color w:val="auto"/>
        </w:rPr>
      </w:pPr>
      <w:r>
        <w:rPr>
          <w:rFonts w:ascii="Arial" w:cs="Arial" w:eastAsia="Arial" w:hAnsi="Arial"/>
          <w:sz w:val="22"/>
          <w:szCs w:val="22"/>
          <w:color w:val="auto"/>
        </w:rPr>
        <w:t>Accordingly, Busey requests your signature below and subsequent delivery of this letter of understanding to evidence confirmation of your understanding of and agreement to the following terms:</w:t>
      </w:r>
    </w:p>
    <w:p>
      <w:pPr>
        <w:spacing w:after="0" w:line="239" w:lineRule="exact"/>
        <w:rPr>
          <w:sz w:val="20"/>
          <w:szCs w:val="20"/>
          <w:color w:val="auto"/>
        </w:rPr>
      </w:pPr>
    </w:p>
    <w:p>
      <w:pPr>
        <w:jc w:val="both"/>
        <w:ind w:left="860" w:right="219" w:firstLine="645"/>
        <w:spacing w:after="0" w:line="253" w:lineRule="auto"/>
        <w:tabs>
          <w:tab w:leader="none" w:pos="2156" w:val="left"/>
        </w:tabs>
        <w:numPr>
          <w:ilvl w:val="0"/>
          <w:numId w:val="22"/>
        </w:numPr>
        <w:rPr>
          <w:rFonts w:ascii="Arial" w:cs="Arial" w:eastAsia="Arial" w:hAnsi="Arial"/>
          <w:sz w:val="22"/>
          <w:szCs w:val="22"/>
          <w:color w:val="auto"/>
        </w:rPr>
      </w:pPr>
      <w:r>
        <w:rPr>
          <w:rFonts w:ascii="Arial" w:cs="Arial" w:eastAsia="Arial" w:hAnsi="Arial"/>
          <w:sz w:val="22"/>
          <w:szCs w:val="22"/>
          <w:color w:val="auto"/>
        </w:rPr>
        <w:t>Your position is a non-officer, at-will employment position providing services on special projects and developments and you will report to the Chairman, President and CEO of Busey until June 30, 2022.</w:t>
      </w:r>
    </w:p>
    <w:p>
      <w:pPr>
        <w:spacing w:after="0" w:line="185" w:lineRule="exact"/>
        <w:rPr>
          <w:rFonts w:ascii="Arial" w:cs="Arial" w:eastAsia="Arial" w:hAnsi="Arial"/>
          <w:sz w:val="22"/>
          <w:szCs w:val="22"/>
          <w:color w:val="auto"/>
        </w:rPr>
      </w:pPr>
    </w:p>
    <w:p>
      <w:pPr>
        <w:jc w:val="both"/>
        <w:ind w:left="860" w:right="219" w:firstLine="645"/>
        <w:spacing w:after="0" w:line="253" w:lineRule="auto"/>
        <w:tabs>
          <w:tab w:leader="none" w:pos="2156" w:val="left"/>
        </w:tabs>
        <w:numPr>
          <w:ilvl w:val="0"/>
          <w:numId w:val="22"/>
        </w:numPr>
        <w:rPr>
          <w:rFonts w:ascii="Arial" w:cs="Arial" w:eastAsia="Arial" w:hAnsi="Arial"/>
          <w:sz w:val="22"/>
          <w:szCs w:val="22"/>
          <w:color w:val="auto"/>
        </w:rPr>
      </w:pPr>
      <w:r>
        <w:rPr>
          <w:rFonts w:ascii="Arial" w:cs="Arial" w:eastAsia="Arial" w:hAnsi="Arial"/>
          <w:sz w:val="22"/>
          <w:szCs w:val="22"/>
          <w:color w:val="auto"/>
        </w:rPr>
        <w:t>Your annual salary, payable in accordance with Busey's payroll practices, will be $100,000 effective July 2020 and $75,000 effective July 1, 2021 through June 30, 2022.</w:t>
      </w:r>
    </w:p>
    <w:p>
      <w:pPr>
        <w:spacing w:after="0" w:line="185" w:lineRule="exact"/>
        <w:rPr>
          <w:rFonts w:ascii="Arial" w:cs="Arial" w:eastAsia="Arial" w:hAnsi="Arial"/>
          <w:sz w:val="22"/>
          <w:szCs w:val="22"/>
          <w:color w:val="auto"/>
        </w:rPr>
      </w:pPr>
    </w:p>
    <w:p>
      <w:pPr>
        <w:jc w:val="both"/>
        <w:ind w:left="860" w:right="219" w:firstLine="645"/>
        <w:spacing w:after="0" w:line="263" w:lineRule="auto"/>
        <w:tabs>
          <w:tab w:leader="none" w:pos="2156" w:val="left"/>
        </w:tabs>
        <w:numPr>
          <w:ilvl w:val="0"/>
          <w:numId w:val="22"/>
        </w:numPr>
        <w:rPr>
          <w:rFonts w:ascii="Arial" w:cs="Arial" w:eastAsia="Arial" w:hAnsi="Arial"/>
          <w:sz w:val="21"/>
          <w:szCs w:val="21"/>
          <w:color w:val="auto"/>
        </w:rPr>
      </w:pPr>
      <w:r>
        <w:rPr>
          <w:rFonts w:ascii="Arial" w:cs="Arial" w:eastAsia="Arial" w:hAnsi="Arial"/>
          <w:sz w:val="21"/>
          <w:szCs w:val="21"/>
          <w:color w:val="auto"/>
        </w:rPr>
        <w:t>Until June 30, 2020, you will be eligible to receive discretionary cash bonuses and, until July 31, 2020, you will be eligible to receive equity based award grants, in each case as may be determined by the Compensation Committee of the Board of Directors of Busey in their sole discretion. Commencing in 2021, you will receive equity based award grants in the same manner as non-employee directors.</w:t>
      </w:r>
    </w:p>
    <w:p>
      <w:pPr>
        <w:spacing w:after="0" w:line="175" w:lineRule="exact"/>
        <w:rPr>
          <w:rFonts w:ascii="Arial" w:cs="Arial" w:eastAsia="Arial" w:hAnsi="Arial"/>
          <w:sz w:val="21"/>
          <w:szCs w:val="21"/>
          <w:color w:val="auto"/>
        </w:rPr>
      </w:pPr>
    </w:p>
    <w:p>
      <w:pPr>
        <w:jc w:val="both"/>
        <w:ind w:left="860" w:right="219" w:firstLine="645"/>
        <w:spacing w:after="0" w:line="312" w:lineRule="auto"/>
        <w:tabs>
          <w:tab w:leader="none" w:pos="2156" w:val="left"/>
        </w:tabs>
        <w:numPr>
          <w:ilvl w:val="0"/>
          <w:numId w:val="22"/>
        </w:numPr>
        <w:rPr>
          <w:rFonts w:ascii="Arial" w:cs="Arial" w:eastAsia="Arial" w:hAnsi="Arial"/>
          <w:sz w:val="19"/>
          <w:szCs w:val="19"/>
          <w:color w:val="auto"/>
        </w:rPr>
      </w:pPr>
      <w:r>
        <w:rPr>
          <w:rFonts w:ascii="Arial" w:cs="Arial" w:eastAsia="Arial" w:hAnsi="Arial"/>
          <w:sz w:val="19"/>
          <w:szCs w:val="19"/>
          <w:color w:val="auto"/>
        </w:rPr>
        <w:t>Until June 30, 2022, you will continue to be eligible to participate in Busey's general benefits program, which includes tax-qualified retirement and welfare benefit plans, on the same terms offered to other non-executive employees generally.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295275</wp:posOffset>
            </wp:positionV>
            <wp:extent cx="545211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65" w:name="page66"/>
    <w:bookmarkEnd w:id="65"/>
    <w:p>
      <w:pPr>
        <w:ind w:left="200"/>
        <w:spacing w:after="0"/>
        <w:rPr>
          <w:sz w:val="20"/>
          <w:szCs w:val="20"/>
          <w:color w:val="auto"/>
        </w:rPr>
      </w:pPr>
      <w:r>
        <w:rPr>
          <w:rFonts w:ascii="Arial" w:cs="Arial" w:eastAsia="Arial" w:hAnsi="Arial"/>
          <w:sz w:val="22"/>
          <w:szCs w:val="22"/>
          <w:color w:val="auto"/>
        </w:rPr>
        <w:t>Mr. Gregory B. Lykins</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22"/>
          <w:szCs w:val="22"/>
          <w:color w:val="auto"/>
        </w:rPr>
        <w:t>April 1, 2021</w:t>
      </w:r>
    </w:p>
    <w:p>
      <w:pPr>
        <w:spacing w:after="0" w:line="4" w:lineRule="exact"/>
        <w:rPr>
          <w:sz w:val="20"/>
          <w:szCs w:val="20"/>
          <w:color w:val="auto"/>
        </w:rPr>
      </w:pPr>
    </w:p>
    <w:p>
      <w:pPr>
        <w:ind w:left="200"/>
        <w:spacing w:after="0"/>
        <w:rPr>
          <w:sz w:val="20"/>
          <w:szCs w:val="20"/>
          <w:color w:val="auto"/>
        </w:rPr>
      </w:pPr>
      <w:r>
        <w:rPr>
          <w:rFonts w:ascii="Arial" w:cs="Arial" w:eastAsia="Arial" w:hAnsi="Arial"/>
          <w:sz w:val="22"/>
          <w:szCs w:val="22"/>
          <w:color w:val="auto"/>
        </w:rPr>
        <w:t>Page 2</w:t>
      </w:r>
    </w:p>
    <w:p>
      <w:pPr>
        <w:spacing w:after="0" w:line="200" w:lineRule="exact"/>
        <w:rPr>
          <w:sz w:val="20"/>
          <w:szCs w:val="20"/>
          <w:color w:val="auto"/>
        </w:rPr>
      </w:pPr>
    </w:p>
    <w:p>
      <w:pPr>
        <w:spacing w:after="0" w:line="299" w:lineRule="exact"/>
        <w:rPr>
          <w:sz w:val="20"/>
          <w:szCs w:val="20"/>
          <w:color w:val="auto"/>
        </w:rPr>
      </w:pPr>
    </w:p>
    <w:p>
      <w:pPr>
        <w:jc w:val="both"/>
        <w:ind w:left="860" w:right="239" w:firstLine="645"/>
        <w:spacing w:after="0" w:line="253" w:lineRule="auto"/>
        <w:tabs>
          <w:tab w:leader="none" w:pos="2156" w:val="left"/>
        </w:tabs>
        <w:numPr>
          <w:ilvl w:val="0"/>
          <w:numId w:val="23"/>
        </w:numPr>
        <w:rPr>
          <w:rFonts w:ascii="Arial" w:cs="Arial" w:eastAsia="Arial" w:hAnsi="Arial"/>
          <w:sz w:val="22"/>
          <w:szCs w:val="22"/>
          <w:color w:val="auto"/>
        </w:rPr>
      </w:pPr>
      <w:r>
        <w:rPr>
          <w:rFonts w:ascii="Arial" w:cs="Arial" w:eastAsia="Arial" w:hAnsi="Arial"/>
          <w:sz w:val="22"/>
          <w:szCs w:val="22"/>
          <w:color w:val="auto"/>
        </w:rPr>
        <w:t>Until June 30, 2022, you will continue to serve as a member of the Board of Directors of Busey as Vice Chairman (subject to future elections by its shareholders), but will not receive Board fees for that service.</w:t>
      </w:r>
    </w:p>
    <w:p>
      <w:pPr>
        <w:spacing w:after="0" w:line="185" w:lineRule="exact"/>
        <w:rPr>
          <w:sz w:val="20"/>
          <w:szCs w:val="20"/>
          <w:color w:val="auto"/>
        </w:rPr>
      </w:pPr>
    </w:p>
    <w:p>
      <w:pPr>
        <w:ind w:left="200" w:right="219" w:firstLine="648"/>
        <w:spacing w:after="0" w:line="263" w:lineRule="auto"/>
        <w:rPr>
          <w:sz w:val="20"/>
          <w:szCs w:val="20"/>
          <w:color w:val="auto"/>
        </w:rPr>
      </w:pPr>
      <w:r>
        <w:rPr>
          <w:rFonts w:ascii="Arial" w:cs="Arial" w:eastAsia="Arial" w:hAnsi="Arial"/>
          <w:sz w:val="22"/>
          <w:szCs w:val="22"/>
          <w:color w:val="auto"/>
        </w:rPr>
        <w:t>This letter of understanding supersedes, and replaces in its entirety, the Second Letter Agreement.</w:t>
      </w:r>
    </w:p>
    <w:p>
      <w:pPr>
        <w:spacing w:after="0" w:line="229" w:lineRule="exact"/>
        <w:rPr>
          <w:sz w:val="20"/>
          <w:szCs w:val="20"/>
          <w:color w:val="auto"/>
        </w:rPr>
      </w:pPr>
    </w:p>
    <w:p>
      <w:pPr>
        <w:jc w:val="center"/>
        <w:ind w:right="-520"/>
        <w:spacing w:after="0"/>
        <w:rPr>
          <w:sz w:val="20"/>
          <w:szCs w:val="20"/>
          <w:color w:val="auto"/>
        </w:rPr>
      </w:pPr>
      <w:r>
        <w:rPr>
          <w:rFonts w:ascii="Arial" w:cs="Arial" w:eastAsia="Arial" w:hAnsi="Arial"/>
          <w:sz w:val="19"/>
          <w:szCs w:val="19"/>
          <w:color w:val="auto"/>
        </w:rPr>
        <w:t>Please acknowledge your acceptance of this letter and its terms and return one copy to me.</w:t>
      </w:r>
    </w:p>
    <w:p>
      <w:pPr>
        <w:spacing w:after="0" w:line="322"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Very truly yours,</w:t>
      </w:r>
    </w:p>
    <w:p>
      <w:pPr>
        <w:spacing w:after="0" w:line="260"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FIRST BUSEY CORPORATION</w:t>
      </w:r>
    </w:p>
    <w:p>
      <w:pPr>
        <w:spacing w:after="0" w:line="260"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/s/ VAN A. DUKEMAN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2551430</wp:posOffset>
            </wp:positionH>
            <wp:positionV relativeFrom="paragraph">
              <wp:posOffset>6985</wp:posOffset>
            </wp:positionV>
            <wp:extent cx="302577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3025775" cy="8255"/>
                    </a:xfrm>
                    <a:prstGeom prst="rect">
                      <a:avLst/>
                    </a:prstGeom>
                    <a:noFill/>
                  </pic:spPr>
                </pic:pic>
              </a:graphicData>
            </a:graphic>
          </wp:anchor>
        </w:drawing>
      </w:r>
    </w:p>
    <w:p>
      <w:pPr>
        <w:spacing w:after="0" w:line="1"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Van A. Dukeman</w:t>
      </w:r>
    </w:p>
    <w:p>
      <w:pPr>
        <w:spacing w:after="0" w:line="17"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Chairman, President and CEO</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22"/>
          <w:szCs w:val="22"/>
          <w:color w:val="auto"/>
        </w:rPr>
        <w:t>Acknowledged and agreed to</w:t>
      </w:r>
    </w:p>
    <w:p>
      <w:pPr>
        <w:spacing w:after="0" w:line="21" w:lineRule="exact"/>
        <w:rPr>
          <w:sz w:val="20"/>
          <w:szCs w:val="20"/>
          <w:color w:val="auto"/>
        </w:rPr>
      </w:pPr>
    </w:p>
    <w:p>
      <w:pPr>
        <w:ind w:left="200"/>
        <w:spacing w:after="0"/>
        <w:tabs>
          <w:tab w:leader="none" w:pos="1140" w:val="left"/>
        </w:tabs>
        <w:rPr>
          <w:sz w:val="20"/>
          <w:szCs w:val="20"/>
          <w:color w:val="auto"/>
        </w:rPr>
      </w:pPr>
      <w:r>
        <w:rPr>
          <w:rFonts w:ascii="Arial" w:cs="Arial" w:eastAsia="Arial" w:hAnsi="Arial"/>
          <w:sz w:val="22"/>
          <w:szCs w:val="22"/>
          <w:color w:val="auto"/>
        </w:rPr>
        <w:t>this  1st</w:t>
      </w:r>
      <w:r>
        <w:rPr>
          <w:sz w:val="20"/>
          <w:szCs w:val="20"/>
          <w:color w:val="auto"/>
        </w:rPr>
        <w:tab/>
      </w:r>
      <w:r>
        <w:rPr>
          <w:rFonts w:ascii="Arial" w:cs="Arial" w:eastAsia="Arial" w:hAnsi="Arial"/>
          <w:sz w:val="19"/>
          <w:szCs w:val="19"/>
          <w:color w:val="auto"/>
        </w:rPr>
        <w:t>day of April,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-3175</wp:posOffset>
            </wp:positionV>
            <wp:extent cx="33401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3340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00"/>
        <w:spacing w:after="0"/>
        <w:rPr>
          <w:sz w:val="20"/>
          <w:szCs w:val="20"/>
          <w:color w:val="auto"/>
        </w:rPr>
      </w:pPr>
      <w:r>
        <w:rPr>
          <w:rFonts w:ascii="Arial" w:cs="Arial" w:eastAsia="Arial" w:hAnsi="Arial"/>
          <w:sz w:val="22"/>
          <w:szCs w:val="22"/>
          <w:color w:val="auto"/>
        </w:rPr>
        <w:t>/s/ GREGORY B. LYKINS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6985</wp:posOffset>
            </wp:positionV>
            <wp:extent cx="225425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2254250" cy="8255"/>
                    </a:xfrm>
                    <a:prstGeom prst="rect">
                      <a:avLst/>
                    </a:prstGeom>
                    <a:noFill/>
                  </pic:spPr>
                </pic:pic>
              </a:graphicData>
            </a:graphic>
          </wp:anchor>
        </w:drawing>
      </w:r>
    </w:p>
    <w:p>
      <w:pPr>
        <w:spacing w:after="0" w:line="1" w:lineRule="exact"/>
        <w:rPr>
          <w:sz w:val="20"/>
          <w:szCs w:val="20"/>
          <w:color w:val="auto"/>
        </w:rPr>
      </w:pPr>
    </w:p>
    <w:p>
      <w:pPr>
        <w:ind w:left="200"/>
        <w:spacing w:after="0"/>
        <w:rPr>
          <w:sz w:val="20"/>
          <w:szCs w:val="20"/>
          <w:color w:val="auto"/>
        </w:rPr>
      </w:pPr>
      <w:r>
        <w:rPr>
          <w:rFonts w:ascii="Arial" w:cs="Arial" w:eastAsia="Arial" w:hAnsi="Arial"/>
          <w:sz w:val="22"/>
          <w:szCs w:val="22"/>
          <w:color w:val="auto"/>
        </w:rPr>
        <w:t>Gregory B. Lykins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493395</wp:posOffset>
            </wp:positionV>
            <wp:extent cx="545211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672" w:right="1440"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 OF PRINCIPAL EXECUTIVE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Van A. Dukeman, Chairman, President and Chief Executive Officer of First Busey Corporation, certify that:</w:t>
      </w:r>
    </w:p>
    <w:p>
      <w:pPr>
        <w:spacing w:after="0" w:line="225"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First Busey Corporation;</w:t>
      </w:r>
    </w:p>
    <w:p>
      <w:pPr>
        <w:spacing w:after="0" w:line="225" w:lineRule="exact"/>
        <w:rPr>
          <w:rFonts w:ascii="Arial" w:cs="Arial" w:eastAsia="Arial" w:hAnsi="Arial"/>
          <w:sz w:val="18"/>
          <w:szCs w:val="18"/>
          <w:color w:val="auto"/>
        </w:rPr>
      </w:pPr>
    </w:p>
    <w:p>
      <w:pPr>
        <w:jc w:val="both"/>
        <w:ind w:left="340" w:right="220" w:hanging="332"/>
        <w:spacing w:after="0" w:line="263" w:lineRule="auto"/>
        <w:tabs>
          <w:tab w:leader="none" w:pos="346"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3" w:lineRule="exact"/>
        <w:rPr>
          <w:rFonts w:ascii="Arial" w:cs="Arial" w:eastAsia="Arial" w:hAnsi="Arial"/>
          <w:sz w:val="18"/>
          <w:szCs w:val="18"/>
          <w:color w:val="auto"/>
        </w:rPr>
      </w:pPr>
    </w:p>
    <w:p>
      <w:pPr>
        <w:ind w:left="340" w:right="140" w:hanging="332"/>
        <w:spacing w:after="0" w:line="263" w:lineRule="auto"/>
        <w:tabs>
          <w:tab w:leader="none" w:pos="346"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83" w:lineRule="exact"/>
        <w:rPr>
          <w:rFonts w:ascii="Arial" w:cs="Arial" w:eastAsia="Arial" w:hAnsi="Arial"/>
          <w:sz w:val="18"/>
          <w:szCs w:val="18"/>
          <w:color w:val="auto"/>
        </w:rPr>
      </w:pPr>
    </w:p>
    <w:p>
      <w:pPr>
        <w:ind w:left="340" w:right="80" w:hanging="332"/>
        <w:spacing w:after="0" w:line="263" w:lineRule="auto"/>
        <w:tabs>
          <w:tab w:leader="none" w:pos="343"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620" w:right="100" w:hanging="331"/>
        <w:spacing w:after="0" w:line="311" w:lineRule="auto"/>
        <w:tabs>
          <w:tab w:leader="none" w:pos="661" w:val="left"/>
        </w:tabs>
        <w:numPr>
          <w:ilvl w:val="1"/>
          <w:numId w:val="2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48" w:lineRule="exact"/>
        <w:rPr>
          <w:rFonts w:ascii="Arial" w:cs="Arial" w:eastAsia="Arial" w:hAnsi="Arial"/>
          <w:sz w:val="16"/>
          <w:szCs w:val="16"/>
          <w:color w:val="auto"/>
        </w:rPr>
      </w:pPr>
    </w:p>
    <w:p>
      <w:pPr>
        <w:ind w:left="620" w:right="220" w:hanging="331"/>
        <w:spacing w:after="0" w:line="286" w:lineRule="auto"/>
        <w:tabs>
          <w:tab w:leader="none" w:pos="671" w:val="left"/>
        </w:tabs>
        <w:numPr>
          <w:ilvl w:val="1"/>
          <w:numId w:val="2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ind w:left="620" w:right="400" w:hanging="331"/>
        <w:spacing w:after="0" w:line="263" w:lineRule="auto"/>
        <w:tabs>
          <w:tab w:leader="none" w:pos="661" w:val="left"/>
        </w:tabs>
        <w:numPr>
          <w:ilvl w:val="1"/>
          <w:numId w:val="2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83" w:lineRule="exact"/>
        <w:rPr>
          <w:rFonts w:ascii="Arial" w:cs="Arial" w:eastAsia="Arial" w:hAnsi="Arial"/>
          <w:sz w:val="18"/>
          <w:szCs w:val="18"/>
          <w:color w:val="auto"/>
        </w:rPr>
      </w:pPr>
    </w:p>
    <w:p>
      <w:pPr>
        <w:ind w:left="620" w:right="20" w:hanging="331"/>
        <w:spacing w:after="0" w:line="311" w:lineRule="auto"/>
        <w:tabs>
          <w:tab w:leader="none" w:pos="671" w:val="left"/>
        </w:tabs>
        <w:numPr>
          <w:ilvl w:val="1"/>
          <w:numId w:val="24"/>
        </w:numPr>
        <w:rPr>
          <w:rFonts w:ascii="Arial" w:cs="Arial" w:eastAsia="Arial" w:hAnsi="Arial"/>
          <w:sz w:val="16"/>
          <w:szCs w:val="16"/>
          <w:color w:val="auto"/>
        </w:rPr>
      </w:pPr>
      <w:r>
        <w:rPr>
          <w:rFonts w:ascii="Arial" w:cs="Arial" w:eastAsia="Arial" w:hAnsi="Arial"/>
          <w:sz w:val="16"/>
          <w:szCs w:val="16"/>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Arial" w:cs="Arial" w:eastAsia="Arial" w:hAnsi="Arial"/>
          <w:sz w:val="16"/>
          <w:szCs w:val="16"/>
          <w:color w:val="auto"/>
        </w:rPr>
      </w:pPr>
    </w:p>
    <w:p>
      <w:pPr>
        <w:ind w:left="340" w:right="200" w:hanging="332"/>
        <w:spacing w:after="0" w:line="263" w:lineRule="auto"/>
        <w:tabs>
          <w:tab w:leader="none" w:pos="343"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660" w:right="100" w:hanging="328"/>
        <w:spacing w:after="0" w:line="263" w:lineRule="auto"/>
        <w:tabs>
          <w:tab w:leader="none" w:pos="656" w:val="left"/>
        </w:tabs>
        <w:numPr>
          <w:ilvl w:val="2"/>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660" w:right="100" w:hanging="328"/>
        <w:spacing w:after="0" w:line="277" w:lineRule="auto"/>
        <w:tabs>
          <w:tab w:leader="none" w:pos="666" w:val="left"/>
        </w:tabs>
        <w:numPr>
          <w:ilvl w:val="2"/>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VAN A. DUKEMAN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14605</wp:posOffset>
            </wp:positionV>
            <wp:extent cx="314579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Van A. Dukeman</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Chairman, 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May 6, 2021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2620"/>
        <w:spacing w:after="0"/>
        <w:rPr>
          <w:sz w:val="20"/>
          <w:szCs w:val="20"/>
          <w:color w:val="auto"/>
        </w:rPr>
      </w:pPr>
      <w:r>
        <w:rPr>
          <w:rFonts w:ascii="Arial" w:cs="Arial" w:eastAsia="Arial" w:hAnsi="Arial"/>
          <w:sz w:val="18"/>
          <w:szCs w:val="18"/>
          <w:b w:val="1"/>
          <w:bCs w:val="1"/>
          <w:u w:val="single" w:color="auto"/>
          <w:color w:val="auto"/>
        </w:rPr>
        <w:t>CERTIFICATION OF PRINCIPAL FINANCIAL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Jeffrey D. Jones, Chief Financial Officer of First Busey Corporation, certify that:</w:t>
      </w:r>
    </w:p>
    <w:p>
      <w:pPr>
        <w:spacing w:after="0" w:line="225"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First Busey Corporation;</w:t>
      </w:r>
    </w:p>
    <w:p>
      <w:pPr>
        <w:spacing w:after="0" w:line="225" w:lineRule="exact"/>
        <w:rPr>
          <w:rFonts w:ascii="Arial" w:cs="Arial" w:eastAsia="Arial" w:hAnsi="Arial"/>
          <w:sz w:val="18"/>
          <w:szCs w:val="18"/>
          <w:color w:val="auto"/>
        </w:rPr>
      </w:pPr>
    </w:p>
    <w:p>
      <w:pPr>
        <w:jc w:val="both"/>
        <w:ind w:left="340" w:right="220" w:hanging="332"/>
        <w:spacing w:after="0" w:line="263" w:lineRule="auto"/>
        <w:tabs>
          <w:tab w:leader="none" w:pos="346"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3" w:lineRule="exact"/>
        <w:rPr>
          <w:rFonts w:ascii="Arial" w:cs="Arial" w:eastAsia="Arial" w:hAnsi="Arial"/>
          <w:sz w:val="18"/>
          <w:szCs w:val="18"/>
          <w:color w:val="auto"/>
        </w:rPr>
      </w:pPr>
    </w:p>
    <w:p>
      <w:pPr>
        <w:ind w:left="340" w:right="140" w:hanging="332"/>
        <w:spacing w:after="0" w:line="263" w:lineRule="auto"/>
        <w:tabs>
          <w:tab w:leader="none" w:pos="346"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83" w:lineRule="exact"/>
        <w:rPr>
          <w:rFonts w:ascii="Arial" w:cs="Arial" w:eastAsia="Arial" w:hAnsi="Arial"/>
          <w:sz w:val="18"/>
          <w:szCs w:val="18"/>
          <w:color w:val="auto"/>
        </w:rPr>
      </w:pPr>
    </w:p>
    <w:p>
      <w:pPr>
        <w:ind w:left="340" w:right="80" w:hanging="332"/>
        <w:spacing w:after="0" w:line="263" w:lineRule="auto"/>
        <w:tabs>
          <w:tab w:leader="none" w:pos="343"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660" w:right="60" w:hanging="328"/>
        <w:spacing w:after="0" w:line="311" w:lineRule="auto"/>
        <w:tabs>
          <w:tab w:leader="none" w:pos="656" w:val="left"/>
        </w:tabs>
        <w:numPr>
          <w:ilvl w:val="2"/>
          <w:numId w:val="2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48" w:lineRule="exact"/>
        <w:rPr>
          <w:rFonts w:ascii="Arial" w:cs="Arial" w:eastAsia="Arial" w:hAnsi="Arial"/>
          <w:sz w:val="16"/>
          <w:szCs w:val="16"/>
          <w:color w:val="auto"/>
        </w:rPr>
      </w:pPr>
    </w:p>
    <w:p>
      <w:pPr>
        <w:ind w:left="620" w:right="220" w:hanging="331"/>
        <w:spacing w:after="0" w:line="286" w:lineRule="auto"/>
        <w:tabs>
          <w:tab w:leader="none" w:pos="671" w:val="left"/>
        </w:tabs>
        <w:numPr>
          <w:ilvl w:val="1"/>
          <w:numId w:val="2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ind w:left="620" w:right="400" w:hanging="331"/>
        <w:spacing w:after="0" w:line="263" w:lineRule="auto"/>
        <w:tabs>
          <w:tab w:leader="none" w:pos="661" w:val="left"/>
        </w:tabs>
        <w:numPr>
          <w:ilvl w:val="1"/>
          <w:numId w:val="2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83" w:lineRule="exact"/>
        <w:rPr>
          <w:rFonts w:ascii="Arial" w:cs="Arial" w:eastAsia="Arial" w:hAnsi="Arial"/>
          <w:sz w:val="18"/>
          <w:szCs w:val="18"/>
          <w:color w:val="auto"/>
        </w:rPr>
      </w:pPr>
    </w:p>
    <w:p>
      <w:pPr>
        <w:ind w:left="620" w:right="20" w:hanging="331"/>
        <w:spacing w:after="0" w:line="311" w:lineRule="auto"/>
        <w:tabs>
          <w:tab w:leader="none" w:pos="671" w:val="left"/>
        </w:tabs>
        <w:numPr>
          <w:ilvl w:val="1"/>
          <w:numId w:val="25"/>
        </w:numPr>
        <w:rPr>
          <w:rFonts w:ascii="Arial" w:cs="Arial" w:eastAsia="Arial" w:hAnsi="Arial"/>
          <w:sz w:val="16"/>
          <w:szCs w:val="16"/>
          <w:color w:val="auto"/>
        </w:rPr>
      </w:pPr>
      <w:r>
        <w:rPr>
          <w:rFonts w:ascii="Arial" w:cs="Arial" w:eastAsia="Arial" w:hAnsi="Arial"/>
          <w:sz w:val="16"/>
          <w:szCs w:val="16"/>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Arial" w:cs="Arial" w:eastAsia="Arial" w:hAnsi="Arial"/>
          <w:sz w:val="16"/>
          <w:szCs w:val="16"/>
          <w:color w:val="auto"/>
        </w:rPr>
      </w:pPr>
    </w:p>
    <w:p>
      <w:pPr>
        <w:ind w:left="340" w:right="200" w:hanging="332"/>
        <w:spacing w:after="0" w:line="263" w:lineRule="auto"/>
        <w:tabs>
          <w:tab w:leader="none" w:pos="343"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660" w:right="100" w:hanging="328"/>
        <w:spacing w:after="0" w:line="263" w:lineRule="auto"/>
        <w:tabs>
          <w:tab w:leader="none" w:pos="656" w:val="left"/>
        </w:tabs>
        <w:numPr>
          <w:ilvl w:val="2"/>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660" w:right="100" w:hanging="328"/>
        <w:spacing w:after="0" w:line="277" w:lineRule="auto"/>
        <w:tabs>
          <w:tab w:leader="none" w:pos="666" w:val="left"/>
        </w:tabs>
        <w:numPr>
          <w:ilvl w:val="2"/>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JEFFREY D.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14605</wp:posOffset>
            </wp:positionV>
            <wp:extent cx="314579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Jeffrey D. Jones</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May 6, 2021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68" w:name="page69"/>
    <w:bookmarkEnd w:id="68"/>
    <w:p>
      <w:pPr>
        <w:ind w:left="8800"/>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following certification is provided by the undersigned Chief Executive Officer of First Busey Corporation on the basis of such officer’s knowledge and belief for the sole purpose of complying with 18 U.S.C. Section 1350, as adopted pursuant to Section 906 of the Sarbanes-Oxley Act of 2002.</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 hereby certify, pursuant to 18 U.S.C. Section 1350, as adopted pursuant to Section 906 of the Sarbanes-Oxley Act of 2002, that the accompanying Quarterly Report of First Busey Corporation on Form 10-Q for the quarter ended March 31, 2021, fully complies with the requirements of Section 13(a) or 15(d) of the Securities Exchange Act of 1934, as amended, and that the information contained in such Quarterly Report fairly presents, in all material respects, the financial condition and results of operations of First Busey Corporation as of and for the periods covered by the Quarterly Report.</w:t>
      </w:r>
    </w:p>
    <w:p>
      <w:pPr>
        <w:spacing w:after="0" w:line="282"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VAN A. DUKEMAN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14605</wp:posOffset>
            </wp:positionV>
            <wp:extent cx="314579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Van A. Dukeman</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Chairman, 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May 6, 2021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69" w:name="page70"/>
    <w:bookmarkEnd w:id="69"/>
    <w:p>
      <w:pPr>
        <w:ind w:left="8800"/>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following certification is provided by the undersigned Chief Financial Officer of First Busey Corporation on the basis of such officer’s knowledge and belief for the sole purpose of complying with 18 U.S.C. Section 1350, as adopted pursuant to Section 906 of the Sarbanes-Oxley Act of 2002.</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 hereby certify, pursuant to 18 U.S.C. Section 1350, as adopted pursuant to Section 906 of the Sarbanes-Oxley Act of 2002, that the accompanying Quarterly Report of First Busey Corporation on Form 10-Q for the quarter ended March 31, 2021, fully complies with the requirements of Section 13(a) or 15(d) of the Securities Exchange Act of 1934, as amended, and that the information contained in such Quarterly Report fairly presents, in all material respects, the financial condition and results of operations of First Busey Corporation as of and for the periods covered by the Quarterly Report.</w:t>
      </w:r>
    </w:p>
    <w:p>
      <w:pPr>
        <w:spacing w:after="0" w:line="282"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JEFFREY D.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14605</wp:posOffset>
            </wp:positionV>
            <wp:extent cx="314579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Jeffrey D. Jones</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May 6, 2021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1)"/>
      <w:numFmt w:val="decimal"/>
      <w:start w:val="1"/>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
      <w:numFmt w:val="bullet"/>
      <w:start w:val="1"/>
    </w:lvl>
  </w:abstractNum>
  <w:abstractNum w:abstractNumId="6">
    <w:nsid w:val="6B68079A"/>
    <w:multiLevelType w:val="hybridMultilevel"/>
    <w:lvl w:ilvl="0">
      <w:lvlJc w:val="left"/>
      <w:lvlText w:val="●"/>
      <w:numFmt w:val="bullet"/>
      <w:start w:val="1"/>
    </w:lvl>
  </w:abstractNum>
  <w:abstractNum w:abstractNumId="7">
    <w:nsid w:val="4E6AFB66"/>
    <w:multiLevelType w:val="hybridMultilevel"/>
    <w:lvl w:ilvl="0">
      <w:lvlJc w:val="left"/>
      <w:lvlText w:val="(%1)"/>
      <w:numFmt w:val="decimal"/>
      <w:start w:val="1"/>
    </w:lvl>
  </w:abstractNum>
  <w:abstractNum w:abstractNumId="8">
    <w:nsid w:val="25E45D32"/>
    <w:multiLevelType w:val="hybridMultilevel"/>
    <w:lvl w:ilvl="0">
      <w:lvlJc w:val="left"/>
      <w:lvlText w:val="(%1)"/>
      <w:numFmt w:val="decimal"/>
      <w:start w:val="1"/>
    </w:lvl>
  </w:abstractNum>
  <w:abstractNum w:abstractNumId="9">
    <w:nsid w:val="519B500D"/>
    <w:multiLevelType w:val="hybridMultilevel"/>
    <w:lvl w:ilvl="0">
      <w:lvlJc w:val="left"/>
      <w:lvlText w:val="(%1)"/>
      <w:numFmt w:val="decimal"/>
      <w:start w:val="1"/>
    </w:lvl>
  </w:abstractNum>
  <w:abstractNum w:abstractNumId="10">
    <w:nsid w:val="431BD7B7"/>
    <w:multiLevelType w:val="hybridMultilevel"/>
    <w:lvl w:ilvl="0">
      <w:lvlJc w:val="left"/>
      <w:lvlText w:val="(%1)"/>
      <w:numFmt w:val="decimal"/>
      <w:start w:val="1"/>
    </w:lvl>
  </w:abstractNum>
  <w:abstractNum w:abstractNumId="11">
    <w:nsid w:val="3F2DBA31"/>
    <w:multiLevelType w:val="hybridMultilevel"/>
    <w:lvl w:ilvl="0">
      <w:lvlJc w:val="left"/>
      <w:lvlText w:val="1"/>
      <w:numFmt w:val="bullet"/>
      <w:start w:val="1"/>
    </w:lvl>
  </w:abstractNum>
  <w:abstractNum w:abstractNumId="12">
    <w:nsid w:val="7C83E458"/>
    <w:multiLevelType w:val="hybridMultilevel"/>
    <w:lvl w:ilvl="0">
      <w:lvlJc w:val="left"/>
      <w:lvlText w:val="%1"/>
      <w:numFmt w:val="upperLetter"/>
      <w:start w:val="68"/>
    </w:lvl>
  </w:abstractNum>
  <w:abstractNum w:abstractNumId="13">
    <w:nsid w:val="257130A3"/>
    <w:multiLevelType w:val="hybridMultilevel"/>
    <w:lvl w:ilvl="0">
      <w:lvlJc w:val="left"/>
      <w:lvlText w:val="(%1)"/>
      <w:numFmt w:val="decimal"/>
      <w:start w:val="1"/>
    </w:lvl>
  </w:abstractNum>
  <w:abstractNum w:abstractNumId="14">
    <w:nsid w:val="62BBD95A"/>
    <w:multiLevelType w:val="hybridMultilevel"/>
    <w:lvl w:ilvl="0">
      <w:lvlJc w:val="left"/>
      <w:lvlText w:val="(%1)"/>
      <w:numFmt w:val="lowerRoman"/>
      <w:start w:val="7"/>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1)"/>
      <w:numFmt w:val="lowerRoman"/>
      <w:start w:val="1"/>
    </w:lvl>
  </w:abstractNum>
  <w:abstractNum w:abstractNumId="17">
    <w:nsid w:val="333AB105"/>
    <w:multiLevelType w:val="hybridMultilevel"/>
    <w:lvl w:ilvl="0">
      <w:lvlJc w:val="left"/>
      <w:lvlText w:val="%1"/>
      <w:numFmt w:val="decimal"/>
      <w:start w:val="104"/>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
      <w:numFmt w:val="bullet"/>
      <w:start w:val="1"/>
    </w:lvl>
  </w:abstractNum>
  <w:abstractNum w:abstractNumId="20">
    <w:nsid w:val="2D1D5AE9"/>
    <w:multiLevelType w:val="hybridMultilevel"/>
    <w:lvl w:ilvl="0">
      <w:lvlJc w:val="left"/>
      <w:lvlText w:val="†"/>
      <w:numFmt w:val="bullet"/>
      <w:start w:val="1"/>
    </w:lvl>
  </w:abstractNum>
  <w:abstractNum w:abstractNumId="21">
    <w:nsid w:val="6763845E"/>
    <w:multiLevelType w:val="hybridMultilevel"/>
    <w:lvl w:ilvl="0">
      <w:lvlJc w:val="left"/>
      <w:lvlText w:val="(%1)"/>
      <w:numFmt w:val="decimal"/>
      <w:start w:val="1"/>
    </w:lvl>
  </w:abstractNum>
  <w:abstractNum w:abstractNumId="22">
    <w:nsid w:val="75A2A8D4"/>
    <w:multiLevelType w:val="hybridMultilevel"/>
    <w:lvl w:ilvl="0">
      <w:lvlJc w:val="left"/>
      <w:lvlText w:val="(%1)"/>
      <w:numFmt w:val="decimal"/>
      <w:start w:val="5"/>
    </w:lvl>
  </w:abstractNum>
  <w:abstractNum w:abstractNumId="23">
    <w:nsid w:val="8EDBDA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24">
    <w:nsid w:val="79838CB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55" Type="http://schemas.openxmlformats.org/officeDocument/2006/relationships/hyperlink" Target="https://www.sec.gov/Archives/edgar/data/314489/000110465921005433/tm213479d1_ex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2021-05-06T15:42:52Z</dcterms:created>
  <dcterms:modified xsi:type="dcterms:W3CDTF">2021-05-06T15:42:52Z</dcterms:modified>
</cp:coreProperties>
</file>