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As filed with the Securities and Exchange Commission on September 16, 2026</w:t>
      </w:r>
    </w:p>
    <w:p>
      <w:pPr>
        <w:pStyle w:val="TextBody"/>
        <w:bidi w:val="0"/>
        <w:spacing w:lineRule="auto" w:line="240" w:before="120" w:after="283"/>
        <w:jc w:val="right"/>
        <w:rPr>
          <w:rFonts w:ascii="Proxima Nova;sans-serif" w:hAnsi="Proxima Nova;sans-serif"/>
          <w:b/>
          <w:color w:val="000000"/>
          <w:sz w:val="20"/>
        </w:rPr>
      </w:pPr>
      <w:r>
        <w:rPr>
          <w:rFonts w:ascii="Proxima Nova;sans-serif" w:hAnsi="Proxima Nova;sans-serif"/>
          <w:b/>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UNITED STATES</w:t>
        <w:br/>
        <w:t>SECURITIES AND EXCHANGE COMMISSION</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Washington, D.C. 20549</w:t>
      </w:r>
    </w:p>
    <w:p>
      <w:pPr>
        <w:pStyle w:val="TextBody"/>
        <w:bidi w:val="0"/>
        <w:spacing w:lineRule="auto" w:line="240" w:before="200" w:after="120"/>
        <w:jc w:val="center"/>
        <w:rPr>
          <w:rFonts w:ascii="Proxima Nova;sans-serif" w:hAnsi="Proxima Nova;sans-serif"/>
          <w:b/>
          <w:color w:val="000000"/>
          <w:sz w:val="36"/>
        </w:rPr>
      </w:pPr>
      <w:r>
        <w:rPr>
          <w:rFonts w:ascii="Proxima Nova;sans-serif" w:hAnsi="Proxima Nova;sans-serif"/>
          <w:b/>
          <w:color w:val="000000"/>
          <w:sz w:val="36"/>
        </w:rPr>
        <w:t>FORM S-3</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REGISTRATION STATEMENT UNDER 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drawing>
          <wp:inline distT="0" distB="0" distL="0" distR="0">
            <wp:extent cx="13906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457200"/>
                    </a:xfrm>
                    <a:prstGeom prst="rect">
                      <a:avLst/>
                    </a:prstGeom>
                  </pic:spPr>
                </pic:pic>
              </a:graphicData>
            </a:graphic>
          </wp:inline>
        </w:drawing>
      </w:r>
    </w:p>
    <w:p>
      <w:pPr>
        <w:pStyle w:val="TextBody"/>
        <w:bidi w:val="0"/>
        <w:spacing w:lineRule="auto" w:line="240" w:before="0" w:after="0"/>
        <w:jc w:val="center"/>
        <w:rPr>
          <w:rFonts w:ascii="Proxima Nova;sans-serif" w:hAnsi="Proxima Nova;sans-serif"/>
          <w:b/>
          <w:color w:val="000000"/>
          <w:sz w:val="40"/>
        </w:rPr>
      </w:pPr>
      <w:r>
        <w:rPr>
          <w:rFonts w:ascii="Proxima Nova;sans-serif" w:hAnsi="Proxima Nova;sans-serif"/>
          <w:b/>
          <w:color w:val="000000"/>
          <w:sz w:val="40"/>
        </w:rPr>
        <w:t>First Busey Corporation</w:t>
      </w:r>
    </w:p>
    <w:p>
      <w:pPr>
        <w:pStyle w:val="TextBody"/>
        <w:bidi w:val="0"/>
        <w:spacing w:lineRule="auto" w:line="240" w:before="0" w:after="0"/>
        <w:jc w:val="center"/>
        <w:rPr>
          <w:rFonts w:ascii="Proxima Nova;sans-serif" w:hAnsi="Proxima Nova;sans-serif"/>
          <w:b w:val="false"/>
          <w:color w:val="000000"/>
          <w:sz w:val="16"/>
        </w:rPr>
      </w:pPr>
      <w:r>
        <w:rPr>
          <w:rFonts w:ascii="Proxima Nova;sans-serif" w:hAnsi="Proxima Nova;sans-serif"/>
          <w:b w:val="false"/>
          <w:color w:val="000000"/>
          <w:sz w:val="16"/>
        </w:rPr>
        <w:t>(Exact name of Registrant as specified in its charter)</w:t>
      </w:r>
    </w:p>
    <w:p>
      <w:pPr>
        <w:pStyle w:val="TextBody"/>
        <w:bidi w:val="0"/>
        <w:spacing w:before="0" w:after="0"/>
        <w:jc w:val="center"/>
        <w:rPr/>
      </w:pPr>
      <w:r>
        <w:rPr/>
      </w:r>
    </w:p>
    <w:tbl>
      <w:tblPr>
        <w:tblW w:w="8351" w:type="dxa"/>
        <w:jc w:val="center"/>
        <w:tblInd w:w="0" w:type="dxa"/>
        <w:tblLayout w:type="fixed"/>
        <w:tblCellMar>
          <w:top w:w="28" w:type="dxa"/>
          <w:left w:w="28" w:type="dxa"/>
          <w:bottom w:w="28" w:type="dxa"/>
          <w:right w:w="28" w:type="dxa"/>
        </w:tblCellMar>
      </w:tblPr>
      <w:tblGrid>
        <w:gridCol w:w="1826"/>
        <w:gridCol w:w="1606"/>
        <w:gridCol w:w="1623"/>
        <w:gridCol w:w="109"/>
        <w:gridCol w:w="109"/>
        <w:gridCol w:w="109"/>
        <w:gridCol w:w="870"/>
        <w:gridCol w:w="870"/>
        <w:gridCol w:w="1229"/>
      </w:tblGrid>
      <w:tr>
        <w:trPr/>
        <w:tc>
          <w:tcPr>
            <w:tcW w:w="182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37-1078406</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6"/>
              </w:rPr>
            </w:pPr>
            <w:r>
              <w:rPr>
                <w:rFonts w:ascii="Proxima Nova;sans-serif" w:hAnsi="Proxima Nov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6"/>
              </w:rPr>
            </w:pPr>
            <w:r>
              <w:rPr>
                <w:rFonts w:ascii="Proxima Nova;sans-serif" w:hAnsi="Proxima Nova;sans-serif"/>
                <w:b w:val="false"/>
                <w:color w:val="000000"/>
                <w:sz w:val="16"/>
              </w:rPr>
              <w:t>(I.R.S. Employer 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pPr>
      <w:r>
        <w:rPr>
          <w:rFonts w:ascii="Proxima Nova;sans-serif" w:hAnsi="Proxima Nova;sans-serif"/>
          <w:b/>
          <w:color w:val="000000"/>
          <w:sz w:val="20"/>
        </w:rPr>
        <w:t>11440 Tomahawk Creek Parkway</w:t>
        <w:br/>
        <w:t>Leawood, Kansas 66211</w:t>
        <w:br/>
        <w:t>(913) 312-6800</w:t>
        <w:br/>
      </w:r>
      <w:r>
        <w:rPr>
          <w:rFonts w:ascii="Proxima Nova;sans-serif" w:hAnsi="Proxima Nova;sans-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pPr>
      <w:r>
        <w:rPr>
          <w:rFonts w:ascii="Proxima Nova;sans-serif" w:hAnsi="Proxima Nova;sans-serif"/>
          <w:b/>
          <w:color w:val="000000"/>
          <w:sz w:val="20"/>
        </w:rPr>
        <w:t>Van A. Dukeman</w:t>
        <w:br/>
        <w:t>Chairman, President, and Chief Executive Officer</w:t>
        <w:br/>
        <w:t>First Busey Corporation</w:t>
        <w:br/>
        <w:t>11440 Tomahawk Creek Parkway</w:t>
        <w:br/>
        <w:t>Leawood, Kansas 66211</w:t>
        <w:br/>
        <w:t>(913)</w:t>
      </w:r>
      <w:r>
        <w:rPr>
          <w:color w:val="000000"/>
        </w:rPr>
        <w:t xml:space="preserve"> </w:t>
      </w:r>
      <w:r>
        <w:rPr>
          <w:rFonts w:ascii="Proxima Nova;sans-serif" w:hAnsi="Proxima Nova;sans-serif"/>
          <w:b/>
          <w:color w:val="000000"/>
          <w:sz w:val="20"/>
        </w:rPr>
        <w:t>312-6800</w:t>
        <w:br/>
      </w:r>
      <w:r>
        <w:rPr>
          <w:rFonts w:ascii="Proxima Nova;sans-serif" w:hAnsi="Proxima Nova;sans-serif"/>
          <w:b w:val="false"/>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pPr>
      <w:r>
        <w:rPr>
          <w:rFonts w:ascii="Proxima Nova;sans-serif" w:hAnsi="Proxima Nova;sans-serif"/>
          <w:b/>
          <w:i/>
          <w:color w:val="000000"/>
          <w:sz w:val="20"/>
        </w:rPr>
        <w:t>Copies to:</w:t>
        <w:br/>
      </w:r>
      <w:bookmarkStart w:id="0" w:name="i15b9d565bc114b4195c1de825997e79f"/>
      <w:bookmarkEnd w:id="0"/>
      <w:r>
        <w:rPr>
          <w:rFonts w:ascii="Proxima Nova;sans-serif" w:hAnsi="Proxima Nova;sans-serif"/>
          <w:b/>
          <w:color w:val="000000"/>
          <w:sz w:val="20"/>
        </w:rPr>
        <w:t>Robert M. Fleetwood, Esq.</w:t>
        <w:br/>
        <w:t>Barack Ferrazzano Kirschbaum &amp; Nagelberg Llp</w:t>
        <w:br/>
        <w:t>200 West Madison Street, Suite 3900</w:t>
        <w:br/>
        <w:t>Chicago, Illinois 60606</w:t>
        <w:br/>
        <w:t>(312) 984-3100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pPr>
      <w:r>
        <w:rPr>
          <w:rFonts w:ascii="Proxima Nova;sans-serif" w:hAnsi="Proxima Nova;sans-serif"/>
          <w:b/>
          <w:color w:val="000000"/>
          <w:sz w:val="20"/>
        </w:rPr>
        <w:t>From time to time after the effective date of this registration statement.</w:t>
        <w:br/>
      </w:r>
      <w:r>
        <w:rPr>
          <w:rFonts w:ascii="Proxima Nova;sans-serif" w:hAnsi="Proxima Nova;sans-serif"/>
          <w:b w:val="false"/>
          <w:color w:val="000000"/>
          <w:sz w:val="16"/>
        </w:rPr>
        <w:t>(Approximate date of commencement of proposed sale to the public)</w:t>
      </w:r>
    </w:p>
    <w:p>
      <w:pPr>
        <w:pStyle w:val="TextBody"/>
        <w:bidi w:val="0"/>
        <w:spacing w:lineRule="auto" w:line="240"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the only securities being registered on this Form are being offered pursuant to dividend or interest reinvestment plans, please check the following box: ☐</w:t>
      </w:r>
    </w:p>
    <w:p>
      <w:pPr>
        <w:pStyle w:val="TextBody"/>
        <w:bidi w:val="0"/>
        <w:spacing w:lineRule="auto" w:line="240"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40"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40"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40"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40"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40" w:before="200" w:after="200"/>
        <w:jc w:val="both"/>
        <w:rPr>
          <w:rFonts w:ascii="Proxima Nova;sans-serif" w:hAnsi="Proxima Nova;sans-serif"/>
          <w:b w:val="false"/>
          <w:color w:val="000000"/>
          <w:sz w:val="20"/>
        </w:rPr>
      </w:pPr>
      <w:r>
        <w:rPr>
          <w:rFonts w:ascii="Proxima Nova;sans-serif" w:hAnsi="Proxima Nova;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w:t>
      </w:r>
    </w:p>
    <w:tbl>
      <w:tblPr>
        <w:tblW w:w="8500" w:type="dxa"/>
        <w:jc w:val="center"/>
        <w:tblInd w:w="0" w:type="dxa"/>
        <w:tblLayout w:type="fixed"/>
        <w:tblCellMar>
          <w:top w:w="28" w:type="dxa"/>
          <w:left w:w="28" w:type="dxa"/>
          <w:bottom w:w="28" w:type="dxa"/>
          <w:right w:w="28" w:type="dxa"/>
        </w:tblCellMar>
      </w:tblPr>
      <w:tblGrid>
        <w:gridCol w:w="1006"/>
        <w:gridCol w:w="882"/>
        <w:gridCol w:w="886"/>
        <w:gridCol w:w="109"/>
        <w:gridCol w:w="109"/>
        <w:gridCol w:w="109"/>
        <w:gridCol w:w="989"/>
        <w:gridCol w:w="989"/>
        <w:gridCol w:w="992"/>
        <w:gridCol w:w="711"/>
        <w:gridCol w:w="711"/>
        <w:gridCol w:w="1007"/>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Proxima Nova;sans-serif" w:hAnsi="Proxima Nova;sans-serif"/>
                <w:b w:val="false"/>
                <w:color w:val="000000"/>
                <w:sz w:val="20"/>
              </w:rPr>
            </w:pPr>
            <w:r>
              <w:rPr>
                <w:rFonts w:ascii="Proxima Nova;sans-serif" w:hAnsi="Proxima Nova;sans-serif"/>
                <w:b w:val="false"/>
                <w:color w:val="000000"/>
                <w:sz w:val="20"/>
              </w:rPr>
              <w:t>Accelerated filer ☐</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Proxima Nova;sans-serif" w:hAnsi="Proxima Nova;sans-serif"/>
                <w:b w:val="false"/>
                <w:color w:val="000000"/>
                <w:sz w:val="20"/>
              </w:rPr>
            </w:pPr>
            <w:r>
              <w:rPr>
                <w:rFonts w:ascii="Proxima Nova;sans-serif" w:hAnsi="Proxima Nova;sans-serif"/>
                <w:b w:val="false"/>
                <w:color w:val="000000"/>
                <w:sz w:val="20"/>
              </w:rPr>
              <w:t>Non-accelerated filer ☐</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00"/>
              <w:jc w:val="left"/>
              <w:rPr>
                <w:color w:val="000000"/>
              </w:rPr>
            </w:pPr>
            <w:r>
              <w:rPr>
                <w:color w:val="000000"/>
              </w:rPr>
              <w:t>☐</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Proxima Nova;sans-serif" w:hAnsi="Proxima Nova;sans-serif"/>
                <w:b w:val="false"/>
                <w:color w:val="000000"/>
                <w:sz w:val="20"/>
              </w:rPr>
            </w:pPr>
            <w:r>
              <w:rPr>
                <w:rFonts w:ascii="Proxima Nova;sans-serif" w:hAnsi="Proxima Nova;sans-serif"/>
                <w:b w:val="false"/>
                <w:color w:val="000000"/>
                <w:sz w:val="20"/>
              </w:rPr>
              <w:t>Emerging growth company ☐</w:t>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9610"/>
                <wp:effectExtent l="0" t="0" r="0" b="0"/>
                <wp:wrapNone/>
                <wp:docPr id="2"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226.8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bookmarkStart w:id="1" w:name="i28801e0e8fbf401d985e5ac9cdb8ad10"/>
      <w:bookmarkEnd w:id="1"/>
      <w:r>
        <w:rPr>
          <w:rFonts w:ascii="Proxima Nova;sans-serif" w:hAnsi="Proxima Nova;sans-serif"/>
          <w:b/>
          <w:color w:val="000000"/>
          <w:sz w:val="20"/>
        </w:rPr>
        <w:t>TABLE OF CONTENTS</w:t>
      </w:r>
    </w:p>
    <w:tbl>
      <w:tblPr>
        <w:tblW w:w="6284" w:type="dxa"/>
        <w:jc w:val="left"/>
        <w:tblInd w:w="0" w:type="dxa"/>
        <w:tblLayout w:type="fixed"/>
        <w:tblCellMar>
          <w:top w:w="28" w:type="dxa"/>
          <w:left w:w="28" w:type="dxa"/>
          <w:bottom w:w="28" w:type="dxa"/>
          <w:right w:w="28" w:type="dxa"/>
        </w:tblCellMar>
      </w:tblPr>
      <w:tblGrid>
        <w:gridCol w:w="2103"/>
        <w:gridCol w:w="1848"/>
        <w:gridCol w:w="1854"/>
        <w:gridCol w:w="140"/>
        <w:gridCol w:w="140"/>
        <w:gridCol w:w="199"/>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a190f8300f0543caa8f2a32b51123d69">
              <w:r>
                <w:rPr>
                  <w:rStyle w:val="InternetLink"/>
                  <w:rFonts w:ascii="Arial;sans-serif" w:hAnsi="Arial;sans-serif"/>
                  <w:b w:val="false"/>
                  <w:strike w:val="false"/>
                  <w:dstrike w:val="false"/>
                  <w:color w:val="000000"/>
                  <w:sz w:val="24"/>
                  <w:u w:val="none"/>
                  <w:effect w:val="none"/>
                </w:rPr>
                <w:t>PROSPECTUS</w:t>
              </w:r>
            </w:hyperlink>
          </w:p>
        </w:tc>
        <w:tc>
          <w:tcPr>
            <w:tcW w:w="47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a190f8300f0543caa8f2a32b51123d69">
              <w:r>
                <w:rPr>
                  <w:rStyle w:val="InternetLink"/>
                  <w:rFonts w:ascii="Arial;sans-serif" w:hAnsi="Arial;sans-serif"/>
                  <w:b w:val="false"/>
                  <w:strike w:val="false"/>
                  <w:dstrike w:val="false"/>
                  <w:color w:val="000000"/>
                  <w:sz w:val="24"/>
                  <w:u w:val="none"/>
                  <w:effect w:val="none"/>
                </w:rPr>
                <w:t>1</w:t>
              </w:r>
            </w:hyperlink>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08f6555054f441ba72f038a6cb60a2f">
              <w:r>
                <w:rPr>
                  <w:rStyle w:val="InternetLink"/>
                  <w:rFonts w:ascii="Arial;sans-serif" w:hAnsi="Arial;sans-serif"/>
                  <w:b w:val="false"/>
                  <w:strike w:val="false"/>
                  <w:dstrike w:val="false"/>
                  <w:color w:val="000000"/>
                  <w:sz w:val="24"/>
                  <w:u w:val="none"/>
                  <w:effect w:val="none"/>
                </w:rPr>
                <w:t>INFORMATION NOT REQUIRED IN PROSPECTUS</w:t>
              </w:r>
            </w:hyperlink>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08f6555054f441ba72f038a6cb60a2f">
              <w:r>
                <w:rPr>
                  <w:rStyle w:val="InternetLink"/>
                  <w:rFonts w:ascii="Arial;sans-serif" w:hAnsi="Arial;sans-serif"/>
                  <w:b w:val="false"/>
                  <w:strike w:val="false"/>
                  <w:dstrike w:val="false"/>
                  <w:color w:val="000000"/>
                  <w:sz w:val="24"/>
                  <w:u w:val="none"/>
                  <w:effect w:val="none"/>
                </w:rPr>
                <w:t>II-1</w:t>
              </w:r>
            </w:hyperlink>
          </w:p>
        </w:tc>
      </w:tr>
      <w:tr>
        <w:trPr/>
        <w:tc>
          <w:tcPr>
            <w:tcW w:w="580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010cc2974c1d4b57a587395c5b41b73e">
              <w:r>
                <w:rPr>
                  <w:rStyle w:val="InternetLink"/>
                  <w:rFonts w:ascii="Arial;sans-serif" w:hAnsi="Arial;sans-serif"/>
                  <w:b w:val="false"/>
                  <w:strike w:val="false"/>
                  <w:dstrike w:val="false"/>
                  <w:color w:val="000000"/>
                  <w:sz w:val="24"/>
                  <w:u w:val="none"/>
                  <w:effect w:val="none"/>
                </w:rPr>
                <w:t>Item 14. Other Expenses of Issuance and Distribution.</w:t>
              </w:r>
            </w:hyperlink>
          </w:p>
        </w:tc>
        <w:tc>
          <w:tcPr>
            <w:tcW w:w="47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010cc2974c1d4b57a587395c5b41b73e">
              <w:r>
                <w:rPr>
                  <w:rStyle w:val="InternetLink"/>
                  <w:rFonts w:ascii="Arial;sans-serif" w:hAnsi="Arial;sans-serif"/>
                  <w:b w:val="false"/>
                  <w:strike w:val="false"/>
                  <w:dstrike w:val="false"/>
                  <w:color w:val="000000"/>
                  <w:sz w:val="24"/>
                  <w:u w:val="none"/>
                  <w:effect w:val="none"/>
                </w:rPr>
                <w:t>II-1</w:t>
              </w:r>
            </w:hyperlink>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56cf322f1e345b993c8afe154c6fa11">
              <w:r>
                <w:rPr>
                  <w:rStyle w:val="InternetLink"/>
                  <w:rFonts w:ascii="Arial;sans-serif" w:hAnsi="Arial;sans-serif"/>
                  <w:b w:val="false"/>
                  <w:strike w:val="false"/>
                  <w:dstrike w:val="false"/>
                  <w:color w:val="000000"/>
                  <w:sz w:val="24"/>
                  <w:u w:val="none"/>
                  <w:effect w:val="none"/>
                </w:rPr>
                <w:t>Item 15. Indemnification of Directors and Officers.</w:t>
              </w:r>
            </w:hyperlink>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56cf322f1e345b993c8afe154c6fa11">
              <w:r>
                <w:rPr>
                  <w:rStyle w:val="InternetLink"/>
                  <w:rFonts w:ascii="Arial;sans-serif" w:hAnsi="Arial;sans-serif"/>
                  <w:b w:val="false"/>
                  <w:strike w:val="false"/>
                  <w:dstrike w:val="false"/>
                  <w:color w:val="000000"/>
                  <w:sz w:val="24"/>
                  <w:u w:val="none"/>
                  <w:effect w:val="none"/>
                </w:rPr>
                <w:t>II-1</w:t>
              </w:r>
            </w:hyperlink>
          </w:p>
        </w:tc>
      </w:tr>
      <w:tr>
        <w:trPr/>
        <w:tc>
          <w:tcPr>
            <w:tcW w:w="580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56c322ddd2434256948711ea3118e86a">
              <w:r>
                <w:rPr>
                  <w:rStyle w:val="InternetLink"/>
                  <w:rFonts w:ascii="Arial;sans-serif" w:hAnsi="Arial;sans-serif"/>
                  <w:b w:val="false"/>
                  <w:strike w:val="false"/>
                  <w:dstrike w:val="false"/>
                  <w:color w:val="000000"/>
                  <w:sz w:val="24"/>
                  <w:u w:val="none"/>
                  <w:effect w:val="none"/>
                </w:rPr>
                <w:t>Item 16. Exhibits.</w:t>
              </w:r>
            </w:hyperlink>
          </w:p>
        </w:tc>
        <w:tc>
          <w:tcPr>
            <w:tcW w:w="47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56c322ddd2434256948711ea3118e86a">
              <w:r>
                <w:rPr>
                  <w:rStyle w:val="InternetLink"/>
                  <w:rFonts w:ascii="Arial;sans-serif" w:hAnsi="Arial;sans-serif"/>
                  <w:b w:val="false"/>
                  <w:strike w:val="false"/>
                  <w:dstrike w:val="false"/>
                  <w:color w:val="000000"/>
                  <w:sz w:val="24"/>
                  <w:u w:val="none"/>
                  <w:effect w:val="none"/>
                </w:rPr>
                <w:t>II-3</w:t>
              </w:r>
            </w:hyperlink>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4b534da622e4c9a8fd52ecc1930375c">
              <w:r>
                <w:rPr>
                  <w:rStyle w:val="InternetLink"/>
                  <w:rFonts w:ascii="Arial;sans-serif" w:hAnsi="Arial;sans-serif"/>
                  <w:b w:val="false"/>
                  <w:strike w:val="false"/>
                  <w:dstrike w:val="false"/>
                  <w:color w:val="000000"/>
                  <w:sz w:val="24"/>
                  <w:u w:val="none"/>
                  <w:effect w:val="none"/>
                </w:rPr>
                <w:t>Item 17. Undertakings.</w:t>
              </w:r>
            </w:hyperlink>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4b534da622e4c9a8fd52ecc1930375c">
              <w:r>
                <w:rPr>
                  <w:rStyle w:val="InternetLink"/>
                  <w:rFonts w:ascii="Arial;sans-serif" w:hAnsi="Arial;sans-serif"/>
                  <w:b w:val="false"/>
                  <w:strike w:val="false"/>
                  <w:dstrike w:val="false"/>
                  <w:color w:val="000000"/>
                  <w:sz w:val="24"/>
                  <w:u w:val="none"/>
                  <w:effect w:val="none"/>
                </w:rPr>
                <w:t>II-5</w:t>
              </w:r>
            </w:hyperlink>
          </w:p>
        </w:tc>
      </w:tr>
      <w:tr>
        <w:trPr/>
        <w:tc>
          <w:tcPr>
            <w:tcW w:w="580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886d1cfebb2d4e2ab607ef844957fa36">
              <w:r>
                <w:rPr>
                  <w:rStyle w:val="InternetLink"/>
                  <w:rFonts w:ascii="Arial;sans-serif" w:hAnsi="Arial;sans-serif"/>
                  <w:b w:val="false"/>
                  <w:strike w:val="false"/>
                  <w:dstrike w:val="false"/>
                  <w:color w:val="000000"/>
                  <w:sz w:val="24"/>
                  <w:u w:val="none"/>
                  <w:effect w:val="none"/>
                </w:rPr>
                <w:t>SIGNATURES</w:t>
              </w:r>
            </w:hyperlink>
          </w:p>
        </w:tc>
        <w:tc>
          <w:tcPr>
            <w:tcW w:w="47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886d1cfebb2d4e2ab607ef844957fa36">
              <w:r>
                <w:rPr>
                  <w:rStyle w:val="InternetLink"/>
                  <w:rFonts w:ascii="Arial;sans-serif" w:hAnsi="Arial;sans-serif"/>
                  <w:b w:val="false"/>
                  <w:strike w:val="false"/>
                  <w:dstrike w:val="false"/>
                  <w:color w:val="000000"/>
                  <w:sz w:val="24"/>
                  <w:u w:val="none"/>
                  <w:effect w:val="none"/>
                </w:rPr>
                <w:t>II-8</w:t>
              </w:r>
            </w:hyperlink>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be5c816c41e4bda9b77d136f21a6ec0">
              <w:r>
                <w:rPr>
                  <w:rStyle w:val="InternetLink"/>
                  <w:rFonts w:ascii="Arial;sans-serif" w:hAnsi="Arial;sans-serif"/>
                  <w:b w:val="false"/>
                  <w:strike w:val="false"/>
                  <w:dstrike w:val="false"/>
                  <w:color w:val="000000"/>
                  <w:sz w:val="24"/>
                  <w:u w:val="none"/>
                  <w:effect w:val="none"/>
                </w:rPr>
                <w:t>POWER OF ATTORNEY</w:t>
              </w:r>
            </w:hyperlink>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be5c816c41e4bda9b77d136f21a6ec0">
              <w:r>
                <w:rPr>
                  <w:rStyle w:val="InternetLink"/>
                  <w:rFonts w:ascii="Arial;sans-serif" w:hAnsi="Arial;sans-serif"/>
                  <w:b w:val="false"/>
                  <w:strike w:val="false"/>
                  <w:dstrike w:val="false"/>
                  <w:color w:val="000000"/>
                  <w:sz w:val="24"/>
                  <w:u w:val="none"/>
                  <w:effect w:val="none"/>
                </w:rPr>
                <w:t>II-9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p>
      <w:pPr>
        <w:pStyle w:val="TextBody"/>
        <w:bidi w:val="0"/>
        <w:spacing w:lineRule="auto" w:line="288" w:before="200" w:after="200"/>
        <w:jc w:val="left"/>
        <w:rPr>
          <w:rFonts w:ascii="Proxima Nova;sans-serif" w:hAnsi="Proxima Nova;sans-serif"/>
          <w:b/>
          <w:color w:val="000000"/>
          <w:sz w:val="24"/>
        </w:rPr>
      </w:pPr>
      <w:bookmarkStart w:id="2" w:name="ia190f8300f0543caa8f2a32b51123d69"/>
      <w:bookmarkEnd w:id="2"/>
      <w:r>
        <w:rPr>
          <w:rFonts w:ascii="Proxima Nova;sans-serif" w:hAnsi="Proxima Nova;sans-serif"/>
          <w:b/>
          <w:color w:val="000000"/>
          <w:sz w:val="24"/>
        </w:rPr>
        <w:t>PROSPECTUS</w:t>
      </w:r>
    </w:p>
    <w:p>
      <w:pPr>
        <w:pStyle w:val="TextBody"/>
        <w:bidi w:val="0"/>
        <w:spacing w:before="200" w:after="200"/>
        <w:jc w:val="center"/>
        <w:rPr/>
      </w:pPr>
      <w:r>
        <w:rPr/>
        <w:drawing>
          <wp:inline distT="0" distB="0" distL="0" distR="0">
            <wp:extent cx="2790825" cy="914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790825" cy="914400"/>
                    </a:xfrm>
                    <a:prstGeom prst="rect">
                      <a:avLst/>
                    </a:prstGeom>
                  </pic:spPr>
                </pic:pic>
              </a:graphicData>
            </a:graphic>
          </wp:inline>
        </w:drawing>
      </w:r>
    </w:p>
    <w:p>
      <w:pPr>
        <w:pStyle w:val="TextBody"/>
        <w:bidi w:val="0"/>
        <w:spacing w:lineRule="auto" w:line="288" w:before="200" w:after="200"/>
        <w:jc w:val="center"/>
        <w:rPr>
          <w:rFonts w:ascii="Proxima Nova;sans-serif" w:hAnsi="Proxima Nova;sans-serif"/>
          <w:b/>
          <w:color w:val="000000"/>
          <w:sz w:val="32"/>
        </w:rPr>
      </w:pPr>
      <w:r>
        <w:rPr>
          <w:rFonts w:ascii="Proxima Nova;sans-serif" w:hAnsi="Proxima Nova;sans-serif"/>
          <w:b/>
          <w:color w:val="000000"/>
          <w:sz w:val="32"/>
        </w:rPr>
        <w:t>FIRST BUSEY CORPORATION</w:t>
      </w:r>
    </w:p>
    <w:p>
      <w:pPr>
        <w:pStyle w:val="TextBody"/>
        <w:bidi w:val="0"/>
        <w:spacing w:lineRule="auto" w:line="288" w:before="200" w:after="283"/>
        <w:jc w:val="center"/>
        <w:rPr>
          <w:rFonts w:ascii="Proxima Nova;sans-serif" w:hAnsi="Proxima Nova;sans-serif"/>
          <w:b/>
          <w:color w:val="000000"/>
          <w:sz w:val="20"/>
        </w:rPr>
      </w:pPr>
      <w:bookmarkStart w:id="3" w:name="i594b03493c8e448b88a80be415e748bf"/>
      <w:bookmarkEnd w:id="3"/>
      <w:r>
        <w:rPr>
          <w:rFonts w:ascii="Proxima Nova;sans-serif" w:hAnsi="Proxima Nova;sans-serif"/>
          <w:b/>
          <w:color w:val="000000"/>
          <w:sz w:val="20"/>
        </w:rPr>
        <w:t>Common Stock</w:t>
        <w:br/>
        <w:t>Preferred Stock</w:t>
        <w:br/>
        <w:t>Debt Securities</w:t>
        <w:br/>
        <w:t>Warrants</w:t>
        <w:br/>
        <w:t>Subscription Rights</w:t>
        <w:br/>
        <w:t>Stock Purchase Contracts</w:t>
        <w:br/>
        <w:t>Stock Purchase Units</w:t>
        <w:br/>
        <w:t>Units</w:t>
        <w:br/>
        <w:t>Depositary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offer and sell, from time to time, in one or more offerings, together or separately, any combination of the securities described in this prospectus. 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This prospectus may not be used to sell securities unless accompanied by the applicable prospectus supplement. Before investing, you should carefully read this prospectus and any related prospectus supplement.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offer and sell these securities to or through one or more underwriters, dealers and agents, or directly to purchasers, on a continuous or delayed basis. If an offering of securities involves any underwriters, dealers or agents, then the prospectus supplement will name the underwriters, dealers or agents and will provide information regarding any fee, commission or discount arrangements made with those underwriters, dealers or agents.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Our common stock is listed on the Nasdaq Global Select Market under the ticker symbol “BUSE.” Our depositary shares each representing a 1/40th ownership interest in a share of our 8.25% Fixed-Rate Series B Non-Cumulative Perpetual Preferred Stock are listed on the Nasdaq Global Select Market under the ticker symbol “BUSEP.” Our principal executive offices are located at 11440 Tomahawk Creek Parkway, Leawood, Kansas 66211, and our telephone number is (913) 312-6800.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Investing in our securities involves risks. You should refer to the section entitled “Risk Factors” on page 1 of this prospectus, as well as the risk factors included in any applicable prospectus supplement and certain of our periodic reports and other information that we file with the Securities and Exchange Commission and carefully consider that information before buying our securities.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These securities are not savings accounts, deposits or other obligations of any bank and are not insured or guaranteed by the Federal Deposit Insurance Corporation or any other governmental agency.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4955"/>
                <wp:effectExtent l="0" t="0" r="0" b="0"/>
                <wp:wrapNone/>
                <wp:docPr id="5" name="Frame3"/>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The date of this prospectus is September 16, 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The date of this prospectus is September 16, 2026.</w:t>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bookmarkStart w:id="4" w:name="i698434d3135c4f098475433baadff092"/>
      <w:bookmarkEnd w:id="4"/>
      <w:r>
        <w:rPr>
          <w:rFonts w:ascii="Proxima Nova;sans-serif" w:hAnsi="Proxima Nova;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49"/>
        <w:gridCol w:w="3113"/>
        <w:gridCol w:w="3121"/>
        <w:gridCol w:w="123"/>
        <w:gridCol w:w="123"/>
        <w:gridCol w:w="176"/>
      </w:tblGrid>
      <w:tr>
        <w:trPr/>
        <w:tc>
          <w:tcPr>
            <w:tcW w:w="3549"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4d95aa5a93f9446197b33aca20c186b9">
              <w:r>
                <w:rPr>
                  <w:rStyle w:val="InternetLink"/>
                  <w:rFonts w:ascii="Arial;sans-serif" w:hAnsi="Arial;sans-serif"/>
                  <w:b w:val="false"/>
                  <w:strike w:val="false"/>
                  <w:dstrike w:val="false"/>
                  <w:color w:val="000000"/>
                  <w:sz w:val="24"/>
                  <w:u w:val="none"/>
                  <w:effect w:val="none"/>
                </w:rPr>
                <w:t>ABOUT THIS PROSPECTUS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4d95aa5a93f9446197b33aca20c186b9">
              <w:r>
                <w:rPr>
                  <w:rStyle w:val="InternetLink"/>
                  <w:rFonts w:ascii="Arial;sans-serif" w:hAnsi="Arial;sans-serif"/>
                  <w:b w:val="false"/>
                  <w:strike w:val="false"/>
                  <w:dstrike w:val="false"/>
                  <w:color w:val="000000"/>
                  <w:sz w:val="24"/>
                  <w:u w:val="none"/>
                  <w:effect w:val="none"/>
                </w:rPr>
                <w:t>1</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deb49c2b1d44d8a97196f351d146c4e">
              <w:r>
                <w:rPr>
                  <w:rStyle w:val="InternetLink"/>
                  <w:rFonts w:ascii="Arial;sans-serif" w:hAnsi="Arial;sans-serif"/>
                  <w:b w:val="false"/>
                  <w:strike w:val="false"/>
                  <w:dstrike w:val="false"/>
                  <w:color w:val="000000"/>
                  <w:sz w:val="24"/>
                  <w:u w:val="none"/>
                  <w:effect w:val="none"/>
                </w:rPr>
                <w:t>RISK FACTORS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deb49c2b1d44d8a97196f351d146c4e">
              <w:r>
                <w:rPr>
                  <w:rStyle w:val="InternetLink"/>
                  <w:rFonts w:ascii="Arial;sans-serif" w:hAnsi="Arial;sans-serif"/>
                  <w:b w:val="false"/>
                  <w:strike w:val="false"/>
                  <w:dstrike w:val="false"/>
                  <w:color w:val="000000"/>
                  <w:sz w:val="24"/>
                  <w:u w:val="none"/>
                  <w:effect w:val="none"/>
                </w:rPr>
                <w:t>1</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d954f767a7a347989b0908acf35ba445">
              <w:r>
                <w:rPr>
                  <w:rStyle w:val="InternetLink"/>
                  <w:rFonts w:ascii="Arial;sans-serif" w:hAnsi="Arial;sans-serif"/>
                  <w:b w:val="false"/>
                  <w:strike w:val="false"/>
                  <w:dstrike w:val="false"/>
                  <w:color w:val="000000"/>
                  <w:sz w:val="24"/>
                  <w:u w:val="none"/>
                  <w:effect w:val="none"/>
                </w:rPr>
                <w:t>FIRST BUSEY CORPORATION</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d954f767a7a347989b0908acf35ba445">
              <w:r>
                <w:rPr>
                  <w:rStyle w:val="InternetLink"/>
                  <w:rFonts w:ascii="Arial;sans-serif" w:hAnsi="Arial;sans-serif"/>
                  <w:b w:val="false"/>
                  <w:strike w:val="false"/>
                  <w:dstrike w:val="false"/>
                  <w:color w:val="000000"/>
                  <w:sz w:val="24"/>
                  <w:u w:val="none"/>
                  <w:effect w:val="none"/>
                </w:rPr>
                <w:t>1</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da25a24772e4d168303e59134ee15d0">
              <w:r>
                <w:rPr>
                  <w:rStyle w:val="InternetLink"/>
                  <w:rFonts w:ascii="Arial;sans-serif" w:hAnsi="Arial;sans-serif"/>
                  <w:b w:val="false"/>
                  <w:strike w:val="false"/>
                  <w:dstrike w:val="false"/>
                  <w:color w:val="000000"/>
                  <w:sz w:val="24"/>
                  <w:u w:val="none"/>
                  <w:effect w:val="none"/>
                </w:rPr>
                <w:t>USE OF PROCEEDS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da25a24772e4d168303e59134ee15d0">
              <w:r>
                <w:rPr>
                  <w:rStyle w:val="InternetLink"/>
                  <w:rFonts w:ascii="Arial;sans-serif" w:hAnsi="Arial;sans-serif"/>
                  <w:b w:val="false"/>
                  <w:strike w:val="false"/>
                  <w:dstrike w:val="false"/>
                  <w:color w:val="000000"/>
                  <w:sz w:val="24"/>
                  <w:u w:val="none"/>
                  <w:effect w:val="none"/>
                </w:rPr>
                <w:t>2</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6f9dfa0a65334822a8c52e6cee855f62">
              <w:r>
                <w:rPr>
                  <w:rStyle w:val="InternetLink"/>
                  <w:rFonts w:ascii="Arial;sans-serif" w:hAnsi="Arial;sans-serif"/>
                  <w:b w:val="false"/>
                  <w:strike w:val="false"/>
                  <w:dstrike w:val="false"/>
                  <w:color w:val="000000"/>
                  <w:sz w:val="24"/>
                  <w:u w:val="none"/>
                  <w:effect w:val="none"/>
                </w:rPr>
                <w:t>DESCRIPTION OF CAPITAL STOCK</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6f9dfa0a65334822a8c52e6cee855f62">
              <w:r>
                <w:rPr>
                  <w:rStyle w:val="InternetLink"/>
                  <w:rFonts w:ascii="Arial;sans-serif" w:hAnsi="Arial;sans-serif"/>
                  <w:b w:val="false"/>
                  <w:strike w:val="false"/>
                  <w:dstrike w:val="false"/>
                  <w:color w:val="000000"/>
                  <w:sz w:val="24"/>
                  <w:u w:val="none"/>
                  <w:effect w:val="none"/>
                </w:rPr>
                <w:t>3</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5525f6ce04a45a4f24e3579702943">
              <w:r>
                <w:rPr>
                  <w:rStyle w:val="InternetLink"/>
                  <w:rFonts w:ascii="Arial;sans-serif" w:hAnsi="Arial;sans-serif"/>
                  <w:b w:val="false"/>
                  <w:strike w:val="false"/>
                  <w:dstrike w:val="false"/>
                  <w:color w:val="000000"/>
                  <w:sz w:val="24"/>
                  <w:u w:val="none"/>
                  <w:effect w:val="none"/>
                </w:rPr>
                <w:t>General</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5525f6ce04a45a4f24e3579702943">
              <w:r>
                <w:rPr>
                  <w:rStyle w:val="InternetLink"/>
                  <w:rFonts w:ascii="Arial;sans-serif" w:hAnsi="Arial;sans-serif"/>
                  <w:b w:val="false"/>
                  <w:strike w:val="false"/>
                  <w:dstrike w:val="false"/>
                  <w:color w:val="000000"/>
                  <w:sz w:val="24"/>
                  <w:u w:val="none"/>
                  <w:effect w:val="none"/>
                </w:rPr>
                <w:t>3</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73704eb2f1734568aa259cc36916c150">
              <w:r>
                <w:rPr>
                  <w:rStyle w:val="InternetLink"/>
                  <w:rFonts w:ascii="Arial;sans-serif" w:hAnsi="Arial;sans-serif"/>
                  <w:b w:val="false"/>
                  <w:strike w:val="false"/>
                  <w:dstrike w:val="false"/>
                  <w:color w:val="000000"/>
                  <w:sz w:val="24"/>
                  <w:u w:val="none"/>
                  <w:effect w:val="none"/>
                </w:rPr>
                <w:t>Common Stock</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73704eb2f1734568aa259cc36916c150">
              <w:r>
                <w:rPr>
                  <w:rStyle w:val="InternetLink"/>
                  <w:rFonts w:ascii="Arial;sans-serif" w:hAnsi="Arial;sans-serif"/>
                  <w:b w:val="false"/>
                  <w:strike w:val="false"/>
                  <w:dstrike w:val="false"/>
                  <w:color w:val="000000"/>
                  <w:sz w:val="24"/>
                  <w:u w:val="none"/>
                  <w:effect w:val="none"/>
                </w:rPr>
                <w:t>3</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8927b42cd044d1f88675177a83cff6c">
              <w:r>
                <w:rPr>
                  <w:rStyle w:val="InternetLink"/>
                  <w:rFonts w:ascii="Arial;sans-serif" w:hAnsi="Arial;sans-serif"/>
                  <w:b w:val="false"/>
                  <w:strike w:val="false"/>
                  <w:dstrike w:val="false"/>
                  <w:color w:val="000000"/>
                  <w:sz w:val="24"/>
                  <w:u w:val="none"/>
                  <w:effect w:val="none"/>
                </w:rPr>
                <w:t>Anti-Takeover Provisions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8927b42cd044d1f88675177a83cff6c">
              <w:r>
                <w:rPr>
                  <w:rStyle w:val="InternetLink"/>
                  <w:rFonts w:ascii="Arial;sans-serif" w:hAnsi="Arial;sans-serif"/>
                  <w:b w:val="false"/>
                  <w:strike w:val="false"/>
                  <w:dstrike w:val="false"/>
                  <w:color w:val="000000"/>
                  <w:sz w:val="24"/>
                  <w:u w:val="none"/>
                  <w:effect w:val="none"/>
                </w:rPr>
                <w:t>5</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bd6a6978ec8c409d8a34955a3ba48165">
              <w:r>
                <w:rPr>
                  <w:rStyle w:val="InternetLink"/>
                  <w:rFonts w:ascii="Arial;sans-serif" w:hAnsi="Arial;sans-serif"/>
                  <w:b w:val="false"/>
                  <w:strike w:val="false"/>
                  <w:dstrike w:val="false"/>
                  <w:color w:val="000000"/>
                  <w:sz w:val="24"/>
                  <w:u w:val="none"/>
                  <w:effect w:val="none"/>
                </w:rPr>
                <w:t>Preferred Stock</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bd6a6978ec8c409d8a34955a3ba48165">
              <w:r>
                <w:rPr>
                  <w:rStyle w:val="InternetLink"/>
                  <w:rFonts w:ascii="Arial;sans-serif" w:hAnsi="Arial;sans-serif"/>
                  <w:b w:val="false"/>
                  <w:strike w:val="false"/>
                  <w:dstrike w:val="false"/>
                  <w:color w:val="000000"/>
                  <w:sz w:val="24"/>
                  <w:u w:val="none"/>
                  <w:effect w:val="none"/>
                </w:rPr>
                <w:t>6</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feef260cc1435695fd12ad9211fd34">
              <w:r>
                <w:rPr>
                  <w:rStyle w:val="InternetLink"/>
                  <w:rFonts w:ascii="Arial;sans-serif" w:hAnsi="Arial;sans-serif"/>
                  <w:b w:val="false"/>
                  <w:strike w:val="false"/>
                  <w:dstrike w:val="false"/>
                  <w:color w:val="000000"/>
                  <w:sz w:val="24"/>
                  <w:u w:val="none"/>
                  <w:effect w:val="none"/>
                </w:rPr>
                <w:t>DESCRIPTION OF DEBT SECURITIES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feef260cc1435695fd12ad9211fd34">
              <w:r>
                <w:rPr>
                  <w:rStyle w:val="InternetLink"/>
                  <w:rFonts w:ascii="Arial;sans-serif" w:hAnsi="Arial;sans-serif"/>
                  <w:b w:val="false"/>
                  <w:strike w:val="false"/>
                  <w:dstrike w:val="false"/>
                  <w:color w:val="000000"/>
                  <w:sz w:val="24"/>
                  <w:u w:val="none"/>
                  <w:effect w:val="none"/>
                </w:rPr>
                <w:t>7</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e3839e0099d0416da84ce733bc2fdeb2">
              <w:r>
                <w:rPr>
                  <w:rStyle w:val="InternetLink"/>
                  <w:rFonts w:ascii="Arial;sans-serif" w:hAnsi="Arial;sans-serif"/>
                  <w:b w:val="false"/>
                  <w:strike w:val="false"/>
                  <w:dstrike w:val="false"/>
                  <w:color w:val="000000"/>
                  <w:sz w:val="24"/>
                  <w:u w:val="none"/>
                  <w:effect w:val="none"/>
                </w:rPr>
                <w:t>General</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e3839e0099d0416da84ce733bc2fdeb2">
              <w:r>
                <w:rPr>
                  <w:rStyle w:val="InternetLink"/>
                  <w:rFonts w:ascii="Arial;sans-serif" w:hAnsi="Arial;sans-serif"/>
                  <w:b w:val="false"/>
                  <w:strike w:val="false"/>
                  <w:dstrike w:val="false"/>
                  <w:color w:val="000000"/>
                  <w:sz w:val="24"/>
                  <w:u w:val="none"/>
                  <w:effect w:val="none"/>
                </w:rPr>
                <w:t>7</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1e35d1d46da4ac3bfce26abbd0e2df7">
              <w:r>
                <w:rPr>
                  <w:rStyle w:val="InternetLink"/>
                  <w:rFonts w:ascii="Arial;sans-serif" w:hAnsi="Arial;sans-serif"/>
                  <w:b w:val="false"/>
                  <w:strike w:val="false"/>
                  <w:dstrike w:val="false"/>
                  <w:color w:val="000000"/>
                  <w:sz w:val="24"/>
                  <w:u w:val="none"/>
                  <w:effect w:val="none"/>
                </w:rPr>
                <w:t>Covenants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1e35d1d46da4ac3bfce26abbd0e2df7">
              <w:r>
                <w:rPr>
                  <w:rStyle w:val="InternetLink"/>
                  <w:rFonts w:ascii="Arial;sans-serif" w:hAnsi="Arial;sans-serif"/>
                  <w:b w:val="false"/>
                  <w:strike w:val="false"/>
                  <w:dstrike w:val="false"/>
                  <w:color w:val="000000"/>
                  <w:sz w:val="24"/>
                  <w:u w:val="none"/>
                  <w:effect w:val="none"/>
                </w:rPr>
                <w:t>9</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eb438af9624a491ebcc517ea82b3623f">
              <w:r>
                <w:rPr>
                  <w:rStyle w:val="InternetLink"/>
                  <w:rFonts w:ascii="Arial;sans-serif" w:hAnsi="Arial;sans-serif"/>
                  <w:b w:val="false"/>
                  <w:strike w:val="false"/>
                  <w:dstrike w:val="false"/>
                  <w:color w:val="000000"/>
                  <w:sz w:val="24"/>
                  <w:u w:val="none"/>
                  <w:effect w:val="none"/>
                </w:rPr>
                <w:t>Consolidation, Merger and Transfer of Assets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eb438af9624a491ebcc517ea82b3623f">
              <w:r>
                <w:rPr>
                  <w:rStyle w:val="InternetLink"/>
                  <w:rFonts w:ascii="Arial;sans-serif" w:hAnsi="Arial;sans-serif"/>
                  <w:b w:val="false"/>
                  <w:strike w:val="false"/>
                  <w:dstrike w:val="false"/>
                  <w:color w:val="000000"/>
                  <w:sz w:val="24"/>
                  <w:u w:val="none"/>
                  <w:effect w:val="none"/>
                </w:rPr>
                <w:t>9</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01d7313b39246a0b4b97545da4ae592">
              <w:r>
                <w:rPr>
                  <w:rStyle w:val="InternetLink"/>
                  <w:rFonts w:ascii="Arial;sans-serif" w:hAnsi="Arial;sans-serif"/>
                  <w:b w:val="false"/>
                  <w:strike w:val="false"/>
                  <w:dstrike w:val="false"/>
                  <w:color w:val="000000"/>
                  <w:sz w:val="24"/>
                  <w:u w:val="none"/>
                  <w:effect w:val="none"/>
                </w:rPr>
                <w:t>Modification and Waiver</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01d7313b39246a0b4b97545da4ae592">
              <w:r>
                <w:rPr>
                  <w:rStyle w:val="InternetLink"/>
                  <w:rFonts w:ascii="Arial;sans-serif" w:hAnsi="Arial;sans-serif"/>
                  <w:b w:val="false"/>
                  <w:strike w:val="false"/>
                  <w:dstrike w:val="false"/>
                  <w:color w:val="000000"/>
                  <w:sz w:val="24"/>
                  <w:u w:val="none"/>
                  <w:effect w:val="none"/>
                </w:rPr>
                <w:t>10</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a259161b8bf54b26967f2fc8733d1024">
              <w:r>
                <w:rPr>
                  <w:rStyle w:val="InternetLink"/>
                  <w:rFonts w:ascii="Arial;sans-serif" w:hAnsi="Arial;sans-serif"/>
                  <w:b w:val="false"/>
                  <w:strike w:val="false"/>
                  <w:dstrike w:val="false"/>
                  <w:color w:val="000000"/>
                  <w:sz w:val="24"/>
                  <w:u w:val="none"/>
                  <w:effect w:val="none"/>
                </w:rPr>
                <w:t>Events of Default</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a259161b8bf54b26967f2fc8733d1024">
              <w:r>
                <w:rPr>
                  <w:rStyle w:val="InternetLink"/>
                  <w:rFonts w:ascii="Arial;sans-serif" w:hAnsi="Arial;sans-serif"/>
                  <w:b w:val="false"/>
                  <w:strike w:val="false"/>
                  <w:dstrike w:val="false"/>
                  <w:color w:val="000000"/>
                  <w:sz w:val="24"/>
                  <w:u w:val="none"/>
                  <w:effect w:val="none"/>
                </w:rPr>
                <w:t>10</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cc4dd78ec5b4ec59be9c356120cc407">
              <w:r>
                <w:rPr>
                  <w:rStyle w:val="InternetLink"/>
                  <w:rFonts w:ascii="Arial;sans-serif" w:hAnsi="Arial;sans-serif"/>
                  <w:b w:val="false"/>
                  <w:strike w:val="false"/>
                  <w:dstrike w:val="false"/>
                  <w:color w:val="000000"/>
                  <w:sz w:val="24"/>
                  <w:u w:val="none"/>
                  <w:effect w:val="none"/>
                </w:rPr>
                <w:t>Satisfaction and Discharge; Defeasance</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cc4dd78ec5b4ec59be9c356120cc407">
              <w:r>
                <w:rPr>
                  <w:rStyle w:val="InternetLink"/>
                  <w:rFonts w:ascii="Arial;sans-serif" w:hAnsi="Arial;sans-serif"/>
                  <w:b w:val="false"/>
                  <w:strike w:val="false"/>
                  <w:dstrike w:val="false"/>
                  <w:color w:val="000000"/>
                  <w:sz w:val="24"/>
                  <w:u w:val="none"/>
                  <w:effect w:val="none"/>
                </w:rPr>
                <w:t>12</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10a88c6b4f48409f9b8d0b904f11e9e4">
              <w:r>
                <w:rPr>
                  <w:rStyle w:val="InternetLink"/>
                  <w:rFonts w:ascii="Arial;sans-serif" w:hAnsi="Arial;sans-serif"/>
                  <w:b w:val="false"/>
                  <w:strike w:val="false"/>
                  <w:dstrike w:val="false"/>
                  <w:color w:val="000000"/>
                  <w:sz w:val="24"/>
                  <w:u w:val="none"/>
                  <w:effect w:val="none"/>
                </w:rPr>
                <w:t>Subordination of the Subordinated Debt Securities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10a88c6b4f48409f9b8d0b904f11e9e4">
              <w:r>
                <w:rPr>
                  <w:rStyle w:val="InternetLink"/>
                  <w:rFonts w:ascii="Arial;sans-serif" w:hAnsi="Arial;sans-serif"/>
                  <w:b w:val="false"/>
                  <w:strike w:val="false"/>
                  <w:dstrike w:val="false"/>
                  <w:color w:val="000000"/>
                  <w:sz w:val="24"/>
                  <w:u w:val="none"/>
                  <w:effect w:val="none"/>
                </w:rPr>
                <w:t>13</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00225f8b194e34b282b703b1649b63">
              <w:r>
                <w:rPr>
                  <w:rStyle w:val="InternetLink"/>
                  <w:rFonts w:ascii="Arial;sans-serif" w:hAnsi="Arial;sans-serif"/>
                  <w:b w:val="false"/>
                  <w:strike w:val="false"/>
                  <w:dstrike w:val="false"/>
                  <w:color w:val="000000"/>
                  <w:sz w:val="24"/>
                  <w:u w:val="none"/>
                  <w:effect w:val="none"/>
                </w:rPr>
                <w:t>Global Securities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400225f8b194e34b282b703b1649b63">
              <w:r>
                <w:rPr>
                  <w:rStyle w:val="InternetLink"/>
                  <w:rFonts w:ascii="Arial;sans-serif" w:hAnsi="Arial;sans-serif"/>
                  <w:b w:val="false"/>
                  <w:strike w:val="false"/>
                  <w:dstrike w:val="false"/>
                  <w:color w:val="000000"/>
                  <w:sz w:val="24"/>
                  <w:u w:val="none"/>
                  <w:effect w:val="none"/>
                </w:rPr>
                <w:t>14</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17c291ef028043b498f18d20f303f55d">
              <w:r>
                <w:rPr>
                  <w:rStyle w:val="InternetLink"/>
                  <w:rFonts w:ascii="Arial;sans-serif" w:hAnsi="Arial;sans-serif"/>
                  <w:b w:val="false"/>
                  <w:strike w:val="false"/>
                  <w:dstrike w:val="false"/>
                  <w:color w:val="000000"/>
                  <w:sz w:val="24"/>
                  <w:u w:val="none"/>
                  <w:effect w:val="none"/>
                </w:rPr>
                <w:t>Notices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17c291ef028043b498f18d20f303f55d">
              <w:r>
                <w:rPr>
                  <w:rStyle w:val="InternetLink"/>
                  <w:rFonts w:ascii="Arial;sans-serif" w:hAnsi="Arial;sans-serif"/>
                  <w:b w:val="false"/>
                  <w:strike w:val="false"/>
                  <w:dstrike w:val="false"/>
                  <w:color w:val="000000"/>
                  <w:sz w:val="24"/>
                  <w:u w:val="none"/>
                  <w:effect w:val="none"/>
                </w:rPr>
                <w:t>15</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5546fa12492408295109ecb69e20c7e">
              <w:r>
                <w:rPr>
                  <w:rStyle w:val="InternetLink"/>
                  <w:rFonts w:ascii="Arial;sans-serif" w:hAnsi="Arial;sans-serif"/>
                  <w:b w:val="false"/>
                  <w:strike w:val="false"/>
                  <w:dstrike w:val="false"/>
                  <w:color w:val="000000"/>
                  <w:sz w:val="24"/>
                  <w:u w:val="none"/>
                  <w:effect w:val="none"/>
                </w:rPr>
                <w:t>Governing Law</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5546fa12492408295109ecb69e20c7e">
              <w:r>
                <w:rPr>
                  <w:rStyle w:val="InternetLink"/>
                  <w:rFonts w:ascii="Arial;sans-serif" w:hAnsi="Arial;sans-serif"/>
                  <w:b w:val="false"/>
                  <w:strike w:val="false"/>
                  <w:dstrike w:val="false"/>
                  <w:color w:val="000000"/>
                  <w:sz w:val="24"/>
                  <w:u w:val="none"/>
                  <w:effect w:val="none"/>
                </w:rPr>
                <w:t>15</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ae77d127c18942d5aad1dc8d0d65c074">
              <w:r>
                <w:rPr>
                  <w:rStyle w:val="InternetLink"/>
                  <w:rFonts w:ascii="Arial;sans-serif" w:hAnsi="Arial;sans-serif"/>
                  <w:b w:val="false"/>
                  <w:strike w:val="false"/>
                  <w:dstrike w:val="false"/>
                  <w:color w:val="000000"/>
                  <w:sz w:val="24"/>
                  <w:u w:val="none"/>
                  <w:effect w:val="none"/>
                </w:rPr>
                <w:t>Regarding the Trustee</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ae77d127c18942d5aad1dc8d0d65c074">
              <w:r>
                <w:rPr>
                  <w:rStyle w:val="InternetLink"/>
                  <w:rFonts w:ascii="Arial;sans-serif" w:hAnsi="Arial;sans-serif"/>
                  <w:b w:val="false"/>
                  <w:strike w:val="false"/>
                  <w:dstrike w:val="false"/>
                  <w:color w:val="000000"/>
                  <w:sz w:val="24"/>
                  <w:u w:val="none"/>
                  <w:effect w:val="none"/>
                </w:rPr>
                <w:t>15</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505c058a4fa4df78fe523b5e9794c94">
              <w:r>
                <w:rPr>
                  <w:rStyle w:val="InternetLink"/>
                  <w:rFonts w:ascii="Arial;sans-serif" w:hAnsi="Arial;sans-serif"/>
                  <w:b w:val="false"/>
                  <w:strike w:val="false"/>
                  <w:dstrike w:val="false"/>
                  <w:color w:val="000000"/>
                  <w:sz w:val="24"/>
                  <w:u w:val="none"/>
                  <w:effect w:val="none"/>
                </w:rPr>
                <w:t>DESCRIPTION OF WARRANTS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505c058a4fa4df78fe523b5e9794c94">
              <w:r>
                <w:rPr>
                  <w:rStyle w:val="InternetLink"/>
                  <w:rFonts w:ascii="Arial;sans-serif" w:hAnsi="Arial;sans-serif"/>
                  <w:b w:val="false"/>
                  <w:strike w:val="false"/>
                  <w:dstrike w:val="false"/>
                  <w:color w:val="000000"/>
                  <w:sz w:val="24"/>
                  <w:u w:val="none"/>
                  <w:effect w:val="none"/>
                </w:rPr>
                <w:t>15</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9b7c38da4fb542dfbfc5d6ca7edbf628">
              <w:r>
                <w:rPr>
                  <w:rStyle w:val="InternetLink"/>
                  <w:rFonts w:ascii="Arial;sans-serif" w:hAnsi="Arial;sans-serif"/>
                  <w:b w:val="false"/>
                  <w:strike w:val="false"/>
                  <w:dstrike w:val="false"/>
                  <w:color w:val="000000"/>
                  <w:sz w:val="24"/>
                  <w:u w:val="none"/>
                  <w:effect w:val="none"/>
                </w:rPr>
                <w:t>DESCRIPTION OF SUBSCRIPTION RIGHTS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9b7c38da4fb542dfbfc5d6ca7edbf628">
              <w:r>
                <w:rPr>
                  <w:rStyle w:val="InternetLink"/>
                  <w:rFonts w:ascii="Arial;sans-serif" w:hAnsi="Arial;sans-serif"/>
                  <w:b w:val="false"/>
                  <w:strike w:val="false"/>
                  <w:dstrike w:val="false"/>
                  <w:color w:val="000000"/>
                  <w:sz w:val="24"/>
                  <w:u w:val="none"/>
                  <w:effect w:val="none"/>
                </w:rPr>
                <w:t>16</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c23e0707439477799d001ad6dc0a84d">
              <w:r>
                <w:rPr>
                  <w:rStyle w:val="InternetLink"/>
                  <w:rFonts w:ascii="Arial;sans-serif" w:hAnsi="Arial;sans-serif"/>
                  <w:b w:val="false"/>
                  <w:strike w:val="false"/>
                  <w:dstrike w:val="false"/>
                  <w:color w:val="000000"/>
                  <w:sz w:val="24"/>
                  <w:u w:val="none"/>
                  <w:effect w:val="none"/>
                </w:rPr>
                <w:t>DESCRIPTION OF STOCK PURCHASE CONTRACTS AND STOCK PURCHASE UNITS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c23e0707439477799d001ad6dc0a84d">
              <w:r>
                <w:rPr>
                  <w:rStyle w:val="InternetLink"/>
                  <w:rFonts w:ascii="Arial;sans-serif" w:hAnsi="Arial;sans-serif"/>
                  <w:b w:val="false"/>
                  <w:strike w:val="false"/>
                  <w:dstrike w:val="false"/>
                  <w:color w:val="000000"/>
                  <w:sz w:val="24"/>
                  <w:u w:val="none"/>
                  <w:effect w:val="none"/>
                </w:rPr>
                <w:t>17</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5044ad3300ed4696a0852c0769dbb322">
              <w:r>
                <w:rPr>
                  <w:rStyle w:val="InternetLink"/>
                  <w:rFonts w:ascii="Arial;sans-serif" w:hAnsi="Arial;sans-serif"/>
                  <w:b w:val="false"/>
                  <w:strike w:val="false"/>
                  <w:dstrike w:val="false"/>
                  <w:color w:val="000000"/>
                  <w:sz w:val="24"/>
                  <w:u w:val="none"/>
                  <w:effect w:val="none"/>
                </w:rPr>
                <w:t>DESCRIPTION OF UNITS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5044ad3300ed4696a0852c0769dbb322">
              <w:r>
                <w:rPr>
                  <w:rStyle w:val="InternetLink"/>
                  <w:rFonts w:ascii="Arial;sans-serif" w:hAnsi="Arial;sans-serif"/>
                  <w:b w:val="false"/>
                  <w:strike w:val="false"/>
                  <w:dstrike w:val="false"/>
                  <w:color w:val="000000"/>
                  <w:sz w:val="24"/>
                  <w:u w:val="none"/>
                  <w:effect w:val="none"/>
                </w:rPr>
                <w:t>17</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54b88161f6444d7ab58052cab0bf2fb">
              <w:r>
                <w:rPr>
                  <w:rStyle w:val="InternetLink"/>
                  <w:rFonts w:ascii="Arial;sans-serif" w:hAnsi="Arial;sans-serif"/>
                  <w:b w:val="false"/>
                  <w:strike w:val="false"/>
                  <w:dstrike w:val="false"/>
                  <w:color w:val="000000"/>
                  <w:sz w:val="24"/>
                  <w:u w:val="none"/>
                  <w:effect w:val="none"/>
                </w:rPr>
                <w:t>DESCRIPTION OF DEPOSITARY SHARES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54b88161f6444d7ab58052cab0bf2fb">
              <w:r>
                <w:rPr>
                  <w:rStyle w:val="InternetLink"/>
                  <w:rFonts w:ascii="Arial;sans-serif" w:hAnsi="Arial;sans-serif"/>
                  <w:b w:val="false"/>
                  <w:strike w:val="false"/>
                  <w:dstrike w:val="false"/>
                  <w:color w:val="000000"/>
                  <w:sz w:val="24"/>
                  <w:u w:val="none"/>
                  <w:effect w:val="none"/>
                </w:rPr>
                <w:t>18</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c74db7dea2f749779471f29acc3729f9">
              <w:r>
                <w:rPr>
                  <w:rStyle w:val="InternetLink"/>
                  <w:rFonts w:ascii="Arial;sans-serif" w:hAnsi="Arial;sans-serif"/>
                  <w:b w:val="false"/>
                  <w:strike w:val="false"/>
                  <w:dstrike w:val="false"/>
                  <w:color w:val="000000"/>
                  <w:sz w:val="24"/>
                  <w:u w:val="none"/>
                  <w:effect w:val="none"/>
                </w:rPr>
                <w:t>General</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c74db7dea2f749779471f29acc3729f9">
              <w:r>
                <w:rPr>
                  <w:rStyle w:val="InternetLink"/>
                  <w:rFonts w:ascii="Arial;sans-serif" w:hAnsi="Arial;sans-serif"/>
                  <w:b w:val="false"/>
                  <w:strike w:val="false"/>
                  <w:dstrike w:val="false"/>
                  <w:color w:val="000000"/>
                  <w:sz w:val="24"/>
                  <w:u w:val="none"/>
                  <w:effect w:val="none"/>
                </w:rPr>
                <w:t>18</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e2e154dbbd408da2c9c617c724ecb5">
              <w:r>
                <w:rPr>
                  <w:rStyle w:val="InternetLink"/>
                  <w:rFonts w:ascii="Arial;sans-serif" w:hAnsi="Arial;sans-serif"/>
                  <w:b w:val="false"/>
                  <w:strike w:val="false"/>
                  <w:dstrike w:val="false"/>
                  <w:color w:val="000000"/>
                  <w:sz w:val="24"/>
                  <w:u w:val="none"/>
                  <w:effect w:val="none"/>
                </w:rPr>
                <w:t>Dividends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e2e154dbbd408da2c9c617c724ecb5">
              <w:r>
                <w:rPr>
                  <w:rStyle w:val="InternetLink"/>
                  <w:rFonts w:ascii="Arial;sans-serif" w:hAnsi="Arial;sans-serif"/>
                  <w:b w:val="false"/>
                  <w:strike w:val="false"/>
                  <w:dstrike w:val="false"/>
                  <w:color w:val="000000"/>
                  <w:sz w:val="24"/>
                  <w:u w:val="none"/>
                  <w:effect w:val="none"/>
                </w:rPr>
                <w:t>18</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fd95ea3d902d4a23a77278a1cd491668">
              <w:r>
                <w:rPr>
                  <w:rStyle w:val="InternetLink"/>
                  <w:rFonts w:ascii="Arial;sans-serif" w:hAnsi="Arial;sans-serif"/>
                  <w:b w:val="false"/>
                  <w:strike w:val="false"/>
                  <w:dstrike w:val="false"/>
                  <w:color w:val="000000"/>
                  <w:sz w:val="24"/>
                  <w:u w:val="none"/>
                  <w:effect w:val="none"/>
                </w:rPr>
                <w:t>Conversion or Exchange Rights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fd95ea3d902d4a23a77278a1cd491668">
              <w:r>
                <w:rPr>
                  <w:rStyle w:val="InternetLink"/>
                  <w:rFonts w:ascii="Arial;sans-serif" w:hAnsi="Arial;sans-serif"/>
                  <w:b w:val="false"/>
                  <w:strike w:val="false"/>
                  <w:dstrike w:val="false"/>
                  <w:color w:val="000000"/>
                  <w:sz w:val="24"/>
                  <w:u w:val="none"/>
                  <w:effect w:val="none"/>
                </w:rPr>
                <w:t>18</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52c9e05a2344c29890139adef016063">
              <w:r>
                <w:rPr>
                  <w:rStyle w:val="InternetLink"/>
                  <w:rFonts w:ascii="Arial;sans-serif" w:hAnsi="Arial;sans-serif"/>
                  <w:b w:val="false"/>
                  <w:strike w:val="false"/>
                  <w:dstrike w:val="false"/>
                  <w:color w:val="000000"/>
                  <w:sz w:val="24"/>
                  <w:u w:val="none"/>
                  <w:effect w:val="none"/>
                </w:rPr>
                <w:t>Redemption</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52c9e05a2344c29890139adef016063">
              <w:r>
                <w:rPr>
                  <w:rStyle w:val="InternetLink"/>
                  <w:rFonts w:ascii="Arial;sans-serif" w:hAnsi="Arial;sans-serif"/>
                  <w:b w:val="false"/>
                  <w:strike w:val="false"/>
                  <w:dstrike w:val="false"/>
                  <w:color w:val="000000"/>
                  <w:sz w:val="24"/>
                  <w:u w:val="none"/>
                  <w:effect w:val="none"/>
                </w:rPr>
                <w:t>19</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2d85ed403a784ac7a5b785173ebba1ce">
              <w:r>
                <w:rPr>
                  <w:rStyle w:val="InternetLink"/>
                  <w:rFonts w:ascii="Arial;sans-serif" w:hAnsi="Arial;sans-serif"/>
                  <w:b w:val="false"/>
                  <w:strike w:val="false"/>
                  <w:dstrike w:val="false"/>
                  <w:color w:val="000000"/>
                  <w:sz w:val="24"/>
                  <w:u w:val="none"/>
                  <w:effect w:val="none"/>
                </w:rPr>
                <w:t>Voting Rights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2d85ed403a784ac7a5b785173ebba1ce">
              <w:r>
                <w:rPr>
                  <w:rStyle w:val="InternetLink"/>
                  <w:rFonts w:ascii="Arial;sans-serif" w:hAnsi="Arial;sans-serif"/>
                  <w:b w:val="false"/>
                  <w:strike w:val="false"/>
                  <w:dstrike w:val="false"/>
                  <w:color w:val="000000"/>
                  <w:sz w:val="24"/>
                  <w:u w:val="none"/>
                  <w:effect w:val="none"/>
                </w:rPr>
                <w:t>19</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5ba97be75b4651826dc4cd50d77c00">
              <w:r>
                <w:rPr>
                  <w:rStyle w:val="InternetLink"/>
                  <w:rFonts w:ascii="Arial;sans-serif" w:hAnsi="Arial;sans-serif"/>
                  <w:b w:val="false"/>
                  <w:strike w:val="false"/>
                  <w:dstrike w:val="false"/>
                  <w:color w:val="000000"/>
                  <w:sz w:val="24"/>
                  <w:u w:val="none"/>
                  <w:effect w:val="none"/>
                </w:rPr>
                <w:t>Taxation</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65ba97be75b4651826dc4cd50d77c00">
              <w:r>
                <w:rPr>
                  <w:rStyle w:val="InternetLink"/>
                  <w:rFonts w:ascii="Arial;sans-serif" w:hAnsi="Arial;sans-serif"/>
                  <w:b w:val="false"/>
                  <w:strike w:val="false"/>
                  <w:dstrike w:val="false"/>
                  <w:color w:val="000000"/>
                  <w:sz w:val="24"/>
                  <w:u w:val="none"/>
                  <w:effect w:val="none"/>
                </w:rPr>
                <w:t>19</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2adf799403694ef1a358ceb3733ba45e">
              <w:r>
                <w:rPr>
                  <w:rStyle w:val="InternetLink"/>
                  <w:rFonts w:ascii="Arial;sans-serif" w:hAnsi="Arial;sans-serif"/>
                  <w:b w:val="false"/>
                  <w:strike w:val="false"/>
                  <w:dstrike w:val="false"/>
                  <w:color w:val="000000"/>
                  <w:sz w:val="24"/>
                  <w:u w:val="none"/>
                  <w:effect w:val="none"/>
                </w:rPr>
                <w:t>Amendment and Termination of the Deposit Agreement</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2adf799403694ef1a358ceb3733ba45e">
              <w:r>
                <w:rPr>
                  <w:rStyle w:val="InternetLink"/>
                  <w:rFonts w:ascii="Arial;sans-serif" w:hAnsi="Arial;sans-serif"/>
                  <w:b w:val="false"/>
                  <w:strike w:val="false"/>
                  <w:dstrike w:val="false"/>
                  <w:color w:val="000000"/>
                  <w:sz w:val="24"/>
                  <w:u w:val="none"/>
                  <w:effect w:val="none"/>
                </w:rPr>
                <w:t>19</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ea050574dbb4771ace472eb4f0b21c7">
              <w:r>
                <w:rPr>
                  <w:rStyle w:val="InternetLink"/>
                  <w:rFonts w:ascii="Arial;sans-serif" w:hAnsi="Arial;sans-serif"/>
                  <w:b w:val="false"/>
                  <w:strike w:val="false"/>
                  <w:dstrike w:val="false"/>
                  <w:color w:val="000000"/>
                  <w:sz w:val="24"/>
                  <w:u w:val="none"/>
                  <w:effect w:val="none"/>
                </w:rPr>
                <w:t>Charges of Depositary</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ea050574dbb4771ace472eb4f0b21c7">
              <w:r>
                <w:rPr>
                  <w:rStyle w:val="InternetLink"/>
                  <w:rFonts w:ascii="Arial;sans-serif" w:hAnsi="Arial;sans-serif"/>
                  <w:b w:val="false"/>
                  <w:strike w:val="false"/>
                  <w:dstrike w:val="false"/>
                  <w:color w:val="000000"/>
                  <w:sz w:val="24"/>
                  <w:u w:val="none"/>
                  <w:effect w:val="none"/>
                </w:rPr>
                <w:t>19</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e6c670bce4ac44bf8923ac077bfc9aa1">
              <w:r>
                <w:rPr>
                  <w:rStyle w:val="InternetLink"/>
                  <w:rFonts w:ascii="Arial;sans-serif" w:hAnsi="Arial;sans-serif"/>
                  <w:b w:val="false"/>
                  <w:strike w:val="false"/>
                  <w:dstrike w:val="false"/>
                  <w:color w:val="000000"/>
                  <w:sz w:val="24"/>
                  <w:u w:val="none"/>
                  <w:effect w:val="none"/>
                </w:rPr>
                <w:t>Resignation and Removal of Depositary</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e6c670bce4ac44bf8923ac077bfc9aa1">
              <w:r>
                <w:rPr>
                  <w:rStyle w:val="InternetLink"/>
                  <w:rFonts w:ascii="Arial;sans-serif" w:hAnsi="Arial;sans-serif"/>
                  <w:b w:val="false"/>
                  <w:strike w:val="false"/>
                  <w:dstrike w:val="false"/>
                  <w:color w:val="000000"/>
                  <w:sz w:val="24"/>
                  <w:u w:val="none"/>
                  <w:effect w:val="none"/>
                </w:rPr>
                <w:t>19</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d2f7480e2ca4c3bb646a43876f49d72">
              <w:r>
                <w:rPr>
                  <w:rStyle w:val="InternetLink"/>
                  <w:rFonts w:ascii="Arial;sans-serif" w:hAnsi="Arial;sans-serif"/>
                  <w:b w:val="false"/>
                  <w:strike w:val="false"/>
                  <w:dstrike w:val="false"/>
                  <w:color w:val="000000"/>
                  <w:sz w:val="24"/>
                  <w:u w:val="none"/>
                  <w:effect w:val="none"/>
                </w:rPr>
                <w:t>PLAN OF DISTRIBUTION</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d2f7480e2ca4c3bb646a43876f49d72">
              <w:r>
                <w:rPr>
                  <w:rStyle w:val="InternetLink"/>
                  <w:rFonts w:ascii="Arial;sans-serif" w:hAnsi="Arial;sans-serif"/>
                  <w:b w:val="false"/>
                  <w:strike w:val="false"/>
                  <w:dstrike w:val="false"/>
                  <w:color w:val="000000"/>
                  <w:sz w:val="24"/>
                  <w:u w:val="none"/>
                  <w:effect w:val="none"/>
                </w:rPr>
                <w:t>20</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f7eb40702a574cbda19be409d58d8104">
              <w:r>
                <w:rPr>
                  <w:rStyle w:val="InternetLink"/>
                  <w:rFonts w:ascii="Arial;sans-serif" w:hAnsi="Arial;sans-serif"/>
                  <w:b w:val="false"/>
                  <w:strike w:val="false"/>
                  <w:dstrike w:val="false"/>
                  <w:color w:val="000000"/>
                  <w:sz w:val="24"/>
                  <w:u w:val="none"/>
                  <w:effect w:val="none"/>
                </w:rPr>
                <w:t>SPECIAL NOTE REGARDING FORWARD-LOOKING STATEMENTS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f7eb40702a574cbda19be409d58d8104">
              <w:r>
                <w:rPr>
                  <w:rStyle w:val="InternetLink"/>
                  <w:rFonts w:ascii="Arial;sans-serif" w:hAnsi="Arial;sans-serif"/>
                  <w:b w:val="false"/>
                  <w:strike w:val="false"/>
                  <w:dstrike w:val="false"/>
                  <w:color w:val="000000"/>
                  <w:sz w:val="24"/>
                  <w:u w:val="none"/>
                  <w:effect w:val="none"/>
                </w:rPr>
                <w:t>21</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3d2c7369a004a23b5756c8ac6169738">
              <w:r>
                <w:rPr>
                  <w:rStyle w:val="InternetLink"/>
                  <w:rFonts w:ascii="Arial;sans-serif" w:hAnsi="Arial;sans-serif"/>
                  <w:b w:val="false"/>
                  <w:strike w:val="false"/>
                  <w:dstrike w:val="false"/>
                  <w:color w:val="000000"/>
                  <w:sz w:val="24"/>
                  <w:u w:val="none"/>
                  <w:effect w:val="none"/>
                </w:rPr>
                <w:t>WHERE YOU CAN FIND ADDITIONAL INFORMATION</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3d2c7369a004a23b5756c8ac6169738">
              <w:r>
                <w:rPr>
                  <w:rStyle w:val="InternetLink"/>
                  <w:rFonts w:ascii="Arial;sans-serif" w:hAnsi="Arial;sans-serif"/>
                  <w:b w:val="false"/>
                  <w:strike w:val="false"/>
                  <w:dstrike w:val="false"/>
                  <w:color w:val="000000"/>
                  <w:sz w:val="24"/>
                  <w:u w:val="none"/>
                  <w:effect w:val="none"/>
                </w:rPr>
                <w:t>23</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9a42f696b52e4e9588ba9fd63ea58d10">
              <w:r>
                <w:rPr>
                  <w:rStyle w:val="InternetLink"/>
                  <w:rFonts w:ascii="Arial;sans-serif" w:hAnsi="Arial;sans-serif"/>
                  <w:b w:val="false"/>
                  <w:strike w:val="false"/>
                  <w:dstrike w:val="false"/>
                  <w:color w:val="000000"/>
                  <w:sz w:val="24"/>
                  <w:u w:val="none"/>
                  <w:effect w:val="none"/>
                </w:rPr>
                <w:t>DOCUMENTS INCORPORATED BY REFERENCE</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9a42f696b52e4e9588ba9fd63ea58d10">
              <w:r>
                <w:rPr>
                  <w:rStyle w:val="InternetLink"/>
                  <w:rFonts w:ascii="Arial;sans-serif" w:hAnsi="Arial;sans-serif"/>
                  <w:b w:val="false"/>
                  <w:strike w:val="false"/>
                  <w:dstrike w:val="false"/>
                  <w:color w:val="000000"/>
                  <w:sz w:val="24"/>
                  <w:u w:val="none"/>
                  <w:effect w:val="none"/>
                </w:rPr>
                <w:t>23</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4d63ada47994607a320582fbd979b87">
              <w:r>
                <w:rPr>
                  <w:rStyle w:val="InternetLink"/>
                  <w:rFonts w:ascii="Arial;sans-serif" w:hAnsi="Arial;sans-serif"/>
                  <w:b w:val="false"/>
                  <w:strike w:val="false"/>
                  <w:dstrike w:val="false"/>
                  <w:color w:val="000000"/>
                  <w:sz w:val="24"/>
                  <w:u w:val="none"/>
                  <w:effect w:val="none"/>
                </w:rPr>
                <w:t>LEGAL MATTERS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4d63ada47994607a320582fbd979b87">
              <w:r>
                <w:rPr>
                  <w:rStyle w:val="InternetLink"/>
                  <w:rFonts w:ascii="Arial;sans-serif" w:hAnsi="Arial;sans-serif"/>
                  <w:b w:val="false"/>
                  <w:strike w:val="false"/>
                  <w:dstrike w:val="false"/>
                  <w:color w:val="000000"/>
                  <w:sz w:val="24"/>
                  <w:u w:val="none"/>
                  <w:effect w:val="none"/>
                </w:rPr>
                <w:t>24</w:t>
              </w:r>
            </w:hyperlink>
          </w:p>
        </w:tc>
      </w:tr>
      <w:tr>
        <w:trPr/>
        <w:tc>
          <w:tcPr>
            <w:tcW w:w="97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hyperlink w:anchor="i6be127db57ec41a7999657db8c6683ae">
              <w:r>
                <w:rPr>
                  <w:rStyle w:val="InternetLink"/>
                  <w:rFonts w:ascii="Arial;sans-serif" w:hAnsi="Arial;sans-serif"/>
                  <w:b w:val="false"/>
                  <w:strike w:val="false"/>
                  <w:dstrike w:val="false"/>
                  <w:color w:val="000000"/>
                  <w:sz w:val="24"/>
                  <w:u w:val="none"/>
                  <w:effect w:val="none"/>
                </w:rPr>
                <w:t>EXPERTS</w:t>
              </w:r>
            </w:hyperlink>
          </w:p>
        </w:tc>
        <w:tc>
          <w:tcPr>
            <w:tcW w:w="42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pPr>
            <w:hyperlink w:anchor="i6be127db57ec41a7999657db8c6683ae">
              <w:r>
                <w:rPr>
                  <w:rStyle w:val="InternetLink"/>
                  <w:rFonts w:ascii="Arial;sans-serif" w:hAnsi="Arial;sans-serif"/>
                  <w:b w:val="false"/>
                  <w:strike w:val="false"/>
                  <w:dstrike w:val="false"/>
                  <w:color w:val="000000"/>
                  <w:sz w:val="24"/>
                  <w:u w:val="none"/>
                  <w:effect w:val="none"/>
                </w:rPr>
                <w:t>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4955"/>
                <wp:effectExtent l="0" t="0" r="0" b="0"/>
                <wp:wrapNone/>
                <wp:docPr id="6" name="Frame4"/>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w:t>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bookmarkStart w:id="5" w:name="i4d95aa5a93f9446197b33aca20c186b9"/>
      <w:bookmarkEnd w:id="5"/>
      <w:r>
        <w:rPr>
          <w:rFonts w:ascii="Proxima Nova;sans-serif" w:hAnsi="Proxima Nova;sans-serif"/>
          <w:b/>
          <w:color w:val="000000"/>
          <w:sz w:val="20"/>
        </w:rPr>
        <w:t>ABOUT THIS PROSPECTUS</w:t>
      </w:r>
    </w:p>
    <w:p>
      <w:pPr>
        <w:pStyle w:val="TextBody"/>
        <w:bidi w:val="0"/>
        <w:spacing w:lineRule="auto" w:line="288" w:before="200" w:after="200"/>
        <w:jc w:val="both"/>
        <w:rPr/>
      </w:pPr>
      <w:r>
        <w:rPr>
          <w:rFonts w:ascii="Proxima Nova;sans-serif" w:hAnsi="Proxima Nova;sans-serif"/>
          <w:b w:val="false"/>
          <w:color w:val="000000"/>
          <w:sz w:val="20"/>
        </w:rPr>
        <w:t>This prospectus is part of an “automatic shelf” registration statement that we have filed with the Securities and Exchange Commission, which we refer to as the SEC, as a “well-known seasoned issuer” as defined in Rule 405 under the Securities Act of 1933, as amended, which we refer to as the Securities Act. Under the automatic shelf registration rules, using this prospectus, together with the applicable prospectus supplement, we may sell from time to time, in one or more offerings, on a continuous or delayed basis, an indeterminate amount of any combination of the securities described in this prospectus in one or more offerings. The registration statement that contains this prospectus (including the exhibits to the registration statement) contains additional information about us and the securities we are offering under this prospectus. You can read that registration statement at the SEC website at http://www.sec.gov as mentioned under the heading “</w:t>
      </w:r>
      <w:hyperlink w:anchor="ib678f2fed13948628af9a92b63ce0c3d_241">
        <w:r>
          <w:rPr>
            <w:rStyle w:val="InternetLink"/>
            <w:rFonts w:ascii="Proxima Nova;sans-serif" w:hAnsi="Proxima Nova;sans-serif"/>
            <w:b w:val="false"/>
            <w:color w:val="0000FF"/>
            <w:sz w:val="20"/>
            <w:u w:val="single"/>
          </w:rPr>
          <w:t>Where You Can Find Additional Information</w:t>
        </w:r>
      </w:hyperlink>
      <w:r>
        <w:rPr>
          <w:rFonts w:ascii="Proxima Nova;sans-serif" w:hAnsi="Proxima Nova;sans-serif"/>
          <w:b w:val="false"/>
          <w:color w:val="000000"/>
          <w:sz w:val="20"/>
        </w:rPr>
        <w:t>.”</w:t>
      </w:r>
    </w:p>
    <w:p>
      <w:pPr>
        <w:pStyle w:val="TextBody"/>
        <w:bidi w:val="0"/>
        <w:spacing w:lineRule="auto" w:line="288" w:before="200" w:after="200"/>
        <w:jc w:val="both"/>
        <w:rPr/>
      </w:pPr>
      <w:r>
        <w:rPr>
          <w:rFonts w:ascii="Proxima Nova;sans-serif" w:hAnsi="Proxima Nova;sans-serif"/>
          <w:b w:val="false"/>
          <w:color w:val="000000"/>
          <w:sz w:val="20"/>
        </w:rPr>
        <w:t>This prospectus provides you with a general description of the securities we may offer. Each time we sell any of these securities, we will provide one or more prospectus supplements containing specific information about the terms of that offering. The prospectus supplements may also add, update or change information contained in this prospectus. If information in the applicable prospectus supplement is inconsistent with the information in this prospectus, then the information in such prospectus supplement will apply and will supersede the information in this prospectus. You should carefully read both this prospectus and any prospectus supplement together with additional information described under the heading “</w:t>
      </w:r>
      <w:hyperlink w:anchor="ib678f2fed13948628af9a92b63ce0c3d_241">
        <w:r>
          <w:rPr>
            <w:rStyle w:val="InternetLink"/>
            <w:rFonts w:ascii="Proxima Nova;sans-serif" w:hAnsi="Proxima Nova;sans-serif"/>
            <w:b w:val="false"/>
            <w:color w:val="0000FF"/>
            <w:sz w:val="20"/>
            <w:u w:val="single"/>
          </w:rPr>
          <w:t>Where You Can Find Additional Information</w:t>
        </w:r>
      </w:hyperlink>
      <w:r>
        <w:rPr>
          <w:color w:val="000000"/>
        </w:rPr>
        <w:t xml:space="preserve">” </w:t>
      </w:r>
      <w:r>
        <w:rPr>
          <w:rFonts w:ascii="Proxima Nova;sans-serif" w:hAnsi="Proxima Nova;sans-serif"/>
          <w:b w:val="false"/>
          <w:color w:val="000000"/>
          <w:sz w:val="20"/>
        </w:rPr>
        <w:t>in this prospectus before you invest.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You should rely only on the information contained or incorporated by reference in this prospectus and any prospectus supplement. We have not authorized anyone to provide you with different or additional information. If anyone provides you with different or additional information, you should not rely on it.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You should not assume that the information in this prospectus or any accompanying prospectus supplement or any document incorporated by reference is accurate as of any date other than the date of that document.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Neither we nor anyone acting on our behalf is making an offer to sell these securities in any jurisdiction where the offer or sale is not permitted.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this prospectus, the terms “First Busey,” “Company,” “we,” “us” and “our” refer to First Busey Corporation and its consolidated subsidiaries, collectively, unless the context requires otherwise. References in this prospectus to “Busey Bank” and “Bank” mean Busey Bank, an Illinois state-chartered bank with its main office in Champaign, Illinois. Busey Bank is our wholly-owned banking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6" w:name="iedeb49c2b1d44d8a97196f351d146c4e"/>
      <w:bookmarkEnd w:id="6"/>
      <w:r>
        <w:rPr>
          <w:rFonts w:ascii="Proxima Nova;sans-serif" w:hAnsi="Proxima Nova;sans-serif"/>
          <w:b/>
          <w:color w:val="000000"/>
          <w:sz w:val="20"/>
        </w:rPr>
        <w:t>RISK FACTORS</w:t>
      </w:r>
    </w:p>
    <w:p>
      <w:pPr>
        <w:pStyle w:val="TextBody"/>
        <w:bidi w:val="0"/>
        <w:spacing w:lineRule="auto" w:line="288" w:before="200" w:after="200"/>
        <w:jc w:val="both"/>
        <w:rPr/>
      </w:pPr>
      <w:r>
        <w:rPr>
          <w:rFonts w:ascii="Proxima Nova;sans-serif" w:hAnsi="Proxima Nova;sans-serif"/>
          <w:b w:val="false"/>
          <w:color w:val="000000"/>
          <w:sz w:val="20"/>
        </w:rPr>
        <w:t xml:space="preserve">An investment in our securities involves certain risks. Before making an investment decision, you should carefully read and consider the risk factors incorporated by reference in this prospectus, as well as those contained in any applicable prospectus supplement, as the same may be updated from time to time by our future filings with the SEC under the Securities Exchange Act of 1934, as amended, which we refer to as the Exchange Act. You should also refer to other information contained or incorporated by reference in this prospectus and any applicable prospectus supplement, including our financial statements and the related notes incorporated by reference herein. Additional risks and uncertainties not known to us or that we deem immaterial may also materially and adversely affect our business and operations. </w:t>
      </w:r>
      <w:r>
        <w:rPr>
          <w:rFonts w:ascii="Proxima Nova;sans-serif" w:hAnsi="Proxima Nova;sans-serif"/>
          <w:b w:val="false"/>
          <w:color w:val="000000"/>
          <w:sz w:val="20"/>
          <w:shd w:fill="FFFFFF" w:val="clear"/>
        </w:rPr>
        <w:t>For more information, see the section entitled “</w:t>
      </w:r>
      <w:hyperlink w:anchor="ib678f2fed13948628af9a92b63ce0c3d_241">
        <w:r>
          <w:rPr>
            <w:rStyle w:val="InternetLink"/>
            <w:rFonts w:ascii="Proxima Nova;sans-serif" w:hAnsi="Proxima Nova;sans-serif"/>
            <w:b w:val="false"/>
            <w:color w:val="0000FF"/>
            <w:sz w:val="20"/>
            <w:u w:val="single"/>
            <w:shd w:fill="FFFFFF" w:val="clear"/>
          </w:rPr>
          <w:t>Where You Can Find Additional Information</w:t>
        </w:r>
      </w:hyperlink>
      <w:r>
        <w:rPr>
          <w:color w:val="000000"/>
          <w:shd w:fill="FFFFFF" w:val="clear"/>
        </w:rPr>
        <w:t xml:space="preserve">” </w:t>
      </w:r>
      <w:r>
        <w:rPr>
          <w:rFonts w:ascii="Proxima Nova;sans-serif" w:hAnsi="Proxima Nova;sans-serif"/>
          <w:b w:val="false"/>
          <w:color w:val="000000"/>
          <w:sz w:val="20"/>
          <w:shd w:fill="FFFFFF" w:val="clear"/>
        </w:rPr>
        <w:t>in this prospectus. You also should review carefully the cautionary statement section of this prospectus entitled “</w:t>
      </w:r>
      <w:hyperlink w:anchor="ib678f2fed13948628af9a92b63ce0c3d_235">
        <w:r>
          <w:rPr>
            <w:rStyle w:val="InternetLink"/>
            <w:rFonts w:ascii="Proxima Nova;sans-serif" w:hAnsi="Proxima Nova;sans-serif"/>
            <w:b w:val="false"/>
            <w:color w:val="0000FF"/>
            <w:sz w:val="20"/>
            <w:u w:val="single"/>
            <w:shd w:fill="FFFFFF" w:val="clear"/>
          </w:rPr>
          <w:t>Special Note Regarding Forward-Looking Statements</w:t>
        </w:r>
      </w:hyperlink>
      <w:r>
        <w:rPr>
          <w:rFonts w:ascii="Proxima Nova;sans-serif" w:hAnsi="Proxima Nova;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7" w:name="id954f767a7a347989b0908acf35ba445"/>
      <w:bookmarkEnd w:id="7"/>
      <w:r>
        <w:rPr>
          <w:rFonts w:ascii="Proxima Nova;sans-serif" w:hAnsi="Proxima Nova;sans-serif"/>
          <w:b/>
          <w:color w:val="000000"/>
          <w:sz w:val="20"/>
        </w:rPr>
        <w:t>FIRST BUSEY CORPORATION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are an $18.19 billion financial holding company headquartered in Leawood, Kansas. We conduct a broad range of financial services through our banking and non-banking subsidiaries. Our wholly-owned bank subsidiary is Busey Bank, which has locations in Illinois, Missouri, Texas, Kansas, Florida, Oklahoma, Colorado, Arizona, Indiana and New Mexico. We conduct the business of banking, related services, asset management, brokerage and fiduciary services through Busey Bank and provide payment technology solutions through FirsTech, Inc., which we refer to as FirsTech. As of June 30, 2026, we had total assets of $18.19 billion, total deposits of $15.13 billion and total stockholders’ equity of $2.38 billion.</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4955"/>
                <wp:effectExtent l="0" t="0" r="0" b="0"/>
                <wp:wrapNone/>
                <wp:docPr id="7" name="Frame5"/>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w:t>
                      </w:r>
                    </w:p>
                  </w:txbxContent>
                </v:textbox>
                <w10:wrap type="none"/>
              </v:rect>
            </w:pict>
          </mc:Fallback>
        </mc:AlternateConten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Bank, which was organized in 1868, is an Illinois state-chartered bank with its main office in Champaign, Illinois, and had total assets of $18.15 billion as of June 30, 2026. As of June 30, 2026, Busey Bank has 80 banking centers, with 21 in central Illinois markets, 17 in suburban Chicago markets, 20 in the St. Louis Metropolitan Statistical Area, four in the Dallas-Fort Worth Metropolitan Statistical Area, three in the Kansas City Metropolitan Statistical Area, three in southwest Florida, three in Oklahoma, three in Colorado, three in Arizona, one in Indianapolis, Indiana, one in Wichita, Kansas, and one in Clayton, New Mexico.</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Bank offers a range of diversified financial products and services for consumers and businesses, including online and mobile banking capabilities to conveniently serve our customers’ needs. Commercial services include commercial, commercial real estate, real estate construction, and agricultural loans, as well as commercial depository services such as cash management. Retail banking services include residential real estate, home equity lines of credit and consumer loans, customary types of demand and savings deposits, money transfers, safe deposit services, and individual retirement accounts and other fiduciary services through our banking center, automated teller machines, and technology-based networks.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Further, Busey Bank provides a full range of asset management, investment, brokerage, fiduciary, philanthropic advisory, tax preparation, and farm management services to individuals, businesses, and foundations through its Wealth Management business. As of June 30, 2026, $16.51 billion of assets were under care. For individuals, Busey Bank provides investment management, trust and estate advisory services, and financial planning. For businesses, it provides investment management, business succession planning, and employee retirement plan services. For foundations, Busey Bank provides investment management, investment strategy consulting, and fiduciary services. Brokerage-related services are offered by Busey Investment Services, a division of Busey Bank. In addition, Busey Bank provides professional farm management and brokerage services to the agricultural industry.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Bank’s subsidiary, FirsTech,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Our principal executive offices are located at 11440 Tomahawk Creek Parkway, Leawood, Kansas 66211, and our telephone number is (913) 312-6800.</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maintain an Internet website at http://www.busey.com. Neither this website nor the information on this website is included or incorporated in, or is a part of, this prospectus.</w:t>
      </w:r>
    </w:p>
    <w:p>
      <w:pPr>
        <w:pStyle w:val="TextBody"/>
        <w:bidi w:val="0"/>
        <w:spacing w:lineRule="auto" w:line="288" w:before="200" w:after="200"/>
        <w:jc w:val="both"/>
        <w:rPr/>
      </w:pPr>
      <w:r>
        <w:rPr>
          <w:rFonts w:ascii="Proxima Nova;sans-serif" w:hAnsi="Proxima Nova;sans-serif"/>
          <w:b w:val="false"/>
          <w:color w:val="000000"/>
          <w:sz w:val="20"/>
        </w:rPr>
        <w:t>Additional information about us is included in our filings with the SEC, which are incorporated by reference into this prospectus. See “</w:t>
      </w:r>
      <w:hyperlink w:anchor="ib678f2fed13948628af9a92b63ce0c3d_241">
        <w:r>
          <w:rPr>
            <w:rStyle w:val="InternetLink"/>
            <w:rFonts w:ascii="Proxima Nova;sans-serif" w:hAnsi="Proxima Nova;sans-serif"/>
            <w:b w:val="false"/>
            <w:color w:val="0000FF"/>
            <w:sz w:val="20"/>
            <w:u w:val="single"/>
          </w:rPr>
          <w:t>Where You Can Find Additional Information</w:t>
        </w:r>
      </w:hyperlink>
      <w:r>
        <w:rPr>
          <w:color w:val="000000"/>
        </w:rPr>
        <w:t xml:space="preserve">” </w:t>
      </w:r>
      <w:r>
        <w:rPr>
          <w:rFonts w:ascii="Proxima Nova;sans-serif" w:hAnsi="Proxima Nova;sans-serif"/>
          <w:b w:val="false"/>
          <w:color w:val="000000"/>
          <w:sz w:val="20"/>
        </w:rPr>
        <w:t>and “</w:t>
      </w:r>
      <w:hyperlink w:anchor="ib678f2fed13948628af9a92b63ce0c3d_247">
        <w:r>
          <w:rPr>
            <w:rStyle w:val="InternetLink"/>
            <w:rFonts w:ascii="Proxima Nova;sans-serif" w:hAnsi="Proxima Nova;sans-serif"/>
            <w:b w:val="false"/>
            <w:color w:val="0000FF"/>
            <w:sz w:val="20"/>
            <w:u w:val="single"/>
          </w:rPr>
          <w:t>Documents Incorporated by Reference</w:t>
        </w:r>
      </w:hyperlink>
      <w:r>
        <w:rPr>
          <w:color w:val="000000"/>
        </w:rPr>
        <w:t xml:space="preserve">” </w:t>
      </w:r>
      <w:r>
        <w:rPr>
          <w:rFonts w:ascii="Proxima Nova;sans-serif" w:hAnsi="Proxima Nova;sans-serif"/>
          <w:b w:val="false"/>
          <w:color w:val="000000"/>
          <w:sz w:val="20"/>
        </w:rPr>
        <w:t>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8" w:name="i2da25a24772e4d168303e59134ee15d0"/>
      <w:bookmarkEnd w:id="8"/>
      <w:r>
        <w:rPr>
          <w:rFonts w:ascii="Proxima Nova;sans-serif" w:hAnsi="Proxima Nova;sans-serif"/>
          <w:b/>
          <w:color w:val="000000"/>
          <w:sz w:val="20"/>
        </w:rPr>
        <w:t>USE OF PROCEEDS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the applicable prospectus supplement states otherwise, we will use the net proceeds we receive from the sale of the securities for general corporate purposes, which may include, among other things, investments in or advances to our subsidiaries, working capital, capital expenditures, stock repurchases, debt repayment or the financing of possible acquisitions. The applicable prospectus supplement relating to a particular offering of securities by us will identify the use of proceeds for that offering. Until we use the net proceeds from an offering, we may place the net proceeds in temporary investments or deposit them in a bank.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will pay the fees and expenses incurred in effecting the registration of the securities covered by this prospectus, including, without limitation, all registration and filing fees, fees and expenses of our counsel and accountants.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4955"/>
                <wp:effectExtent l="0" t="0" r="0" b="0"/>
                <wp:wrapNone/>
                <wp:docPr id="8" name="Frame6"/>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w:t>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bookmarkStart w:id="9" w:name="i6f9dfa0a65334822a8c52e6cee855f62"/>
      <w:bookmarkEnd w:id="9"/>
      <w:r>
        <w:rPr>
          <w:rFonts w:ascii="Proxima Nova;sans-serif" w:hAnsi="Proxima Nova;sans-serif"/>
          <w:b/>
          <w:color w:val="000000"/>
          <w:sz w:val="20"/>
        </w:rPr>
        <w:t>DESCRIPTION OF CAPITAL STOCK</w:t>
      </w:r>
    </w:p>
    <w:p>
      <w:pPr>
        <w:pStyle w:val="TextBody"/>
        <w:bidi w:val="0"/>
        <w:spacing w:lineRule="auto" w:line="288" w:before="200" w:after="200"/>
        <w:jc w:val="both"/>
        <w:rPr>
          <w:rFonts w:ascii="Proxima Nova;sans-serif" w:hAnsi="Proxima Nova;sans-serif"/>
          <w:b/>
          <w:color w:val="000000"/>
          <w:sz w:val="20"/>
        </w:rPr>
      </w:pPr>
      <w:bookmarkStart w:id="10" w:name="i5335525f6ce04a45a4f24e3579702943"/>
      <w:bookmarkEnd w:id="10"/>
      <w:r>
        <w:rPr>
          <w:rFonts w:ascii="Proxima Nova;sans-serif" w:hAnsi="Proxima Nova;sans-serif"/>
          <w:b/>
          <w:color w:val="000000"/>
          <w:sz w:val="20"/>
        </w:rPr>
        <w:t>General</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have the authority to issue 200,000,000 shares of common stock, par value $0.001 per share, and 1,000,000 shares of preferred stock, par value $0.001 per share. As of June 30, 2026, we had (i) 92,694,541 shares of common stock issued and 83,189,501 shares outstanding; (ii) 7,750 shares of Series A Non-Cumulative Perpetual Preferred Stock issued and outstanding; and (iii) 215,000 shares of 8.25% Fixed-Rate Series B Non-Cumulative Perpetual Preferred Stock issued and outstanding, represented by 8,600,000 issued and outstanding depositary shares each representing a 1/40th ownership interest in a share thereof.</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description of the material terms of our capital stock is only a summary. This summary does not purport to be a complete description of the terms and conditions of our capital stock in all respects and is subject to and qualified in its entirety by reference to our amended and restated articles of incorporation, as amended, which we refer to as our Articles, and our second amended and restated by-laws, as amended, which we refer to as our By-Laws, each of which is incorporated herein by reference, as well as the Nevada General Corporation Law, and any other documents referenced in the summary and from which the summary is derived.</w:t>
      </w:r>
    </w:p>
    <w:p>
      <w:pPr>
        <w:pStyle w:val="TextBody"/>
        <w:bidi w:val="0"/>
        <w:spacing w:lineRule="auto" w:line="288" w:before="200" w:after="200"/>
        <w:jc w:val="both"/>
        <w:rPr>
          <w:rFonts w:ascii="Proxima Nova;sans-serif" w:hAnsi="Proxima Nova;sans-serif"/>
          <w:b/>
          <w:color w:val="000000"/>
          <w:sz w:val="20"/>
        </w:rPr>
      </w:pPr>
      <w:bookmarkStart w:id="11" w:name="i73704eb2f1734568aa259cc36916c150"/>
      <w:bookmarkEnd w:id="11"/>
      <w:r>
        <w:rPr>
          <w:rFonts w:ascii="Proxima Nova;sans-serif" w:hAnsi="Proxima Nova;sans-serif"/>
          <w:b/>
          <w:color w:val="000000"/>
          <w:sz w:val="20"/>
        </w:rPr>
        <w:t>Common Stock</w:t>
      </w:r>
    </w:p>
    <w:p>
      <w:pPr>
        <w:pStyle w:val="TextBody"/>
        <w:bidi w:val="0"/>
        <w:spacing w:lineRule="auto" w:line="288" w:before="200" w:after="200"/>
        <w:jc w:val="both"/>
        <w:rPr/>
      </w:pPr>
      <w:bookmarkStart w:id="12" w:name="i962c404bda724f71a16bfcfae60a68c7"/>
      <w:bookmarkEnd w:id="12"/>
      <w:r>
        <w:rPr>
          <w:rFonts w:ascii="Proxima Nova;sans-serif" w:hAnsi="Proxima Nova;sans-serif"/>
          <w:b/>
          <w:i/>
          <w:color w:val="000000"/>
          <w:sz w:val="20"/>
        </w:rPr>
        <w:t>General.</w:t>
      </w:r>
      <w:r>
        <w:rPr>
          <w:color w:val="000000"/>
        </w:rPr>
        <w:t xml:space="preserve"> </w:t>
      </w:r>
      <w:r>
        <w:rPr>
          <w:rFonts w:ascii="Proxima Nova;sans-serif" w:hAnsi="Proxima Nova;sans-serif"/>
          <w:b w:val="false"/>
          <w:color w:val="000000"/>
          <w:sz w:val="20"/>
        </w:rPr>
        <w:t>Under our Articles, we have the authority to issue 200,000,000 shares of our common stock, par value $0.001 per share, of which 92,694,541 shares were issued and 83,189,501 shares were outstanding as of June 30, 2026. Also as of June 30, 2026, there were 1,990,774 shares of our common stock underlying options, stock-settled stock appreciation rights, restricted stock units, performance stock units and deferred stock units issued pursuant to our equity incentive plans. We have reserved an additional 2,519,636 shares of our common stock for future issuance under our equity incentive and employee stock purchase plans. Our common stock is listed for trading on the Nasdaq Global Select Market under the symbol “BUSE.”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Each share of our common stock has the same relative rights and is identical in all respects to every other share of our common stock. Our shares of common stock are neither redeemable nor convertible, and the holders thereof have no preemptive or subscription rights to purchase any of our securities.</w:t>
      </w:r>
    </w:p>
    <w:p>
      <w:pPr>
        <w:pStyle w:val="TextBody"/>
        <w:bidi w:val="0"/>
        <w:spacing w:lineRule="auto" w:line="288" w:before="200" w:after="200"/>
        <w:jc w:val="both"/>
        <w:rPr/>
      </w:pPr>
      <w:bookmarkStart w:id="13" w:name="idcd2aaf6e95e41c1b0ebe71840e0a451"/>
      <w:bookmarkEnd w:id="13"/>
      <w:r>
        <w:rPr>
          <w:rFonts w:ascii="Proxima Nova;sans-serif" w:hAnsi="Proxima Nova;sans-serif"/>
          <w:b/>
          <w:i/>
          <w:color w:val="000000"/>
          <w:sz w:val="20"/>
        </w:rPr>
        <w:t>Voting Rights.</w:t>
      </w:r>
      <w:r>
        <w:rPr>
          <w:color w:val="000000"/>
        </w:rPr>
        <w:t xml:space="preserve"> </w:t>
      </w:r>
      <w:r>
        <w:rPr>
          <w:rFonts w:ascii="Proxima Nova;sans-serif" w:hAnsi="Proxima Nova;sans-serif"/>
          <w:b w:val="false"/>
          <w:color w:val="000000"/>
          <w:sz w:val="20"/>
        </w:rPr>
        <w:t>Each outstanding share of our common stock is entitled to one vote on all matters submitted to a vote of stockholders. There is no cumulative voting in the election of directors.</w:t>
      </w:r>
    </w:p>
    <w:p>
      <w:pPr>
        <w:pStyle w:val="TextBody"/>
        <w:bidi w:val="0"/>
        <w:spacing w:lineRule="auto" w:line="288" w:before="200" w:after="200"/>
        <w:jc w:val="both"/>
        <w:rPr/>
      </w:pPr>
      <w:bookmarkStart w:id="14" w:name="i4a060e63abcd4554a527bec0fa36711b"/>
      <w:bookmarkEnd w:id="14"/>
      <w:r>
        <w:rPr>
          <w:rFonts w:ascii="Proxima Nova;sans-serif" w:hAnsi="Proxima Nova;sans-serif"/>
          <w:b/>
          <w:i/>
          <w:color w:val="000000"/>
          <w:sz w:val="20"/>
        </w:rPr>
        <w:t>Liquidation Rights.</w:t>
      </w:r>
      <w:r>
        <w:rPr>
          <w:color w:val="000000"/>
        </w:rPr>
        <w:t xml:space="preserve"> </w:t>
      </w:r>
      <w:r>
        <w:rPr>
          <w:rFonts w:ascii="Proxima Nova;sans-serif" w:hAnsi="Proxima Nova;sans-serif"/>
          <w:b w:val="false"/>
          <w:color w:val="000000"/>
          <w:sz w:val="20"/>
        </w:rPr>
        <w:t>Upon our liquidation, dissolution or winding up, the holders of our common stock are entitled to receive, pro rata, our assets which are legally available for distribution, after payment of all debts and other liabilities and subject to the prior rights of any holders of preferred stock then outstanding.</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4955"/>
                <wp:effectExtent l="0" t="0" r="0" b="0"/>
                <wp:wrapNone/>
                <wp:docPr id="9" name="Frame7"/>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3</w:t>
                      </w:r>
                    </w:p>
                  </w:txbxContent>
                </v:textbox>
                <w10:wrap type="none"/>
              </v:rect>
            </w:pict>
          </mc:Fallback>
        </mc:AlternateContent>
      </w:r>
    </w:p>
    <w:p>
      <w:pPr>
        <w:pStyle w:val="TextBody"/>
        <w:bidi w:val="0"/>
        <w:spacing w:lineRule="auto" w:line="288" w:before="200" w:after="200"/>
        <w:jc w:val="both"/>
        <w:rPr/>
      </w:pPr>
      <w:bookmarkStart w:id="15" w:name="i04de6bbefaa94b1bbf3ff2dd8623eab6"/>
      <w:bookmarkEnd w:id="15"/>
      <w:r>
        <w:rPr>
          <w:rFonts w:ascii="Proxima Nova;sans-serif" w:hAnsi="Proxima Nova;sans-serif"/>
          <w:b/>
          <w:i/>
          <w:color w:val="000000"/>
          <w:sz w:val="20"/>
        </w:rPr>
        <w:t>Dividends Payable on Shares of Common Stock.</w:t>
      </w:r>
      <w:r>
        <w:rPr>
          <w:color w:val="000000"/>
        </w:rPr>
        <w:t xml:space="preserve"> </w:t>
      </w:r>
      <w:r>
        <w:rPr>
          <w:rFonts w:ascii="Proxima Nova;sans-serif" w:hAnsi="Proxima Nova;sans-serif"/>
          <w:b w:val="false"/>
          <w:color w:val="000000"/>
          <w:sz w:val="20"/>
        </w:rPr>
        <w:t>In general, the holders of outstanding shares of our common stock are entitled to receive dividends out of assets legally available therefor at such times and in such amounts as our board of directors may from time to time determine. The ability of our board of directors to declare and pay dividends on our common stock may be affected by both general corporate law considerations and policies of the Board of Governors of the Federal Reserve System, which we refer to as the Federal Reserve, applicable to bank holding companies. As a Nevada corporation, we are subject to the limitations of Nevada law, which allows us to pay dividends unless, after such dividend, we would not be able to pay our debts as they become due in the usual course of business or our total assets would be less than the sum of our total liabilities plus any amount that would be needed if we were to be dissolved at the time of the dividend payment to satisfy the preferential rights of stockholders whose preferential rights are superior to those receiving the dividend. As a bank holding company, our ability to declare and pay dividends is subject to the guidelines of the Federal Reserve regarding capital adequacy and dividends. The Federal Reserve guidelines generally require us to review the effects of the cash payment of dividends on our common stock and other Tier 1 capital instruments (i.e., perpetual preferred stock and trust preferred securities) in light of our earnings, capital adequacy and financial condition. As a general matter, the Federal Reserve indicates that the board of directors of a bank holding company should eliminate, defer or significantly reduce the dividends if: (i) the company’s net income available to stockholders for the past four quarters, net of dividends previously paid during that period, is not sufficient to fully fund the dividends; (ii) 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 xml:space="preserve">Most of our revenues available for the payment of dividends derive from amounts paid to us by Busey Bank. There are various statutory limitations that limit the ability of Busey Bank to pay dividends to us. Busey Bank is a state-chartered Federal Reserve member bank and is subject to the laws and regulations of the Illinois Department of Financial and Professional Regulation and to the regulations of the Federal Reserve. If a bank’s primary banking regulator determines that the bank is engaged or is about to engage in an unsafe or unsound banking practice, the regulator may require, after notice and hearing, that the bank cease and desist from such practice. Depending on the financial condition of the bank, an unsafe or unsound practice could include the payment of dividends. In particular, the federal banking agencies have indicated that paying dividends that deplete a bank’s capital base to an inadequate level would be an unsafe and unsound banking practice. </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 xml:space="preserve">Under the Illinois Banking Act, Busey Bank generally may not pay dividends in excess of its net profits. Further, the payment of dividends by any financial institution is also affected by the requirement to maintain adequate capital pursuant to applicable capital adequacy guidelines and regulations, and a financial institution generally is prohibited from paying any dividends if, following payment thereof, the institution would be undercapitalized. Even notwithstanding the availability of funds for dividends, the Federal Reserve may prohibit the payment of any dividends by an insured bank, such as Busey Bank, if the Federal Reserve determines such payment would constitute an unsafe or unsound practice. </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 xml:space="preserve">Under applicable regulatory requirements, an Illinois state-chartered bank such as Busey Bank may not pay dividends in excess of its net profits. Since the second quarter of 2018, Busey Bank has maintained a positive retained earnings position and has been permitted to pay dividends to the Company. </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of June 30, 2026, we had outstanding $62.47 million of junior subordinated debentures issued to unconsolidated statutory trusts in connection with the issuance by the trusts of preferred securities. The terms of the junior subordinated debentures and the related trust preferred securities provide that we may defer interest on such instruments for up to five years, but not beyond the stated maturity date. As of June 30, 2026, we were current on the interest payable pursuant to the junior subordinated debentures and the related trust preferred securities. However, if we elect in the future to defer interest on such instruments, our ability to pay dividends on our common stock also will be subject to the prior payment of all accrued but unpaid interest on the junior subordinated debentures and the related trust preferred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Furthermore, we may be limited from paying dividends on our common stock pursuant to the terms of our credit agreement with U.S. Bank National Association. As of June 30, 2026, we were not limited from the payment of any quarterly dividends on our common stock consistent with past practices.</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4955"/>
                <wp:effectExtent l="0" t="0" r="0" b="0"/>
                <wp:wrapNone/>
                <wp:docPr id="10" name="Frame8"/>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4</w:t>
                      </w:r>
                    </w:p>
                  </w:txbxContent>
                </v:textbox>
                <w10:wrap type="none"/>
              </v:rect>
            </w:pict>
          </mc:Fallback>
        </mc:AlternateContent>
      </w:r>
    </w:p>
    <w:p>
      <w:pPr>
        <w:pStyle w:val="TextBody"/>
        <w:bidi w:val="0"/>
        <w:spacing w:lineRule="auto" w:line="288" w:before="200" w:after="200"/>
        <w:jc w:val="both"/>
        <w:rPr>
          <w:rFonts w:ascii="Proxima Nova;sans-serif" w:hAnsi="Proxima Nova;sans-serif"/>
          <w:b/>
          <w:color w:val="000000"/>
          <w:sz w:val="20"/>
        </w:rPr>
      </w:pPr>
      <w:bookmarkStart w:id="16" w:name="i88927b42cd044d1f88675177a83cff6c"/>
      <w:bookmarkEnd w:id="16"/>
      <w:r>
        <w:rPr>
          <w:rFonts w:ascii="Proxima Nova;sans-serif" w:hAnsi="Proxima Nova;sans-serif"/>
          <w:b/>
          <w:color w:val="000000"/>
          <w:sz w:val="20"/>
        </w:rPr>
        <w:t>Anti-Takeover Provisions</w:t>
      </w:r>
    </w:p>
    <w:p>
      <w:pPr>
        <w:pStyle w:val="TextBody"/>
        <w:bidi w:val="0"/>
        <w:spacing w:lineRule="auto" w:line="288" w:before="200" w:after="200"/>
        <w:jc w:val="both"/>
        <w:rPr/>
      </w:pPr>
      <w:bookmarkStart w:id="17" w:name="ia5ca294b062744f78e91f5d7d039c6fe"/>
      <w:bookmarkEnd w:id="17"/>
      <w:r>
        <w:rPr>
          <w:rFonts w:ascii="Proxima Nova;sans-serif" w:hAnsi="Proxima Nova;sans-serif"/>
          <w:b/>
          <w:i/>
          <w:color w:val="000000"/>
          <w:sz w:val="20"/>
        </w:rPr>
        <w:t>General.</w:t>
      </w:r>
      <w:r>
        <w:rPr>
          <w:color w:val="000000"/>
        </w:rPr>
        <w:t xml:space="preserve"> </w:t>
      </w:r>
      <w:r>
        <w:rPr>
          <w:rFonts w:ascii="Proxima Nova;sans-serif" w:hAnsi="Proxima Nova;sans-serif"/>
          <w:b w:val="false"/>
          <w:color w:val="000000"/>
          <w:sz w:val="20"/>
        </w:rPr>
        <w:t>Our Articles and our By-Laws may have the effect of discouraging, delaying or preventing a 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pStyle w:val="TextBody"/>
        <w:bidi w:val="0"/>
        <w:spacing w:lineRule="auto" w:line="288" w:before="200" w:after="200"/>
        <w:jc w:val="both"/>
        <w:rPr/>
      </w:pPr>
      <w:bookmarkStart w:id="18" w:name="if104d1cbee014bda8c5a9a57ec3c4fa9"/>
      <w:bookmarkEnd w:id="18"/>
      <w:r>
        <w:rPr>
          <w:rFonts w:ascii="Proxima Nova;sans-serif" w:hAnsi="Proxima Nova;sans-serif"/>
          <w:b/>
          <w:i/>
          <w:color w:val="000000"/>
          <w:sz w:val="20"/>
        </w:rPr>
        <w:t>Authorized Shares of Capital Stock.</w:t>
      </w:r>
      <w:r>
        <w:rPr>
          <w:color w:val="000000"/>
        </w:rPr>
        <w:t xml:space="preserve"> </w:t>
      </w:r>
      <w:r>
        <w:rPr>
          <w:rFonts w:ascii="Proxima Nova;sans-serif" w:hAnsi="Proxima Nova;sans-serif"/>
          <w:b w:val="false"/>
          <w:color w:val="000000"/>
          <w:sz w:val="20"/>
        </w:rPr>
        <w:t>Authorized but unissued shares of our common stock and preferred stock under our Articles could (within the limits imposed by applicable law and the rules of The Nasdaq Stock Market LLC) be issued in one or more transactions that could make a change of control of us more difficult, and therefore more unlikely. The additional authorized shares could be used to discourage persons from attempting to gain control of us by diluting the voting power of shares then outstanding or increasing the voting power of persons who would support the board of directors in a potential takeover situation, including by preventing or delaying a proposed business combination that is opposed by the board of directors although perceived to be desirable by some stockholders.</w:t>
      </w:r>
    </w:p>
    <w:p>
      <w:pPr>
        <w:pStyle w:val="TextBody"/>
        <w:bidi w:val="0"/>
        <w:spacing w:lineRule="auto" w:line="288" w:before="200" w:after="200"/>
        <w:jc w:val="both"/>
        <w:rPr/>
      </w:pPr>
      <w:bookmarkStart w:id="19" w:name="ie761965a6d94407482874349577c7f7e"/>
      <w:bookmarkEnd w:id="19"/>
      <w:r>
        <w:rPr>
          <w:rFonts w:ascii="Proxima Nova;sans-serif" w:hAnsi="Proxima Nova;sans-serif"/>
          <w:b/>
          <w:i/>
          <w:color w:val="000000"/>
          <w:sz w:val="20"/>
        </w:rPr>
        <w:t>Limitations on Right to Call Special Meetings; Stockholder Proposal Notice Requirements.</w:t>
      </w:r>
      <w:r>
        <w:rPr>
          <w:color w:val="000000"/>
        </w:rPr>
        <w:t xml:space="preserve"> </w:t>
      </w:r>
      <w:r>
        <w:rPr>
          <w:rFonts w:ascii="Proxima Nova;sans-serif" w:hAnsi="Proxima Nova;sans-serif"/>
          <w:b w:val="false"/>
          <w:color w:val="000000"/>
          <w:sz w:val="20"/>
        </w:rPr>
        <w:t>Under our By</w:t>
        <w:noBreakHyphen/>
        <w:t>Laws, a special meeting of our stockholders may be called only by the Chairman of our board of directors, our Chief Executive Officer, our President, a majority of our board of directors, or stockholders owning at least 50% of the entire capital stock issued and outstanding and entitled to vote. Additionally, our By-Laws require that stockholder proposals meet certain advanced notice and minimum informational requirements. These provisions could have the effect of delaying until the next annual stockholders meeting stockholder actions which are favored by the holders of a majority of our outstanding voting securities.</w:t>
      </w:r>
    </w:p>
    <w:p>
      <w:pPr>
        <w:pStyle w:val="TextBody"/>
        <w:bidi w:val="0"/>
        <w:spacing w:lineRule="auto" w:line="288" w:before="200" w:after="200"/>
        <w:jc w:val="both"/>
        <w:rPr/>
      </w:pPr>
      <w:bookmarkStart w:id="20" w:name="i9b4d5b8a91af4978b11c633664c8ea93"/>
      <w:bookmarkEnd w:id="20"/>
      <w:r>
        <w:rPr>
          <w:rFonts w:ascii="Proxima Nova;sans-serif" w:hAnsi="Proxima Nova;sans-serif"/>
          <w:b/>
          <w:i/>
          <w:color w:val="000000"/>
          <w:sz w:val="20"/>
        </w:rPr>
        <w:t>State Anti-Takeover Laws.</w:t>
      </w:r>
      <w:r>
        <w:rPr>
          <w:color w:val="000000"/>
        </w:rPr>
        <w:t xml:space="preserve"> </w:t>
      </w:r>
      <w:r>
        <w:rPr>
          <w:rFonts w:ascii="Proxima Nova;sans-serif" w:hAnsi="Proxima Nova;sans-serif"/>
          <w:b w:val="false"/>
          <w:color w:val="000000"/>
          <w:sz w:val="20"/>
        </w:rPr>
        <w:t>Although under our Articles we have opted not to be governed by Nevada’s anti-takeover law known as the “Combination with Interested Stockholders Statute,” we may become subject to this provision in the future. In addition, the Nevada General Corporation Law contains a “Control Share Acquisition Statute,” which does not currently apply to us.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Combination with Interested Stockholders Statute prevents “interested stockholders” and an applicable Nevada corporation from entering into a “combination” unless certain conditions are met. A combination means, among other things, any merger or consolidation with an “interested stockholder,” or any sale, lease, exchange, mortgage, pledge, transfer or other disposition, in one transaction or a series of transactions, with an “interested stockholder” having: (i) an aggregate market value equal to more than 5% of the aggregate market value of the assets of the corporation; (ii) an aggregate market value equal to more than 5% of the aggregate market value of all outstanding voting shares of the corporation; or (iii) representing more than 10% of the earning power or net income of the corporation. An “interested stockholder” means the beneficial owner of 10% or more of the voting shares of a corporation, or an affiliate or associate of a corporation who at any time within two years immediately prior to the date in question was the beneficial owner of 10% or more of the voting shares of the corporation. A corporation may not engage in a “combination” within two years after the interested stockholder acquired its shares unless the combination or the purchase of shares made by the interested stockholder is approved by the board of directors before the interested stockholder acquired such shares or the combination is approved by the board of directors and, at or after that time, the combination is approved at an annual or special meeting of the stockholders of the corporation representing at least 60% of the outstanding voting power held by disinterested stockholders.</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4955"/>
                <wp:effectExtent l="0" t="0" r="0" b="0"/>
                <wp:wrapNone/>
                <wp:docPr id="11" name="Frame9"/>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5</w:t>
                      </w:r>
                    </w:p>
                  </w:txbxContent>
                </v:textbox>
                <w10:wrap type="none"/>
              </v:rect>
            </w:pict>
          </mc:Fallback>
        </mc:AlternateConten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such approval is not obtained, then after the expiration of the two-year period, the business combination may be consummated: (i) if the combination or the transaction in which the person became an interested stockholder was approved by the board of directors before the person became an interested stockholder; (ii) if the combination is approved at an annual or special meeting of the stockholders of the corporation by a majority of the voting power held by disinterested stockholders; or (iii) if the consideration to be paid by the interested stockholder for disinterested shares of common or preferred stock, as applicable, is at least equal to the highest of: (A) the highest price per share of such stock paid by the interested stockholder within the two years immediately preceding the date of the announcement of the combination or in the transaction in which the person became an interested stockholder, whichever is higher, plus interest from that date through the date of consummation of the combination and less any dividends paid during the same period; (B) the market value per share of such stock on the date of the announcement of the combination or the date the interested stockholder acquired the shares, whichever is higher, plus interest from that date through the date of consummation of the combination and less any dividends paid during the same period; or (C) the amount specified in our Articles, including in any certificate of designation for the class or series of shares are entitled upon the consummation of a transaction of a type encompassing the combination.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Control Share Acquisition Statute prohibits an acquiror, under certain circumstances, from voting shares of a target corporation’s stock after crossing certain threshold ownership percentages, unless the acquiror obtains the approval of the target corporation’s stockholders. The Control Share Acquisition Statute specifies three thresholds: (i) one-fifth or more but less than one-third; (ii) one-third or more but less than a majority; and (iii) a majority or more, of the voting power of the corporation in the election of directors. Once an acquiror crosses one of the above thresholds, those shares acquired in such offer or acquisition and those shares acquired within the preceding ninety days become “Control Shares” and such Control Shares are deprived of the right to vote until disinterested stockholders restore the right. The Control Shares Acquisition Statute also provides that in the event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The board of directors is to notify the stockholders after such an event has occurred that they have the right to receive the fair value of their shares in accordance with statutory procedures established generally for dissenters’ rights. The Control Share Acquisition Statute currently does not apply to us because we do not have 100 or more stockholders of record who are residents of the State of Nevada.</w:t>
      </w:r>
    </w:p>
    <w:p>
      <w:pPr>
        <w:pStyle w:val="TextBody"/>
        <w:bidi w:val="0"/>
        <w:spacing w:lineRule="auto" w:line="288" w:before="200" w:after="200"/>
        <w:jc w:val="both"/>
        <w:rPr>
          <w:rFonts w:ascii="Proxima Nova;sans-serif" w:hAnsi="Proxima Nova;sans-serif"/>
          <w:b/>
          <w:color w:val="000000"/>
          <w:sz w:val="20"/>
        </w:rPr>
      </w:pPr>
      <w:bookmarkStart w:id="21" w:name="ibd6a6978ec8c409d8a34955a3ba48165"/>
      <w:bookmarkEnd w:id="21"/>
      <w:r>
        <w:rPr>
          <w:rFonts w:ascii="Proxima Nova;sans-serif" w:hAnsi="Proxima Nova;sans-serif"/>
          <w:b/>
          <w:color w:val="000000"/>
          <w:sz w:val="20"/>
        </w:rPr>
        <w:t>Preferred Stock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issue up to 1,000,000 shares of preferred stock, $0.001 par value per share, from time to time in one or more series. As of June 30, 2026, there were 7,750 shares of Series A Non-Cumulative Perpetual Preferred Stock issued and outstanding and 215,000 shares of 8.25% Fixed-Rate Series B Non-Cumulative Perpetual Preferred Stock issued and outstanding. Depositary shares each representing a 1/40th ownership interest in a share of our 8.25% Fixed-Rate Series B Non-Cumulative Perpetual Preferred Stock are listed on the Nasdaq Global Select Market under the ticker symbol “BUSEP."</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Our board of directors, without further approval of the stockholders, has the authority to fix the dividend rights and terms, conversion rights, voting rights, redemption rights and terms, liquidation preferences, preemption rights, sinking funds and any other rights, preferences, privileges and restrictions applicable to each series of preferred stock. The issuance of preferred stock, while providing flexibility in connection with possible acquisitions and other corporate purposes, could, among other things, adversely affect the voting power of the holders of our common stock.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applicable prospectus supplement and any other offering materials relating to any series of preferred stock issued under the registration statement of which this prospectus is a part will specify the terms of the series, including:</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maximum number of shares in the series and the designation of the series;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terms on which dividends, if any, will be paid;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terms on which the shares of the series may be redeemed, if at all;</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liquidation preference, if any;</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4955"/>
                <wp:effectExtent l="0" t="0" r="0" b="0"/>
                <wp:wrapNone/>
                <wp:docPr id="12" name="Frame10"/>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6</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terms of any retirement or sinking fund for the purchase or redemption of the shares of the series;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terms and conditions, if any, on which the shares of the series will be convertible into, or exchangeable for, shares of any other class or classes of common or preferred stock;</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applicable preemption rights;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applicable right to designate members of our board of directors;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voting rights, if any, of the shares of the series; and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or all other preferences and relative, participating, operational or other special rights or qualifications, limitations or restrictions of the shares of the series.</w:t>
      </w:r>
    </w:p>
    <w:p>
      <w:pPr>
        <w:pStyle w:val="TextBody"/>
        <w:bidi w:val="0"/>
        <w:spacing w:lineRule="auto" w:line="268" w:before="0" w:after="0"/>
        <w:jc w:val="both"/>
        <w:rPr>
          <w:rFonts w:ascii="Proxima Nova;sans-serif" w:hAnsi="Proxima Nova;sans-serif"/>
          <w:b w:val="false"/>
          <w:color w:val="000000"/>
          <w:sz w:val="20"/>
        </w:rPr>
      </w:pPr>
      <w:r>
        <w:rPr>
          <w:rFonts w:ascii="Proxima Nova;sans-serif" w:hAnsi="Proxima Nova;sans-serif"/>
          <w:b w:val="false"/>
          <w:color w:val="000000"/>
          <w:sz w:val="20"/>
        </w:rPr>
        <w:t>The description of preferred stock above and the description of the terms of a particular series of preferred stock contained in the applicable prospectus supplement and other offering materials, if any, are not complete. You should refer to the applicable certificate of designations with respect to a series of preferred stock for complete information concerning the terms of that series. A copy of the certificate of designations for each series of preferred stock will be filed with the SEC as an exhibit to the registration statement of which this prospectus is a part or as an exhibit to a filing incorporated by reference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22" w:name="ibbfeef260cc1435695fd12ad9211fd34"/>
      <w:bookmarkEnd w:id="22"/>
      <w:r>
        <w:rPr>
          <w:rFonts w:ascii="Proxima Nova;sans-serif" w:hAnsi="Proxima Nova;sans-serif"/>
          <w:b/>
          <w:color w:val="000000"/>
          <w:sz w:val="20"/>
        </w:rPr>
        <w:t>DESCRIPTION OF DEBT SECURITIES</w:t>
      </w:r>
    </w:p>
    <w:p>
      <w:pPr>
        <w:pStyle w:val="TextBody"/>
        <w:bidi w:val="0"/>
        <w:spacing w:lineRule="auto" w:line="288" w:before="200" w:after="200"/>
        <w:jc w:val="both"/>
        <w:rPr>
          <w:rFonts w:ascii="Proxima Nova;sans-serif" w:hAnsi="Proxima Nova;sans-serif"/>
          <w:b/>
          <w:color w:val="000000"/>
          <w:sz w:val="20"/>
        </w:rPr>
      </w:pPr>
      <w:bookmarkStart w:id="23" w:name="ie3839e0099d0416da84ce733bc2fdeb2"/>
      <w:bookmarkEnd w:id="23"/>
      <w:r>
        <w:rPr>
          <w:rFonts w:ascii="Proxima Nova;sans-serif" w:hAnsi="Proxima Nova;sans-serif"/>
          <w:b/>
          <w:color w:val="000000"/>
          <w:sz w:val="20"/>
        </w:rPr>
        <w:t>General</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debt securities that we may offer using this prospectus consist of notes, debentures or other evidences of indebtedness. Any debt securities that we offer and sell will be our direct obligations. Debt securities may be issued in one or more series. All debt securities of any one series need not be issued at the same time, and unless otherwise provided, a series of debt securities may be reopened, without the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As required by the Trust Indenture Act of 1939, as amended, which we refer to as the Trust Indenture Act, for all debt securities that are publicly offered, our debt securities will be governed by a document called an indenture. The form of indenture is subject to any amendments or supplements that we may enter into with the trustee(s) setting forth the specific terms and conditions of the debt securities being issued. The indenture is filed as an exhibit to the registration statement of which this prospectus forms a part. The material terms of the indenture are summarized below and we refer you to the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title of the debt securities, including, as applicable, whether the debt securities will be issued as senior debt securities, senior subordinated debt securities or subordinated debt securities, and any subordination provisions particular to the series of debt securities, if different from those described below under “</w:t>
      </w:r>
      <w:hyperlink w:anchor="idc7845e96d7a4f6398f24612780fa795_140934">
        <w:r>
          <w:rPr>
            <w:rStyle w:val="InternetLink"/>
          </w:rPr>
          <w:t xml:space="preserve">Subordination of the </w:t>
        </w:r>
      </w:hyperlink>
      <w:hyperlink w:anchor="idc7845e96d7a4f6398f24612780fa795_140934">
        <w:r>
          <w:rPr>
            <w:rStyle w:val="InternetLink"/>
          </w:rPr>
          <w:t xml:space="preserve">Subordinated </w:t>
        </w:r>
      </w:hyperlink>
      <w:hyperlink w:anchor="idc7845e96d7a4f6398f24612780fa795_140934">
        <w:r>
          <w:rPr>
            <w:rStyle w:val="InternetLink"/>
          </w:rPr>
          <w:t>Debt Securities</w:t>
        </w:r>
      </w:hyperlink>
      <w:r>
        <w:rPr>
          <w:color w:val="000000"/>
        </w:rPr>
        <w:t>”</w:t>
      </w:r>
      <w:r>
        <w:rPr>
          <w:rFonts w:ascii="Proxima Nova;sans-serif" w:hAnsi="Proxima Nova;sans-serif"/>
          <w:b w:val="false"/>
          <w:color w:val="000000"/>
          <w:sz w:val="20"/>
        </w:rPr>
        <w: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limit on the aggregate principal amount of the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if other than 100% of the aggregate principal amount, the percentage of the aggregate principal amount at which we will sell the debt securities (i.e., original issuance discount);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date or dates, whether fixed or extendable, on which the principal of the debt securities will be payable;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rate or rates, which may be fixed or variable, at which the debt securities will bear interest, if any, the date or dates from which any such interest will accrue, the interest payment dates on which we will pay any such interest, the basis upon which interest will be calculated if other than that of a 360-day year consisting of twelve 30-day months, and, in the case of registered securities, the record dates for the determination of holders to whom interest is payable;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provisions relating to the issuance of the debt securities of the series at an original issue discount;</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4955"/>
                <wp:effectExtent l="0" t="0" r="0" b="0"/>
                <wp:wrapNone/>
                <wp:docPr id="13" name="Frame11"/>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7</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place or places where the principal of, and any premium or interest on, the debt securities will be payable and, if applicable, where the debt securities may be surrendered for conversion or exchange;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we may, at our option, redeem, repurchase or repay the debt securities, and if so, the price or prices at which, the period or periods within which, and the terms and conditions upon which, we may redeem, repurchase or repay the debt securities, in whole or in part, pursuant to any sinking fund or otherwise;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obligation we may have to redeem, purchase or repay the debt securities pursuant to any sinking fund or analogous provisions or at the option of a holder of debt securities, and the price or prices at which, the currency in which and the period or periods within which, and the other terms and conditions upon which, the debt securities will be redeemed, purchased or repaid, in whole or in part, pursuant to any such obligation, and any provision for the remarketing of the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the debt securities will be registered securities or unregistered securities or both, and the rights of the holders of the debt securities to exchange unregistered securities for registered securities, or vice-versa, and the circumstances under which any such exchanges, if permitted, may be made;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denominations, which may be in U.S. dollars or in any foreign currency, in which the debt securities will be issued, if other than denominations of $1,000 and any integral multiple thereof;</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if other than U.S. dollars, the currency or currencies in which payments of principal, interest and other amounts payable with respect to the debt securities will be denominated, payable, redeemable or repurchasable, as the case may be;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the debt securities may be issuable in tranches;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the conversion price or exchange ratio), and any limitations on the ownership or transferability of the securities or property into which the debt securities may be converted or exchanged;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trustees, authenticating or paying agents, transfer agents or registrars or any other agents with respect to the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if the debt securities do not bear interest, the applicable dates required under the indenture for furnishing information to the trustee regarding the holders of the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deletions from, modifications of or additions to (i) the events of default with respect to the debt securities or (ii) the rights of the trustee or the holders of the debt securities in connection with events of default;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deletions from, modifications of or additions to the covenants with respect to the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if the amount of payments of principal of, and make-whole amount, if any, and interest on the debt securities may be determined with reference to an index, the manner in which such amount will be determined;</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4955"/>
                <wp:effectExtent l="0" t="0" r="0" b="0"/>
                <wp:wrapNone/>
                <wp:docPr id="14" name="Frame12"/>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8</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under what circumstances and the currency in which, we will pay additional amounts on the debt securities to any holder of the debt securities who is not a U.S. person in respect of any tax, assessment or governmental charge and, if so, whether we will have the option to redeem such debt securities rather than pay such additional amounts (and the terms of any such option);</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the debt securities, in whole or specified parts, will be defeasible, and, if the securities may be defeased, in whole or in specified part, any provisions to permit a pledge of obligations other than certain government obligations to satisfy the requirements of the indenture regarding defeasance of securities and, if other than by resolution of our board of directors, the manner in which any election to defease the debt securities will be evidenced;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the debt securities will be secured by any property, assets or other collateral and, if so, a general description of the collateral and the terms of any related security, pledge or other agreements;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persons to whom any interest on the debt securities will be payable, if other than the registered holders thereof on the regular record date therefor;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dates on which interest, if any, will be payable and the regular record dates for interest payment dates;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restrictions, conditions or requirements for transfer of the debt securities; and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other material terms or conditions upon which the debt securities will be issued.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otherwise indicated in an applicable prospectus supplement, we will issue debt securities in fully registered form without coupons and in denominations of $1,000 and in integral multiples of $1,000, and interest will be computed on the basis of a 360-day year of twelve 30-day months. If any interest payment date or the maturity date falls on a day that is not a business day, then the payment will be made on the next business day without additional interest and with the same effect as if it were made on the originally scheduled date.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otherwise indicated in an applicable prospectus supplement, the trustee will act as paying agent and registrar for the debt securities under the indenture. We may also act as paying agent under the indenture.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An applicable prospectus supplement will contain a description of U.S. federal income tax consequences relating to the debt securities, to the extent applicable.</w:t>
      </w:r>
    </w:p>
    <w:p>
      <w:pPr>
        <w:pStyle w:val="TextBody"/>
        <w:bidi w:val="0"/>
        <w:spacing w:lineRule="auto" w:line="288" w:before="200" w:after="200"/>
        <w:jc w:val="both"/>
        <w:rPr>
          <w:rFonts w:ascii="Proxima Nova;sans-serif" w:hAnsi="Proxima Nova;sans-serif"/>
          <w:b/>
          <w:color w:val="000000"/>
          <w:sz w:val="20"/>
        </w:rPr>
      </w:pPr>
      <w:bookmarkStart w:id="24" w:name="i41e35d1d46da4ac3bfce26abbd0e2df7"/>
      <w:bookmarkEnd w:id="24"/>
      <w:r>
        <w:rPr>
          <w:rFonts w:ascii="Proxima Nova;sans-serif" w:hAnsi="Proxima Nova;sans-serif"/>
          <w:b/>
          <w:color w:val="000000"/>
          <w:sz w:val="20"/>
        </w:rPr>
        <w:t>Covenants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An applicable prospectus supplement will describe any covenants, such as restrictive covenants restricting us or any of our subsidiaries from incurring, issuing, assuming or guarantying any indebtedness or restricting us or any of our subsidiaries from paying dividends or acquiring any of our or its capital stock.</w:t>
      </w:r>
    </w:p>
    <w:p>
      <w:pPr>
        <w:pStyle w:val="TextBody"/>
        <w:bidi w:val="0"/>
        <w:spacing w:lineRule="auto" w:line="288" w:before="200" w:after="200"/>
        <w:jc w:val="both"/>
        <w:rPr>
          <w:rFonts w:ascii="Proxima Nova;sans-serif" w:hAnsi="Proxima Nova;sans-serif"/>
          <w:b/>
          <w:color w:val="000000"/>
          <w:sz w:val="20"/>
        </w:rPr>
      </w:pPr>
      <w:bookmarkStart w:id="25" w:name="ieb438af9624a491ebcc517ea82b3623f"/>
      <w:bookmarkStart w:id="26" w:name="idc7845e96d7a4f6398f24612780fa795_99687"/>
      <w:bookmarkEnd w:id="25"/>
      <w:bookmarkEnd w:id="26"/>
      <w:r>
        <w:rPr>
          <w:rFonts w:ascii="Proxima Nova;sans-serif" w:hAnsi="Proxima Nova;sans-serif"/>
          <w:b/>
          <w:color w:val="000000"/>
          <w:sz w:val="20"/>
        </w:rPr>
        <w:t>Consolidation, Merger and Transfer of Assets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we indicate otherwise in an applicable prospectus supplement, the indenture will permit a consolidation or merger between us and another entity and/or the sale, conveyance or lease by us of all or substantially all of our property and assets; provided, however, that: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we or our principal subsidiary bank are the surviving or continuing entity, or the resulting or acquiring entity, if other than us, is organized and existing under the laws of a U.S. jurisdiction and assumes all of our responsibilities and liabilities under the indenture, including the payment of all amounts due on the debt securities and performance of the covenants in the indenture;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immediately after the transaction, and giving effect to the transaction, no event of default under the indenture exists; and</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4955"/>
                <wp:effectExtent l="0" t="0" r="0" b="0"/>
                <wp:wrapNone/>
                <wp:docPr id="15" name="Frame13"/>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9</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we have delivered to the trustee an officers’ certificate and an opinion of counsel stating that the transaction and, if a supplemental indenture is required in connection with the transaction, the supplemental indenture comply with the indenture and that all conditions precedent to the transaction contained in the indenture have been satisfied.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Notwithstanding the foregoing, we may transfer all of our property and assets to another entity if, immediately after giving effect to the transfer, such entity is our wholly owned subsidiary. The term “wholly owned subsidiary” means any subsidiary in which we and/or our other wholly owned subsidiaries own all of the outstanding capital stock.</w:t>
      </w:r>
    </w:p>
    <w:p>
      <w:pPr>
        <w:pStyle w:val="TextBody"/>
        <w:bidi w:val="0"/>
        <w:spacing w:lineRule="auto" w:line="288" w:before="200" w:after="200"/>
        <w:jc w:val="both"/>
        <w:rPr>
          <w:rFonts w:ascii="Proxima Nova;sans-serif" w:hAnsi="Proxima Nova;sans-serif"/>
          <w:b/>
          <w:color w:val="000000"/>
          <w:sz w:val="20"/>
        </w:rPr>
      </w:pPr>
      <w:bookmarkStart w:id="27" w:name="i101d7313b39246a0b4b97545da4ae592"/>
      <w:bookmarkEnd w:id="27"/>
      <w:r>
        <w:rPr>
          <w:rFonts w:ascii="Proxima Nova;sans-serif" w:hAnsi="Proxima Nova;sans-serif"/>
          <w:b/>
          <w:color w:val="000000"/>
          <w:sz w:val="20"/>
        </w:rPr>
        <w:t>Modification and Waiver</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we indicate otherwise in an applicable prospectus supplement, 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 change in the stated maturity date of any payment of principal, premium, if any, or interest;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 reduction in the principal amount of, premium, if any, or interest on, any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 alteration or impairment of any right to convert at the rate or upon the terms provided in the indenture;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 change in the currency in which any payment on the debt securities is payable;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 impairment of a holder’s right to sue us for the enforcement of payments due on the debt securities; or</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 reduction in the percentage of outstanding debt securities required to consent to a modification or amendment of the indenture or required to consent to a waiver of compliance with certain provisions of the indenture or certain defaults under the indenture.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Under the indenture, the holders of not less than a majority in aggregate principal amount of the outstanding debt securities may, on behalf of all holders of the debt securities: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waive compliance by us with certain restrictive provisions of the indenture and their consequences; and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waive any past default under the indenture in accordance with the applicable provisions of the indenture, except a default in the payment of the principal, premium, if any, or interest on, any series of debt securities.</w:t>
      </w:r>
    </w:p>
    <w:p>
      <w:pPr>
        <w:pStyle w:val="TextBody"/>
        <w:bidi w:val="0"/>
        <w:spacing w:lineRule="auto" w:line="288" w:before="200" w:after="200"/>
        <w:jc w:val="both"/>
        <w:rPr>
          <w:rFonts w:ascii="Proxima Nova;sans-serif" w:hAnsi="Proxima Nova;sans-serif"/>
          <w:b/>
          <w:color w:val="000000"/>
          <w:sz w:val="20"/>
        </w:rPr>
      </w:pPr>
      <w:bookmarkStart w:id="28" w:name="ia259161b8bf54b26967f2fc8733d1024"/>
      <w:bookmarkEnd w:id="28"/>
      <w:r>
        <w:rPr>
          <w:rFonts w:ascii="Proxima Nova;sans-serif" w:hAnsi="Proxima Nova;sans-serif"/>
          <w:b/>
          <w:color w:val="000000"/>
          <w:sz w:val="20"/>
        </w:rPr>
        <w:t>Events of Default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we indicate otherwise in an applicable prospectus supplement, “event of default” under the indenture will mean, with respect to any series of debt securities, any of the following:</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default in the payment of any interest upon any security of such series as and when it becomes due and payable, and continuance of such default for a period of 30 days;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default in the payment of the principal of the securities of such series as and when it becomes due and payable either at maturity, upon redemption (for any sinking fund payment or otherwise), by declaration or otherwise;</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4955"/>
                <wp:effectExtent l="0" t="0" r="0" b="0"/>
                <wp:wrapNone/>
                <wp:docPr id="16" name="Frame14"/>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10</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our failure to observe or perform any of our other covenants or agreements in the securities of such series, or in the Indenture and relating to such series, for a period of 60 days after the date on which written notice specifying such failure and requiring us to remedy the failure and stating that such notice is a “Notice of Default” shall have been given to us in accordance with the indenture by the trustee for the securities of such series, or to us and the trustee by the holders of not less than 25% in aggregate principal amount at maturity of the securities of such series then outstanding;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if we or our principal subsidiary bank make an assignment for the benefit of creditors, or file a petition in bankruptcy; or we are adjudicated insolvent or bankrupt, or petition or apply to any court having jurisdiction for the appointment of a receiver, trustee, liquidator or sequestrator of, or for, us or any substantial portion of our property; or we commence any proceeding relating to us or any substantial portion of our property under any insolvency, reorganization, arrangement or readjustment of debt, dissolution, winding-up, adjustment, composition or liquidation law or statute of any jurisdiction, whether now or hereafter in effect, which we refer to as a “proceeding”; or if there is commenced against us any proceeding and an order approving the petition is entered, or such proceeding remains undischarged or unstayed for a period of 90 days; or a receiver, trustee, liquidator or sequestrator of, or for, us or any substantial portion of our property is appointed and is not discharged within a period of 90 days; or we by any act indicate consent to or approval of or acquiescence in any proceeding or the appointment of a receiver, trustee, liquidator or sequestrator of, or for, us or any substantial portion of our property; provided that a resolution or order for our winding-up with a view to our consolidation, amalgamation or merger with another entity or the transfer of our assets as a whole, or substantially as a whole, to such other entity as permitted by the indenture does not make these rights and remedies enforceable if such entity, as a part of such consolidation, amalgamation, merger or transfer, and within 90 days from the passing of the resolution or the date of the order, complies with the conditions described under “</w:t>
      </w:r>
      <w:hyperlink w:anchor="idc7845e96d7a4f6398f24612780fa795_99687">
        <w:r>
          <w:rPr>
            <w:rStyle w:val="InternetLink"/>
            <w:rFonts w:ascii="Proxima Nova;sans-serif" w:hAnsi="Proxima Nova;sans-serif"/>
            <w:b w:val="false"/>
            <w:color w:val="0000FF"/>
            <w:sz w:val="20"/>
            <w:u w:val="single"/>
          </w:rPr>
          <w:t>Consolidation, Merger and Transfer of Assets</w:t>
        </w:r>
      </w:hyperlink>
      <w:r>
        <w:rPr>
          <w:rFonts w:ascii="Proxima Nova;sans-serif" w:hAnsi="Proxima Nova;sans-serif"/>
          <w:b w:val="false"/>
          <w:color w:val="000000"/>
          <w:sz w:val="20"/>
        </w:rPr>
        <w: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default by the Company under any of its other indebtedness having an aggregate principal amount of at least $25,000,000, whether such indebtedness now exists or is created or incurred in the future, which default (i) constitutes failure in payment of principal of such indebtedness when due after the expiration of any applicable grace period without such indebtedness having been discharged or (ii) results in such indebtedness becoming due or being declared due and payable prior to the date on which it otherwise would have become due or payable without such indebtedness having been discharged or such acceleration having been rescinded or annulled; provided that the foregoing shall not constitute an event of default with respect to any subordinated debt securities; or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other event of default provided in the supplemental indenture or board resolution under which such series of securities is issued or in the form of security for such series.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we indicate otherwise in the applicable prospectus supplement, 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described in the fourth bullet point above occurs,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interests of the holders. For purposes of this paragraph, “default” means any event which is, or after notice or lapse of time or both would become, an event of default under the indenture.</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4955"/>
                <wp:effectExtent l="0" t="0" r="0" b="0"/>
                <wp:wrapNone/>
                <wp:docPr id="17" name="Frame15"/>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11</w:t>
                      </w:r>
                    </w:p>
                  </w:txbxContent>
                </v:textbox>
                <w10:wrap type="none"/>
              </v:rect>
            </w:pict>
          </mc:Fallback>
        </mc:AlternateConten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conducting any proceeding for any remedy available to the trustee; or</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exercising any trust or power conferred upon the trustee with respect to the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holder of a debt security will have the right to begin any proceeding with respect to the indenture or for any remedy only if:</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holder has previously given the trustee written notice of a continuing event of default;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holders of not less than 25% in aggregate principal amount of the outstanding debt securities have made a written request of, and offered the required security or indemnity to, the trustee to begin such proceeding;</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trustee has not started such proceeding within 60 days after receiving the notice, request and offer of security or indemnity; and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no direction inconsistent with such written request has been given to the trustee under the indenture.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However, the holder of any debt security will have an absolute right to receive payment of principal of, and interest on, the debt security when due and to institute suit to enforce payment.</w:t>
      </w:r>
    </w:p>
    <w:p>
      <w:pPr>
        <w:pStyle w:val="TextBody"/>
        <w:bidi w:val="0"/>
        <w:spacing w:lineRule="auto" w:line="288" w:before="200" w:after="200"/>
        <w:jc w:val="both"/>
        <w:rPr>
          <w:rFonts w:ascii="Proxima Nova;sans-serif" w:hAnsi="Proxima Nova;sans-serif"/>
          <w:b/>
          <w:color w:val="000000"/>
          <w:sz w:val="20"/>
        </w:rPr>
      </w:pPr>
      <w:bookmarkStart w:id="29" w:name="idcc4dd78ec5b4ec59be9c356120cc407"/>
      <w:bookmarkEnd w:id="29"/>
      <w:r>
        <w:rPr>
          <w:rFonts w:ascii="Proxima Nova;sans-serif" w:hAnsi="Proxima Nova;sans-serif"/>
          <w:b/>
          <w:color w:val="000000"/>
          <w:sz w:val="20"/>
        </w:rPr>
        <w:t>Satisfaction and Discharge; Defeasance</w:t>
      </w:r>
    </w:p>
    <w:p>
      <w:pPr>
        <w:pStyle w:val="TextBody"/>
        <w:bidi w:val="0"/>
        <w:spacing w:lineRule="auto" w:line="288" w:before="200" w:after="200"/>
        <w:jc w:val="both"/>
        <w:rPr/>
      </w:pPr>
      <w:bookmarkStart w:id="30" w:name="ie8bad259841149c196bb5139c227cff2"/>
      <w:bookmarkEnd w:id="30"/>
      <w:r>
        <w:rPr>
          <w:rFonts w:ascii="Proxima Nova;sans-serif" w:hAnsi="Proxima Nova;sans-serif"/>
          <w:b/>
          <w:i/>
          <w:color w:val="000000"/>
          <w:sz w:val="20"/>
        </w:rPr>
        <w:t>Satisfaction and Discharge of Indenture.</w:t>
      </w:r>
      <w:r>
        <w:rPr>
          <w:color w:val="000000"/>
        </w:rPr>
        <w:t xml:space="preserve"> </w:t>
      </w:r>
      <w:r>
        <w:rPr>
          <w:rFonts w:ascii="Proxima Nova;sans-serif" w:hAnsi="Proxima Nova;sans-serif"/>
          <w:b w:val="false"/>
          <w:color w:val="000000"/>
          <w:sz w:val="20"/>
        </w:rPr>
        <w:t>Unless we indicate otherwise in the applicable prospectus supplement, if at any time,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we have paid the principal of, premium, if any, and interest on all the debt securities of any series, except for debt securities which have been destroyed, lost or stolen and which have been replaced or paid in accordance with the indenture, as and when the same has become due and payable;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we have delivered to the trustee for cancellation all debt securities of any series theretofore authenticated, except for debt securities of such series which have been destroyed, lost or stolen and which have been replaced or paid as provided in the indenture; or</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all the debt securities of such series not theretofore delivered to the trustee for cancellation have become due and payable, or are by their terms are to become due and payable within one year or are to be called for redemption within one year, and we have deposited irrevocably with the trustee, in trust, sufficient money or government obligations, or a combination thereof, to pay the principal, any interest and any other sums due on the debt securities, on the dates the payments are due or become due under the indenture and the terms of the debt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then the indenture shall cease to be of further effect with respect to the debt securities of such series, except for (i) rights of registration of transfer and exchange, and our right of optional redemption, (ii) substitution of mutilated, defaced, destroyed, lost or stolen debt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under the indenture, and (v) the rights of the holders of such series of debt securities as beneficiaries thereof with respect to the property so deposited with the trustee payable to all or any of them.</w:t>
      </w:r>
    </w:p>
    <w:p>
      <w:pPr>
        <w:pStyle w:val="TextBody"/>
        <w:bidi w:val="0"/>
        <w:spacing w:lineRule="auto" w:line="288" w:before="200" w:after="200"/>
        <w:jc w:val="both"/>
        <w:rPr/>
      </w:pPr>
      <w:bookmarkStart w:id="31" w:name="ib885c7222ffc45a08a70479862f52182"/>
      <w:bookmarkEnd w:id="31"/>
      <w:r>
        <w:rPr>
          <w:rFonts w:ascii="Proxima Nova;sans-serif" w:hAnsi="Proxima Nova;sans-serif"/>
          <w:b/>
          <w:i/>
          <w:color w:val="000000"/>
          <w:sz w:val="20"/>
        </w:rPr>
        <w:t>Defeasance and Covenant Defeasance.</w:t>
      </w:r>
      <w:r>
        <w:rPr>
          <w:color w:val="000000"/>
        </w:rPr>
        <w:t xml:space="preserve"> </w:t>
      </w:r>
      <w:r>
        <w:rPr>
          <w:rFonts w:ascii="Proxima Nova;sans-serif" w:hAnsi="Proxima Nova;sans-serif"/>
          <w:b w:val="false"/>
          <w:color w:val="000000"/>
          <w:sz w:val="20"/>
        </w:rPr>
        <w:t>Unless we indicate otherwise in the applicable prospectus supplement, we may elect with respect to any debt securities of any series: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to defease and be discharged from all of our obligations with respect to such debt securities, with certain exceptions described below, which we refer to herein as defeasance; or</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4955"/>
                <wp:effectExtent l="0" t="0" r="0" b="0"/>
                <wp:wrapNone/>
                <wp:docPr id="18" name="Frame16"/>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12</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which we refer to herein as covenant defeasance.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must comply with the following conditions before the defeasance or covenant defeasance can be effected: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we must irrevocably deposit with the indenture trustee or other qualifying trustee, trust funds in trust solely for the benefit of the holders of such debt securities, sufficient money or government obligations, or a combination thereof, to pay the principal, any interest and any other sums on the due dates for those payments;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we must deliver to the trustee an opinion of counsel to the effect that the holders of such debt securities will not recognize income, gain or loss for federal income tax purposes as a result of such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 and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we must deliver to the trustee an officers’ certificate and opinion of counsel stating that all conditions precedent relating to such defeasance or covenant defeasance, as the case may be, have been complied with.</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connection with defeasance, any irrevocable trust agreement contemplated by the indenture must include, among other things, provision for (i) payment of the principal of and interest on such debt securities, if any, appertaining thereto when due (by redemption, sinking fund payments or otherwise), (ii) the payment of the expenses of the trustee incurred or to be incurred in connection with carrying out such trust provisions, (iii) rights of registration, transfer, substitution and exchange of such debt securities in accordance with the terms stated in the indenture, and (iv) the rights, obligations and immunities of the trustee under the indenture and our obligations in connection therewith as stated in the indenture.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accompanying prospectus supplement may further describe any provisions permitting or restricting defeasance or covenant defeasance with respect to the debt securities of a particular series.</w:t>
      </w:r>
    </w:p>
    <w:p>
      <w:pPr>
        <w:pStyle w:val="TextBody"/>
        <w:bidi w:val="0"/>
        <w:spacing w:lineRule="auto" w:line="288" w:before="200" w:after="200"/>
        <w:jc w:val="both"/>
        <w:rPr>
          <w:rFonts w:ascii="Proxima Nova;sans-serif" w:hAnsi="Proxima Nova;sans-serif"/>
          <w:b/>
          <w:color w:val="000000"/>
          <w:sz w:val="20"/>
        </w:rPr>
      </w:pPr>
      <w:bookmarkStart w:id="32" w:name="i10a88c6b4f48409f9b8d0b904f11e9e4"/>
      <w:bookmarkStart w:id="33" w:name="idc7845e96d7a4f6398f24612780fa795_140934"/>
      <w:bookmarkEnd w:id="32"/>
      <w:bookmarkEnd w:id="33"/>
      <w:r>
        <w:rPr>
          <w:rFonts w:ascii="Proxima Nova;sans-serif" w:hAnsi="Proxima Nova;sans-serif"/>
          <w:b/>
          <w:color w:val="000000"/>
          <w:sz w:val="20"/>
        </w:rPr>
        <w:t>Subordination of the Subordinated Debt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we indicate otherwise in the applicable prospectus supplement, the indenture provides that the subordinated debt securities will be unsecured and will rank equally with any of our future unsecured subordinated indebtedness, and will be subordinated in right of payment to all existing and future senior indebtedness of the Company. The subordinated debt securities will be structurally subordinated to all existing and future indebtedness, liabilities and other obligations of our subsidiaries (including, in the case of Busey Bank, deposits) which means that creditors (including, in the case of Busey Bank, its depositors) and any preferred equity holders of our subsidiaries generally will be paid from those subsidiaries’ assets before holders of the subordinated debt securities would have any claims to those assets.</w:t>
      </w:r>
    </w:p>
    <w:p>
      <w:pPr>
        <w:pStyle w:val="TextBody"/>
        <w:bidi w:val="0"/>
        <w:spacing w:lineRule="auto" w:line="288" w:before="200" w:after="200"/>
        <w:jc w:val="both"/>
        <w:rPr>
          <w:color w:val="000000"/>
        </w:rPr>
      </w:pPr>
      <w:r>
        <w:rPr>
          <w:color w:val="000000"/>
        </w:rPr>
        <w:t>“</w:t>
      </w:r>
      <w:r>
        <w:rPr>
          <w:rFonts w:ascii="Proxima Nova;sans-serif" w:hAnsi="Proxima Nova;sans-serif"/>
          <w:b w:val="false"/>
          <w:color w:val="000000"/>
          <w:sz w:val="20"/>
        </w:rPr>
        <w:t>Senior indebtedness” means the principal of, and premium, if any, and interest on (i) all “indebtedness for money borrowed” of the Company whether outstanding on the date of execution of the indenture or thereafter created, assumed or incurred, except for indebtedness that expressly states that it is subordinate in right of payment to indebtedness for borrowed money of the Company and (ii) any deferrals, renewals or extensions of any such indebtedness for money borrowed. “Senior indebtedness” excludes, among other things, trade creditor indebtedness arising in the ordinary course of business and any indebtedness between or among the Company and its affiliates.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term “indebtedness for money borrowed” means: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any obligation of, or any obligation guaranteed by, the Company for the repayment of money borrowed, whether or not evidenced by bonds, debentures, notes or other written instruments;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any off-balance sheet guarantee obligation; </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4955"/>
                <wp:effectExtent l="0" t="0" r="0" b="0"/>
                <wp:wrapNone/>
                <wp:docPr id="19" name="Frame17"/>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13</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any obligation under a direct credit substitute, including any letters of credit, bankers’ acceptance, security purchases facility or similar agreement;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any capitalized lease obligation;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any deferred obligation for payment of the purchase price of any property or assets;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all obligations of the type referred to above of other persons for the payment of which the Company is responsible or liable as obligor, guarantor or otherwise; and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all obligations of the type referred to above of other persons secured by any lien on any property or asset of the Company, whether or not such obligation is assumed by the Company.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subordinated debt securities will also be subordinated in right of payment to all “other company obligations,” which is defined to include obligations of the Company associated with derivative products such as interest rate and currency exchange contracts, foreign exchange contracts, commodity contracts, or any similar arrangements, unless the instrument by which the Company incurred, assumed or guaranteed the obligation expressly provides that it is subordinate or junior in right of payment to any other indebtedness or obligations of the Company.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Upon the liquidation, dissolution, winding up, or reorganization of the Company or Busey Bank, we must pay to the holders of all senior indebtedness of the Company the full amounts of principal of, and premium, if any, and interest on, that senior indebtedness before any payment is made on the subordinated debt securities. If, after we have made those payments on the senior indebtedness of the Company (i) there are amounts available for payment on the subordinated debt securities (such amounts being defined in the indenture as “excess proceeds”) and (ii) at such time, any creditors in respect of “other company obligations” have not received their full payments, then the Company shall first use such excess proceeds to pay in full all “other company obligations” before the Company makes any payment on the subordinated debt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Because of the subordination provisions and the obligation to pay excess proceeds described above, in the event of insolvency of the Company or Busey Bank, holders of the subordinated debt securities may recover less ratably than holders of senior indebtedness of the Company, creditors with respect to “other company obligations” and other creditors of the Company.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some circumstances relating to the Company’s or Busey Bank’s liquidation, receivership, dissolution, winding-up, reorganization, insolvency or similar proceedings, the holders of all senior indebtedness may be entitled to receive payment in full before the holders of the subordinated debt securities will be entitled to receive any payment on the subordinated debt securities. In addition, we may make no payment on the subordinated debt securities prior to payment in full of all senior indebtedness in the event that (i) any security of any series is declared due and payable prior to its expressed maturity because of an event of default under the indenture or (ii) there is a default on any senior indebtedness which permits the holders of the senior indebtedness to accelerate the maturity of the senior indebtedness if either (A) written notice of such default is given to us and to the trustee, provided that judicial proceedings are commenced in respect of such default within 180 days in the case of a default in payment of principal or interest and within 90 days in the case of any other default after the giving of such notice and provided further that only one such notice shall be given in any twelve month period or (B) judicial proceedings are pending in respect of such default. By reason of this subordination in favor of the holders of senior indebtedness, in the event of a liquidation, receivership, dissolution, winding-up, reorganization, insolvency or similar proceeding, our creditors who are not holders of senior indebtedness may recover less, proportionately, than holders of senior indebtedness.</w:t>
      </w:r>
    </w:p>
    <w:p>
      <w:pPr>
        <w:pStyle w:val="TextBody"/>
        <w:bidi w:val="0"/>
        <w:spacing w:lineRule="auto" w:line="288" w:before="200" w:after="200"/>
        <w:jc w:val="both"/>
        <w:rPr>
          <w:rFonts w:ascii="Proxima Nova;sans-serif" w:hAnsi="Proxima Nova;sans-serif"/>
          <w:b/>
          <w:color w:val="000000"/>
          <w:sz w:val="20"/>
        </w:rPr>
      </w:pPr>
      <w:bookmarkStart w:id="34" w:name="i1400225f8b194e34b282b703b1649b63"/>
      <w:bookmarkEnd w:id="34"/>
      <w:r>
        <w:rPr>
          <w:rFonts w:ascii="Proxima Nova;sans-serif" w:hAnsi="Proxima Nova;sans-serif"/>
          <w:b/>
          <w:color w:val="000000"/>
          <w:sz w:val="20"/>
        </w:rPr>
        <w:t>Global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otherwise indicated in an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an applicable prospectus supplement.</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4955"/>
                <wp:effectExtent l="0" t="0" r="0" b="0"/>
                <wp:wrapNone/>
                <wp:docPr id="20" name="Frame18"/>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14</w:t>
                      </w:r>
                    </w:p>
                  </w:txbxContent>
                </v:textbox>
                <w10:wrap type="none"/>
              </v:rect>
            </w:pict>
          </mc:Fallback>
        </mc:AlternateContent>
      </w:r>
    </w:p>
    <w:p>
      <w:pPr>
        <w:pStyle w:val="TextBody"/>
        <w:bidi w:val="0"/>
        <w:spacing w:lineRule="auto" w:line="288" w:before="200" w:after="200"/>
        <w:jc w:val="both"/>
        <w:rPr>
          <w:rFonts w:ascii="Proxima Nova;sans-serif" w:hAnsi="Proxima Nova;sans-serif"/>
          <w:b/>
          <w:color w:val="000000"/>
          <w:sz w:val="20"/>
        </w:rPr>
      </w:pPr>
      <w:bookmarkStart w:id="35" w:name="i17c291ef028043b498f18d20f303f55d"/>
      <w:bookmarkEnd w:id="35"/>
      <w:r>
        <w:rPr>
          <w:rFonts w:ascii="Proxima Nova;sans-serif" w:hAnsi="Proxima Nova;sans-serif"/>
          <w:b/>
          <w:color w:val="000000"/>
          <w:sz w:val="20"/>
        </w:rPr>
        <w:t>Notices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will give notices to holders of the debt securities by mail at the addresses listed in the security register or, with respect to global securities, in accordance with the rules, policies and procedures of the applicable securities depositary.</w:t>
      </w:r>
    </w:p>
    <w:p>
      <w:pPr>
        <w:pStyle w:val="TextBody"/>
        <w:bidi w:val="0"/>
        <w:spacing w:lineRule="auto" w:line="288" w:before="200" w:after="200"/>
        <w:jc w:val="both"/>
        <w:rPr>
          <w:rFonts w:ascii="Proxima Nova;sans-serif" w:hAnsi="Proxima Nova;sans-serif"/>
          <w:b/>
          <w:color w:val="000000"/>
          <w:sz w:val="20"/>
        </w:rPr>
      </w:pPr>
      <w:bookmarkStart w:id="36" w:name="i35546fa12492408295109ecb69e20c7e"/>
      <w:bookmarkEnd w:id="36"/>
      <w:r>
        <w:rPr>
          <w:rFonts w:ascii="Proxima Nova;sans-serif" w:hAnsi="Proxima Nova;sans-serif"/>
          <w:b/>
          <w:color w:val="000000"/>
          <w:sz w:val="20"/>
        </w:rPr>
        <w:t>Governing Law</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indenture and the debt securities will be governed by, and construed in accordance with, the laws of the State of New York, except to the extent the Trust Indenture Act is applicable.</w:t>
      </w:r>
    </w:p>
    <w:p>
      <w:pPr>
        <w:pStyle w:val="TextBody"/>
        <w:bidi w:val="0"/>
        <w:spacing w:lineRule="auto" w:line="288" w:before="200" w:after="200"/>
        <w:jc w:val="both"/>
        <w:rPr>
          <w:rFonts w:ascii="Proxima Nova;sans-serif" w:hAnsi="Proxima Nova;sans-serif"/>
          <w:b/>
          <w:color w:val="000000"/>
          <w:sz w:val="20"/>
        </w:rPr>
      </w:pPr>
      <w:bookmarkStart w:id="37" w:name="iae77d127c18942d5aad1dc8d0d65c074"/>
      <w:bookmarkEnd w:id="37"/>
      <w:r>
        <w:rPr>
          <w:rFonts w:ascii="Proxima Nova;sans-serif" w:hAnsi="Proxima Nova;sans-serif"/>
          <w:b/>
          <w:color w:val="000000"/>
          <w:sz w:val="20"/>
        </w:rPr>
        <w:t>Regarding the Trustee</w:t>
      </w:r>
    </w:p>
    <w:p>
      <w:pPr>
        <w:pStyle w:val="TextBody"/>
        <w:bidi w:val="0"/>
        <w:spacing w:lineRule="auto" w:line="288" w:before="200" w:after="200"/>
        <w:jc w:val="both"/>
        <w:rPr/>
      </w:pPr>
      <w:bookmarkStart w:id="38" w:name="i876c8e7014aa435d98430105572895a9"/>
      <w:bookmarkEnd w:id="38"/>
      <w:r>
        <w:rPr>
          <w:rFonts w:ascii="Proxima Nova;sans-serif" w:hAnsi="Proxima Nova;sans-serif"/>
          <w:b/>
          <w:i/>
          <w:color w:val="000000"/>
          <w:sz w:val="20"/>
        </w:rPr>
        <w:t>General.</w:t>
      </w:r>
      <w:r>
        <w:rPr>
          <w:color w:val="000000"/>
        </w:rPr>
        <w:t xml:space="preserve"> </w:t>
      </w:r>
      <w:r>
        <w:rPr>
          <w:rFonts w:ascii="Proxima Nova;sans-serif" w:hAnsi="Proxima Nova;sans-serif"/>
          <w:b w:val="false"/>
          <w:color w:val="000000"/>
          <w:sz w:val="20"/>
        </w:rPr>
        <w:t>From time to time, we may maintain deposit accounts and conduct other banking transactions with the trustee to be appointed under the indenture or its affiliates in the ordinary course of business.</w:t>
      </w:r>
    </w:p>
    <w:p>
      <w:pPr>
        <w:pStyle w:val="TextBody"/>
        <w:bidi w:val="0"/>
        <w:spacing w:lineRule="auto" w:line="288" w:before="200" w:after="200"/>
        <w:jc w:val="both"/>
        <w:rPr/>
      </w:pPr>
      <w:bookmarkStart w:id="39" w:name="i7b70d2355cad4abbbd8f217b5bb567ba"/>
      <w:bookmarkEnd w:id="39"/>
      <w:r>
        <w:rPr>
          <w:rFonts w:ascii="Proxima Nova;sans-serif" w:hAnsi="Proxima Nova;sans-serif"/>
          <w:b/>
          <w:i/>
          <w:color w:val="000000"/>
          <w:sz w:val="20"/>
        </w:rPr>
        <w:t>Resignation or Removal of Trustee.</w:t>
      </w:r>
      <w:r>
        <w:rPr>
          <w:color w:val="000000"/>
        </w:rPr>
        <w:t xml:space="preserve"> </w:t>
      </w:r>
      <w:r>
        <w:rPr>
          <w:rFonts w:ascii="Proxima Nova;sans-serif" w:hAnsi="Proxima Nova;sans-serif"/>
          <w:b w:val="false"/>
          <w:color w:val="000000"/>
          <w:sz w:val="20"/>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indenture. Any resignation will require the appointment of a successor trustee under the indenture in accordance with the terms and conditions of the indenture.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pStyle w:val="TextBody"/>
        <w:bidi w:val="0"/>
        <w:spacing w:lineRule="auto" w:line="288" w:before="200" w:after="200"/>
        <w:jc w:val="both"/>
        <w:rPr/>
      </w:pPr>
      <w:bookmarkStart w:id="40" w:name="i5f3de1fc9f8846f2ad2b6a429e176e7b"/>
      <w:bookmarkEnd w:id="40"/>
      <w:r>
        <w:rPr>
          <w:rFonts w:ascii="Proxima Nova;sans-serif" w:hAnsi="Proxima Nova;sans-serif"/>
          <w:b/>
          <w:i/>
          <w:color w:val="000000"/>
          <w:sz w:val="20"/>
        </w:rPr>
        <w:t>Annual Trustee Report to Holders of Debt Securities.</w:t>
      </w:r>
      <w:r>
        <w:rPr>
          <w:color w:val="000000"/>
        </w:rPr>
        <w:t xml:space="preserve"> </w:t>
      </w:r>
      <w:r>
        <w:rPr>
          <w:rFonts w:ascii="Proxima Nova;sans-serif" w:hAnsi="Proxima Nova;sans-serif"/>
          <w:b w:val="false"/>
          <w:color w:val="000000"/>
          <w:sz w:val="20"/>
        </w:rPr>
        <w:t>The trustee will be required to submit certain reports to the holders of the debt securities regarding, among other things, the trustee’s eligibility to serve as such, the priority of the trustee’s claims regarding advances made by it, and any action taken by the trustee materially affecting the debt securities.</w:t>
      </w:r>
    </w:p>
    <w:p>
      <w:pPr>
        <w:pStyle w:val="TextBody"/>
        <w:bidi w:val="0"/>
        <w:spacing w:lineRule="auto" w:line="288" w:before="200" w:after="200"/>
        <w:jc w:val="both"/>
        <w:rPr/>
      </w:pPr>
      <w:bookmarkStart w:id="41" w:name="i14ca7f40d39f4b979da821d1f59d7162"/>
      <w:bookmarkEnd w:id="41"/>
      <w:r>
        <w:rPr>
          <w:rFonts w:ascii="Proxima Nova;sans-serif" w:hAnsi="Proxima Nova;sans-serif"/>
          <w:b/>
          <w:i/>
          <w:color w:val="000000"/>
          <w:sz w:val="20"/>
        </w:rPr>
        <w:t>Certificates and Opinions to Be Furnished to Trustee.</w:t>
      </w:r>
      <w:r>
        <w:rPr>
          <w:color w:val="000000"/>
        </w:rPr>
        <w:t xml:space="preserve"> </w:t>
      </w:r>
      <w:r>
        <w:rPr>
          <w:rFonts w:ascii="Proxima Nova;sans-serif" w:hAnsi="Proxima Nova;sans-serif"/>
          <w:b w:val="false"/>
          <w:color w:val="000000"/>
          <w:sz w:val="20"/>
        </w:rPr>
        <w:t>The indenture provides that, in addition to other certificates or opinions specifically required by other provisions of the indenture, every application by us for action by the trustee must be accompanied by a certificate from one or more of our officers and an opinion of counsel (who may be our counsel) stating that, in the opinion of the signers, all conditions precedent to such action have been complied with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42" w:name="i0505c058a4fa4df78fe523b5e9794c94"/>
      <w:bookmarkEnd w:id="42"/>
      <w:r>
        <w:rPr>
          <w:rFonts w:ascii="Proxima Nova;sans-serif" w:hAnsi="Proxima Nova;sans-serif"/>
          <w:b/>
          <w:color w:val="000000"/>
          <w:sz w:val="20"/>
        </w:rPr>
        <w:t>DESCRIPTION OF WARRANTS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describes some of the general terms and provisions of warrants we may issue. Warrants may be issued independently or together with any other securities offered by any prospectus supplement and other offering materials, if any, and may be attached to or separate from those securities. Warrants may be issued under warrant agreements to be entered into between us and a warrant agent or may be represented by individual warrant certificates, all as specified in the applicable prospectus supplement and other offering materials, if any. The warrant agent, if any, for any series of warrants will act solely as our agent and will not assume any obligation or relationship of agency or trust for or with any holders or beneficial owners of warrants.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applicable prospectus supplement and any other offering materials relating to any warrants we may issue will specify the terms of the warrants, including:</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title and aggregate number of the warrants;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price or prices at which the warrants will be issued;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title, amount and terms of the securities purchasable upon exercise of the warrants;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title, amount and terms of the securities offered with the warrants and the number of warrants issued with each such security;</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date, if any, on and after which the warrants and the related securities will be separately transferable;</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4955"/>
                <wp:effectExtent l="0" t="0" r="0" b="0"/>
                <wp:wrapNone/>
                <wp:docPr id="21" name="Frame19"/>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15</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price at which the related securities may be purchased upon exercise of the warrants;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exercise period for the warrants;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minimum or maximum number of warrants which may be exercised at any one time;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applicable anti-dilution, redemption or call provisions;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applicable book-entry provisions; and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any other terms of the warrants.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Before exercising their warrants, holders of warrants will not have any of the rights of holders of the securities purchasable upon such exercise, including the right to receive dividends, if any, or payments upon our liquidation, dissolution or winding-up, or to exercise voting rights,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43" w:name="i9b7c38da4fb542dfbfc5d6ca7edbf628"/>
      <w:bookmarkEnd w:id="43"/>
      <w:r>
        <w:rPr>
          <w:rFonts w:ascii="Proxima Nova;sans-serif" w:hAnsi="Proxima Nova;sans-serif"/>
          <w:b/>
          <w:color w:val="000000"/>
          <w:sz w:val="20"/>
        </w:rPr>
        <w:t>DESCRIPTION OF SUBSCRIPTION RIGHTS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This section describes the general terms of the subscription rights to purchase common stock or other securities that we may offer to stockholders using this prospectus. The following description is only a summary, does not purport to be complete and is subject to and qualified in its entirety by reference to the applicable forms of subscription agent agreement and subscription certificate for a full understanding of all terms of any series of subscription rights. The forms of the subscription agent agreement and the subscription certificate will be filed with the SEC as an exhibit to the registration statement of which this prospectus is a part or as an exhibit to a filing incorporated by reference in the registration statement. See “Where You Can Find Additional Information” for information on how to obtain copies.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Subscription rights may be issued independently or together with any other security and may or may not be transferable. As part of any subscription rights offering, we may enter into a standby underwriting or other arrangement under which the underwriters or any other person would purchase any securities that are not purchased in such subscription rights offering. If we issue subscription rights, they will be governed by a separate subscription agent agreement that we will sign with a bank or trust company, as rights agent, that will be named in the applicable prospectus supplement. The rights agent will act solely as our agent and will not assume any obligation to any holders of subscription rights certificates or beneficial owners of subscription rights.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prospectus supplement relating to any subscription rights we offer will describe the specific terms of the offering and the subscription rights, including the record date for stockholders entitled to the subscription rights distribution, the number of subscription rights issued and the number of shares of common stock that may be purchased upon exercise of the subscription rights, the exercise price of the subscription rights, the date on which the subscription rights will become effective and the date on which the subscription rights will expire, and applicable U.S. federal income tax considerations.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general, a subscription right entitles the holder to purchase for cash a specific number of shares of common stock or other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the applicable prospectus supplement that will describe, among other things: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record date for stockholders entitled to receive the subscription rights;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number of shares of common stock or other securities that may be purchased upon exercise of each subscription right;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exercise price of the subscription rights;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the subscription rights are transferable;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period during which the subscription rights may be exercised and when they will expire;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steps required to exercise the subscription rights;</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4955"/>
                <wp:effectExtent l="0" t="0" r="0" b="0"/>
                <wp:wrapNone/>
                <wp:docPr id="22" name="Frame20"/>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16</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the subscription rights include “oversubscription rights” so that the holder may purchase more securities if other holders do not purchase their full allotments; and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whether we intend to sell the shares of common stock or other securities that are not purchased in the subscription rights offering to an underwriter or other purchaser under a contractual “standby” commitment or other arrangement.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fewer than all of the subscription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After the close of business on the expiration date, all unexercised subscription rights will become void.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44" w:name="iac23e0707439477799d001ad6dc0a84d"/>
      <w:bookmarkEnd w:id="44"/>
      <w:r>
        <w:rPr>
          <w:rFonts w:ascii="Proxima Nova;sans-serif" w:hAnsi="Proxima Nova;sans-serif"/>
          <w:b/>
          <w:color w:val="000000"/>
          <w:sz w:val="20"/>
        </w:rPr>
        <w:t>DESCRIPTION OF STOCK PURCHASE CONTRACTS AND STOCK PURCHASE UNITS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issue stock purchase contracts, including contracts obligating holders to purchase from us, and us to sell to the holders, a specified number of shares of our common stock or preferred stock at a future date or dates, which we refer to in this prospectus as “Stock Purchase Contracts.” The price per share, and number of shares, of our common stock or preferred stock may be fixed at the time the Stock Purchase Contracts are issued or may be determined by reference to a specific formula set forth in the Stock Purchase Contracts. The Stock Purchase Contracts may be issued separately or as a part of units consisting of a Stock Purchase Contract and our debt securities or debt obligations of third parties, including treasury securities, securing the holders’ obligations to purchase the shares of our common stock under the Stock Purchase Contracts, which we refer to in this prospectus as “Stock Purchase Units.” The Stock Purchase Contracts may require holders to secure their obligations thereunder in a specified manner. The Stock Purchase Contracts also may require us to make periodic payments to the holders of the Stock Purchase Units or vice-versa and such payments may be unsecured or prefunded on some basis.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An applicable prospectus supplement will describe the terms of any Stock Purchase Contracts or Stock Purchase Units. The description in such prospectus supplement will not necessarily be complete, and reference will be made to the Stock Purchase Contracts, and, if applicable, collateral or depositary arrangements, relating to the Stock Purchase Contracts or Stock Purchase Units. Material U.S. federal income tax considerations applicable to the Stock Purchase Units and the Stock Purchase Contracts will also be discussed in such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45" w:name="i5044ad3300ed4696a0852c0769dbb322"/>
      <w:bookmarkEnd w:id="45"/>
      <w:r>
        <w:rPr>
          <w:rFonts w:ascii="Proxima Nova;sans-serif" w:hAnsi="Proxima Nova;sans-serif"/>
          <w:b/>
          <w:color w:val="000000"/>
          <w:sz w:val="20"/>
        </w:rPr>
        <w:t>DESCRIPTION OF UNITS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specified in the applicable prospectus supplement, we may issue units consisting of one or more debt securities, shares of common stock, shares of preferred stock or warrants or any combination of such securities, including guarantees of any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applicable prospectus supplement and any other offering materials relating to any units issued under the registration statement of which this prospectus is a part will specify the terms of the units, including:</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terms of the units and of any of the debt securities, common stock, preferred stock, warrants and guarantees comprising the units, including whether and under what circumstances the securities comprising the units may be traded separately;</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 description of the terms of any unit agreement governing the units; and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 description of the provisions for the payment, settlement, transfer or exchange of the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4955"/>
                <wp:effectExtent l="0" t="0" r="0" b="0"/>
                <wp:wrapNone/>
                <wp:docPr id="23" name="Frame21"/>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17</w:t>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bookmarkStart w:id="46" w:name="if54b88161f6444d7ab58052cab0bf2fb"/>
      <w:bookmarkEnd w:id="46"/>
      <w:r>
        <w:rPr>
          <w:rFonts w:ascii="Proxima Nova;sans-serif" w:hAnsi="Proxima Nova;sans-serif"/>
          <w:b/>
          <w:color w:val="000000"/>
          <w:sz w:val="20"/>
        </w:rPr>
        <w:t>DESCRIPTION OF DEPOSITARY SHARES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This section outlines certain provisions of the deposit agreement that will govern any depositary shares, the depositary shares themselves and the depositary receipts. This information may not be complete in all respects and is subject to and qualified in its entirety by reference to the relevant deposit agreement and depositary receipt with respect to the depositary shares relating to any particular series of preferred stock. A copy of the deposit agreement and form of depositary receipt relating to any depositary shares we issue will be filed with the SEC as an exhibit to the registration statement of which this prospectus is a part or as an exhibit to a filing incorporated by reference in the registration statement. The specific terms of any depositary shares we may offer will be described in the applicable prospectus supplement. If so described in the applicable prospectus supplement, the terms of that series of depositary shares may differ from the general description of terms presented below.</w:t>
      </w:r>
    </w:p>
    <w:p>
      <w:pPr>
        <w:pStyle w:val="TextBody"/>
        <w:bidi w:val="0"/>
        <w:spacing w:lineRule="auto" w:line="288" w:before="200" w:after="200"/>
        <w:jc w:val="both"/>
        <w:rPr>
          <w:rFonts w:ascii="Proxima Nova;sans-serif" w:hAnsi="Proxima Nova;sans-serif"/>
          <w:b/>
          <w:color w:val="000000"/>
          <w:sz w:val="20"/>
        </w:rPr>
      </w:pPr>
      <w:bookmarkStart w:id="47" w:name="ic74db7dea2f749779471f29acc3729f9"/>
      <w:bookmarkEnd w:id="47"/>
      <w:r>
        <w:rPr>
          <w:rFonts w:ascii="Proxima Nova;sans-serif" w:hAnsi="Proxima Nova;sans-serif"/>
          <w:b/>
          <w:color w:val="000000"/>
          <w:sz w:val="20"/>
        </w:rPr>
        <w:t>General</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offer fractional interests in shares of our preferred stock, rather than full shares of preferred stock. If we do, we will provide for the issuance by a depositary to the public of receipts for depositary shares, each of which will represent a fractional interest in a share of a particular series of preferred stock.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shares of any series of preferred stock underlying the depositary shares will be deposited under a separate deposit agreement between us and a bank or trust company having its principal office in the U.S. and having a combined capital and surplus of such amount as may be set forth in the applicable prospectus supplement, which we refer to in this section as the depositary. We will name the depositary in the applicable prospectus supplement. Subject to the terms of the deposit agreement, each owner of a depositary share will have a fractional interest in all the rights and preferences of the preferred stock underlying the depositary share. Those rights include any dividend, voting, redemption, conversion and liquidation rights.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depositary shares will be evidenced by depositary receipts issued under the deposit agreement. Purchasers of fractional interests in shares of the related series of preferred stock will receive depositary receipts as described in the applicable prospectus supplement.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we specify otherwise in the applicable prospectus supplement, purchasers will not be entitled to receive the whole shares of preferred stock underlying the depositary shares.</w:t>
      </w:r>
    </w:p>
    <w:p>
      <w:pPr>
        <w:pStyle w:val="TextBody"/>
        <w:bidi w:val="0"/>
        <w:spacing w:lineRule="auto" w:line="288" w:before="200" w:after="200"/>
        <w:jc w:val="both"/>
        <w:rPr>
          <w:rFonts w:ascii="Proxima Nova;sans-serif" w:hAnsi="Proxima Nova;sans-serif"/>
          <w:b/>
          <w:color w:val="000000"/>
          <w:sz w:val="20"/>
        </w:rPr>
      </w:pPr>
      <w:bookmarkStart w:id="48" w:name="i85e2e154dbbd408da2c9c617c724ecb5"/>
      <w:bookmarkEnd w:id="48"/>
      <w:r>
        <w:rPr>
          <w:rFonts w:ascii="Proxima Nova;sans-serif" w:hAnsi="Proxima Nova;sans-serif"/>
          <w:b/>
          <w:color w:val="000000"/>
          <w:sz w:val="20"/>
        </w:rPr>
        <w:t>Dividends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depositary will distribute all cash dividends or other cash distributions in respect of the preferred stock underlying the depositary shares to each record holder of depositary shares based on the number of the depositary shares owned by that holder on the relevant record date. The depositary will distribute only that amount which can be distributed without attributing to any holder of depositary shares a fraction of one cent, and any balance not so distributed will be added to and treated as part of the next sum received by the depositary for distribution to record holders of depositary shares.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there is a distribution other than in cash, the depositary will distribute property to the entitled record holders of depositary shares, unless the depositary determines that it is not feasible to make that distribution. In that case the depositary may, with our approval, adopt the method it deems equitable and practicable for making that distribution, including any sale of property and distribution of the net proceeds from this sale to the concerned holders.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deposit agreement will also contain provisions relating to how any subscription or similar rights offered by us to holders of the preferred stock will be made available to the holders of depositary shares.</w:t>
      </w:r>
    </w:p>
    <w:p>
      <w:pPr>
        <w:pStyle w:val="TextBody"/>
        <w:bidi w:val="0"/>
        <w:spacing w:lineRule="auto" w:line="288" w:before="200" w:after="200"/>
        <w:jc w:val="both"/>
        <w:rPr>
          <w:rFonts w:ascii="Proxima Nova;sans-serif" w:hAnsi="Proxima Nova;sans-serif"/>
          <w:b/>
          <w:color w:val="000000"/>
          <w:sz w:val="20"/>
        </w:rPr>
      </w:pPr>
      <w:bookmarkStart w:id="49" w:name="ifd95ea3d902d4a23a77278a1cd491668"/>
      <w:bookmarkEnd w:id="49"/>
      <w:r>
        <w:rPr>
          <w:rFonts w:ascii="Proxima Nova;sans-serif" w:hAnsi="Proxima Nova;sans-serif"/>
          <w:b/>
          <w:color w:val="000000"/>
          <w:sz w:val="20"/>
        </w:rPr>
        <w:t>Conversion or Exchange Rights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any series of preferred stock underlying the depositary shares is subject to conversion or exchange, the applicable prospectus supplement will describe the rights or obligations of each record holder of depositary receipts to convert or exchange the depositary shares.</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4955"/>
                <wp:effectExtent l="0" t="0" r="0" b="0"/>
                <wp:wrapNone/>
                <wp:docPr id="24" name="Frame22"/>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18</w:t>
                      </w:r>
                    </w:p>
                  </w:txbxContent>
                </v:textbox>
                <w10:wrap type="none"/>
              </v:rect>
            </w:pict>
          </mc:Fallback>
        </mc:AlternateContent>
      </w:r>
    </w:p>
    <w:p>
      <w:pPr>
        <w:pStyle w:val="TextBody"/>
        <w:bidi w:val="0"/>
        <w:spacing w:lineRule="auto" w:line="288" w:before="200" w:after="200"/>
        <w:jc w:val="both"/>
        <w:rPr>
          <w:rFonts w:ascii="Proxima Nova;sans-serif" w:hAnsi="Proxima Nova;sans-serif"/>
          <w:b/>
          <w:color w:val="000000"/>
          <w:sz w:val="20"/>
        </w:rPr>
      </w:pPr>
      <w:bookmarkStart w:id="50" w:name="i352c9e05a2344c29890139adef016063"/>
      <w:bookmarkEnd w:id="50"/>
      <w:r>
        <w:rPr>
          <w:rFonts w:ascii="Proxima Nova;sans-serif" w:hAnsi="Proxima Nova;sans-serif"/>
          <w:b/>
          <w:color w:val="000000"/>
          <w:sz w:val="20"/>
        </w:rPr>
        <w:t>Redemption</w:t>
      </w:r>
    </w:p>
    <w:p>
      <w:pPr>
        <w:pStyle w:val="TextBody"/>
        <w:bidi w:val="0"/>
        <w:spacing w:lineRule="auto" w:line="288" w:before="200" w:after="200"/>
        <w:jc w:val="both"/>
        <w:rPr/>
      </w:pPr>
      <w:r>
        <w:rPr>
          <w:rFonts w:ascii="Proxima Nova;sans-serif" w:hAnsi="Proxima Nova;sans-serif"/>
          <w:b w:val="false"/>
          <w:color w:val="000000"/>
          <w:sz w:val="20"/>
        </w:rPr>
        <w:t xml:space="preserve">If the series of the preferred stock underlying the depositary shares is subject to redemption, all or a part of the depositary shares will be redeemed from the redemption proceeds of that series of the preferred stock held by the depositary. The redemption price per depositary share will bear the same relationship to the redemption price per share of preferred stock that the depositary share bears to the underlying preferred stock. Whenever we redeem preferred stock held by the depositary, the depositary will redeem, as of the same redemption date, the number of depositary shares representing the preferred stock redeemed. If less than all the depositary shares are to be redeemed, the depositary shares to be redeemed will be selected by lot or </w:t>
      </w:r>
      <w:r>
        <w:rPr>
          <w:rFonts w:ascii="Proxima Nova;sans-serif" w:hAnsi="Proxima Nova;sans-serif"/>
          <w:b w:val="false"/>
          <w:i/>
          <w:color w:val="000000"/>
          <w:sz w:val="20"/>
        </w:rPr>
        <w:t>pro rata</w:t>
      </w:r>
      <w:r>
        <w:rPr>
          <w:color w:val="000000"/>
        </w:rPr>
        <w:t xml:space="preserve"> </w:t>
      </w:r>
      <w:r>
        <w:rPr>
          <w:rFonts w:ascii="Proxima Nova;sans-serif" w:hAnsi="Proxima Nova;sans-serif"/>
          <w:b w:val="false"/>
          <w:color w:val="000000"/>
          <w:sz w:val="20"/>
        </w:rPr>
        <w:t>as determined by the depositary.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After the date fixed for redemption, the depositary shares called for redemption will no longer be outstanding. When the depositary shares are no longer outstanding, all rights of the holders will cease, except the right to receive money or other property that the holders of the depositary shares were entitled to receive upon the redemption. Payments will be made when holders surrender their depositary receipts to the depositary.</w:t>
      </w:r>
    </w:p>
    <w:p>
      <w:pPr>
        <w:pStyle w:val="TextBody"/>
        <w:bidi w:val="0"/>
        <w:spacing w:lineRule="auto" w:line="288" w:before="200" w:after="200"/>
        <w:jc w:val="both"/>
        <w:rPr>
          <w:rFonts w:ascii="Proxima Nova;sans-serif" w:hAnsi="Proxima Nova;sans-serif"/>
          <w:b/>
          <w:color w:val="000000"/>
          <w:sz w:val="20"/>
        </w:rPr>
      </w:pPr>
      <w:bookmarkStart w:id="51" w:name="i2d85ed403a784ac7a5b785173ebba1ce"/>
      <w:bookmarkEnd w:id="51"/>
      <w:r>
        <w:rPr>
          <w:rFonts w:ascii="Proxima Nova;sans-serif" w:hAnsi="Proxima Nova;sans-serif"/>
          <w:b/>
          <w:color w:val="000000"/>
          <w:sz w:val="20"/>
        </w:rPr>
        <w:t>Voting Rights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When the depositary receives notice of any meeting at which the holders of the preferred stock may vote, the depositary will mail information about the meeting contained in the notice, and any accompanying proxy materials, to the record holders of the depositary shares relating to the preferred stock. Each record holder of such depositary shares on the record date, which will be the same date as the record date for the preferred stock, will be entitled to instruct the depositary as to how the preferred stock underlying the holder’s depositary shares should be voted.</w:t>
      </w:r>
    </w:p>
    <w:p>
      <w:pPr>
        <w:pStyle w:val="TextBody"/>
        <w:bidi w:val="0"/>
        <w:spacing w:lineRule="auto" w:line="288" w:before="200" w:after="200"/>
        <w:jc w:val="both"/>
        <w:rPr>
          <w:rFonts w:ascii="Proxima Nova;sans-serif" w:hAnsi="Proxima Nova;sans-serif"/>
          <w:b/>
          <w:color w:val="000000"/>
          <w:sz w:val="20"/>
        </w:rPr>
      </w:pPr>
      <w:bookmarkStart w:id="52" w:name="i165ba97be75b4651826dc4cd50d77c00"/>
      <w:bookmarkEnd w:id="52"/>
      <w:r>
        <w:rPr>
          <w:rFonts w:ascii="Proxima Nova;sans-serif" w:hAnsi="Proxima Nova;sans-serif"/>
          <w:b/>
          <w:color w:val="000000"/>
          <w:sz w:val="20"/>
        </w:rPr>
        <w:t>Taxation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Owners of depositary shares will be treated for U.S. federal income tax purposes as if they were owners of the preferred stock represented by the depositary shares. If necessary, the applicable prospectus supplement will provide a description of U.S. federal income tax consequences relating to the purchase and ownership of the depositary shares and the preferred stock represented by the depositary shares.</w:t>
      </w:r>
    </w:p>
    <w:p>
      <w:pPr>
        <w:pStyle w:val="TextBody"/>
        <w:bidi w:val="0"/>
        <w:spacing w:lineRule="auto" w:line="288" w:before="200" w:after="200"/>
        <w:jc w:val="both"/>
        <w:rPr>
          <w:rFonts w:ascii="Proxima Nova;sans-serif" w:hAnsi="Proxima Nova;sans-serif"/>
          <w:b/>
          <w:color w:val="000000"/>
          <w:sz w:val="20"/>
        </w:rPr>
      </w:pPr>
      <w:bookmarkStart w:id="53" w:name="i2adf799403694ef1a358ceb3733ba45e"/>
      <w:bookmarkEnd w:id="53"/>
      <w:r>
        <w:rPr>
          <w:rFonts w:ascii="Proxima Nova;sans-serif" w:hAnsi="Proxima Nova;sans-serif"/>
          <w:b/>
          <w:color w:val="000000"/>
          <w:sz w:val="20"/>
        </w:rPr>
        <w:t>Amendment and Termination of the Deposit Agreement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form of depositary receipt evidencing the depositary shares and any provision of the deposit agreement may be amended by agreement between us and the depositary at any time. However, certain amendments as specified in the applicable prospectus supplement will not be effective unless approved by the record holders of at least a majority of the depositary shares then-outstanding. A deposit agreement may be terminated by us or the depositary only if:</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all outstanding depositary shares relating to the deposit agreement have been redeemed; or</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there has been a final distribution on the preferred stock of the relevant series in connection with our liquidation, dissolution or winding up of our business and the distribution has been distributed to the holders of the related depositary shares.</w:t>
      </w:r>
    </w:p>
    <w:p>
      <w:pPr>
        <w:pStyle w:val="TextBody"/>
        <w:bidi w:val="0"/>
        <w:spacing w:lineRule="auto" w:line="288" w:before="200" w:after="200"/>
        <w:jc w:val="both"/>
        <w:rPr>
          <w:rFonts w:ascii="Proxima Nova;sans-serif" w:hAnsi="Proxima Nova;sans-serif"/>
          <w:b/>
          <w:color w:val="000000"/>
          <w:sz w:val="20"/>
        </w:rPr>
      </w:pPr>
      <w:bookmarkStart w:id="54" w:name="iaea050574dbb4771ace472eb4f0b21c7"/>
      <w:bookmarkEnd w:id="54"/>
      <w:r>
        <w:rPr>
          <w:rFonts w:ascii="Proxima Nova;sans-serif" w:hAnsi="Proxima Nova;sans-serif"/>
          <w:b/>
          <w:color w:val="000000"/>
          <w:sz w:val="20"/>
        </w:rPr>
        <w:t>Charges of Depositary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will pay all transfer and other taxes and governmental charges arising solely from the existence of the depositary arrangements. We will pay associated charges of the depositary for the initial deposit of the preferred stock and any redemption of the preferred stock. Holders of depositary shares will pay transfer and other taxes and governmental charges and any other charges that are stated to be their responsibility in the deposit agreement.</w:t>
      </w:r>
    </w:p>
    <w:p>
      <w:pPr>
        <w:pStyle w:val="TextBody"/>
        <w:bidi w:val="0"/>
        <w:spacing w:lineRule="auto" w:line="288" w:before="200" w:after="200"/>
        <w:jc w:val="both"/>
        <w:rPr>
          <w:rFonts w:ascii="Proxima Nova;sans-serif" w:hAnsi="Proxima Nova;sans-serif"/>
          <w:b/>
          <w:color w:val="000000"/>
          <w:sz w:val="20"/>
        </w:rPr>
      </w:pPr>
      <w:bookmarkStart w:id="55" w:name="ie6c670bce4ac44bf8923ac077bfc9aa1"/>
      <w:bookmarkEnd w:id="55"/>
      <w:r>
        <w:rPr>
          <w:rFonts w:ascii="Proxima Nova;sans-serif" w:hAnsi="Proxima Nova;sans-serif"/>
          <w:b/>
          <w:color w:val="000000"/>
          <w:sz w:val="20"/>
        </w:rPr>
        <w:t>Resignation and Removal of Depositary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depositary may resign at any time by delivering notice to us. We may also remove the depositary at any time. Resignations or removals will take effect when a successor depositary is appointed and it accepts the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4955"/>
                <wp:effectExtent l="0" t="0" r="0" b="0"/>
                <wp:wrapNone/>
                <wp:docPr id="25" name="Frame23"/>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19</w:t>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bookmarkStart w:id="56" w:name="i1d2f7480e2ca4c3bb646a43876f49d72"/>
      <w:bookmarkEnd w:id="56"/>
      <w:r>
        <w:rPr>
          <w:rFonts w:ascii="Proxima Nova;sans-serif" w:hAnsi="Proxima Nova;sans-serif"/>
          <w:b/>
          <w:color w:val="000000"/>
          <w:sz w:val="20"/>
        </w:rPr>
        <w:t>PLAN OF DISTRIBUTION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sell the securities offered by this prospectus to one or more underwriters or dealers for resale, through agents, directly to purchasers or through a combination of any such methods of sale. The name of any such underwriter, dealer or agent involved in the offer and sale of the securities, the amounts underwritten and the nature of its obligation to take the securities will be stated in the applicable prospectus supplement. We have reserved the right to sell the securities directly to investors on our own in those jurisdictions where we are authorized to do so. The sale of the securities may be effected in transactions: (i) on any national or international securities exchange or quotation service on which the securities may be listed or quoted at the time of sale; (ii) in the over-the-counter market; (iii) in transactions otherwise than on such exchanges or in the over-the-counter market; or (iv) through the writing of options.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issue the securities as a dividend or distribution or in a subscription rights offering to our existing security holders. In some cases, we or dealers acting with us or on our behalf may also purchase securities and re</w:t>
        <w:noBreakHyphen/>
        <w:t>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our agents and underwriters on our behalf may offer and sell the securities at a fixed price or prices that may be changed, at market prices prevailing at the time of sale, at prices related to such prevailing market prices or at negotiated prices.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solicit offers to purchase securities directly from the public from time to time. We also may designate agents from time to time to solicit offers to purchase securities from the public on our behalf. If required, the prospectus supplement relating to any particular offering of securities will name any agents designated to solicit offers and will include information about any commissions they may be paid in that offering.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may sell securities from time to time to one or more underwriters, who would purchase the securities as principal for resale to the public, either on a firm-commitment or best-efforts basis. If we use underwriters to sell securities, we may enter into an underwriting agreement with the underwriters at the time of the sale and will name them in the applicable prospectus supplement. In connection with the sale of the securities, underwriters may be deemed to have received compensation from us in the form of underwriting discounts or commissions and may also receive commissions from purchasers of the securities for whom they may act as agents. Any underwriting compensation paid by us to underwriters or agents in connection with the offering of the securities, and any discounts, concessions or commissions allowed by underwriters to participating dealers, will be set forth in the applicable prospectus supplement to the extent required by applicable law. Underwriters may sell the securities to or through dealers, and such dealers may receive compensation in the form of discounts, concessions or commissions from the underwriters or commissions (which may be changed from time to time) from the purchasers for whom they may act as agents.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so indicated in the applicable prospectus supplement, we will authorize underwriters, dealers or agents to solicit offers from certain specified institutions to purchase offered securities from us at the public offering price set forth in the prospectus supplement pursuant to delayed delivery contracts providing for payment and delivery on a specified date in the future. Such contracts will be subject to any conditions set forth in the applicable prospectus supplement, and the prospectus supplement will set forth the commission payable for solicitation of such contracts. The underwriters and other persons soliciting such contracts will have no responsibility for the validity or performance of any such contracts.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Underwriters, dealers and agents may be entitled, under agreements entered into with us, to indemnification against and contribution towards certain civil liabilities, including any liabilities under the Securities Act.</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4955"/>
                <wp:effectExtent l="0" t="0" r="0" b="0"/>
                <wp:wrapNone/>
                <wp:docPr id="26" name="Frame24"/>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20</w:t>
                      </w:r>
                    </w:p>
                  </w:txbxContent>
                </v:textbox>
                <w10:wrap type="none"/>
              </v:rect>
            </w:pict>
          </mc:Fallback>
        </mc:AlternateConten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To facilitate the offering of securities, certain persons participating in the offering may engage in transactions that stabilize, maintain, or otherwise affect the price of the securities. These may include over</w:t>
        <w:noBreakHyphen/>
        <w:t>allotment, stabilization, syndicate short-covering transactions and penalty bids. Over-allotment involves sales in excess of the offering size, which creates a short position. Stabilizing transactions involve bids to purchase the underlying security so long as the stabilizing bids do not exceed a specified maximum. Syndicate short-covering transactions involve purchases of securities in the open market after the distribution has been completed in order to cover syndicate short positions. Penalty bids permit the underwriters to reclaim selling concessions from dealers when the securities originally sold by the dealers are purchased in covering transactions to cover syndicate short positions. These activities may stabilize, maintain or otherwise affect the market price of the securities. As a result, these transactions may cause the price of the securities sold in an offering to be higher than it would otherwise be in the open market. These transactions may be effected on an exchange or automated quotation system, if the securities are listed on that exchange or admitted for trading on that automated quotation system, or in the over</w:t>
        <w:noBreakHyphen/>
        <w:t>the</w:t>
        <w:noBreakHyphen/>
        <w:t>counter market or otherwise. These transactions, if commenced, may be discontinued by the underwriters at any time.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amount of expenses expected to be incurred by us in connection with any issuance of securities will be set forth in the applicable prospectus supplement.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Under Rule 15c6</w:t>
        <w:noBreakHyphen/>
        <w:t>1 of the Exchange Act, trades in the secondary market generally are required to settle in one business day, unless the parties to any such trade expressly agree otherwise. Your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specify alternative settlement arrangements to prevent a failed settlement.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Underwriters, agents and their affiliates may be customers of, engage in transactions with, or perform services for us or our subsidiaries in the ordinary course of their businesses. In connection with the distribution of the securities offered under this prospectus, we may enter into swap or other hedging transactions with, or arranged by, underwriters or agents or their affiliates. These underwriters or agents or their affiliates may receive compensation, trading gain or other benefits from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57" w:name="if7eb40702a574cbda19be409d58d8104"/>
      <w:bookmarkEnd w:id="57"/>
      <w:r>
        <w:rPr>
          <w:rFonts w:ascii="Proxima Nova;sans-serif" w:hAnsi="Proxima Nova;sans-serif"/>
          <w:b/>
          <w:color w:val="000000"/>
          <w:sz w:val="20"/>
        </w:rPr>
        <w:t>SPECIAL NOTE REGARDING FORWARD-LOOKING STATEMENTS</w:t>
      </w:r>
    </w:p>
    <w:p>
      <w:pPr>
        <w:pStyle w:val="TextBody"/>
        <w:bidi w:val="0"/>
        <w:spacing w:lineRule="auto" w:line="288" w:before="200" w:after="200"/>
        <w:jc w:val="both"/>
        <w:rPr/>
      </w:pPr>
      <w:r>
        <w:rPr>
          <w:rFonts w:ascii="Proxima Nova;sans-serif" w:hAnsi="Proxima Nova;sans-serif"/>
          <w:b w:val="false"/>
          <w:color w:val="000000"/>
          <w:sz w:val="20"/>
        </w:rPr>
        <w:t xml:space="preserve">Certain statements contained in or incorporated by reference into this prospectus that are not historical facts may constitute forward-looking statements within the meaning of Section 27A of the Securities Act and Section 21E of the Exchange Act </w:t>
      </w:r>
      <w:r>
        <w:rPr>
          <w:rFonts w:ascii="Proxima Nova;sans-serif" w:hAnsi="Proxima Nova;sans-serif"/>
          <w:b w:val="false"/>
          <w:color w:val="000000"/>
          <w:sz w:val="20"/>
          <w:shd w:fill="FFFFFF" w:val="clear"/>
        </w:rPr>
        <w:t>with respect to the financial condition, results of operations, plans, objectives, future performance and business of the Company</w:t>
      </w:r>
      <w:r>
        <w:rPr>
          <w:rFonts w:ascii="Proxima Nova;sans-serif" w:hAnsi="Proxima Nova;sans-serif"/>
          <w:b w:val="false"/>
          <w:color w:val="000000"/>
          <w:sz w:val="20"/>
        </w:rPr>
        <w:t>. These forward-looking statements are covered by the safe harbor provisions for forward</w:t>
        <w:noBreakHyphen/>
        <w:t>looking statements contained in the Private Securities Litigation Reform Act of 1995. These statements, wh</w:t>
      </w:r>
      <w:r>
        <w:rPr>
          <w:rFonts w:ascii="Proxima Nova;sans-serif" w:hAnsi="Proxima Nova;sans-serif"/>
          <w:b w:val="false"/>
          <w:color w:val="000000"/>
          <w:sz w:val="20"/>
          <w:shd w:fill="FFFFFF" w:val="clear"/>
        </w:rPr>
        <w:t xml:space="preserve">ich may be based upon beliefs, expectations and assumptions of the Company’s management and on information currently available to management, </w:t>
      </w:r>
      <w:r>
        <w:rPr>
          <w:rFonts w:ascii="Proxima Nova;sans-serif" w:hAnsi="Proxima Nova;sans-serif"/>
          <w:b w:val="false"/>
          <w:color w:val="000000"/>
          <w:sz w:val="20"/>
        </w:rPr>
        <w:t>can generally be identified by the use of the words “believe,” “expect,” “anticipate,” “plan,” “intend,” “estimate,” “may,” “will,” “would,” “could,” “should,” or other similar expressions. These forward-looking statements include statements relating to our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our business and growth strategies and any other statements that are not historical facts.</w:t>
      </w:r>
    </w:p>
    <w:p>
      <w:pPr>
        <w:pStyle w:val="TextBody"/>
        <w:bidi w:val="0"/>
        <w:spacing w:lineRule="auto" w:line="288" w:before="200" w:after="200"/>
        <w:jc w:val="both"/>
        <w:rPr/>
      </w:pPr>
      <w:r>
        <w:rPr>
          <w:rFonts w:ascii="Proxima Nova;sans-serif" w:hAnsi="Proxima Nova;sans-serif"/>
          <w:b w:val="false"/>
          <w:color w:val="000000"/>
          <w:sz w:val="20"/>
        </w:rPr>
        <w:t xml:space="preserve">These forward-looking statements are subject to significant risks, assumptions and uncertainties, and could be affected by many factors. Factors that could have a material adverse effect on our financial condition, results of operations and future prospects can be found in our periodic and current reports filed with the SEC. A number of factors, many of which are beyond the </w:t>
      </w:r>
      <w:r>
        <w:rPr>
          <w:rFonts w:ascii="Proxima Nova;sans-serif" w:hAnsi="Proxima Nova;sans-serif"/>
          <w:b w:val="false"/>
          <w:color w:val="000000"/>
          <w:sz w:val="20"/>
          <w:shd w:fill="FFFFFF" w:val="clear"/>
        </w:rPr>
        <w:t>Company</w:t>
      </w:r>
      <w:r>
        <w:rPr>
          <w:color w:val="000000"/>
        </w:rPr>
        <w:t>’</w:t>
      </w:r>
      <w:r>
        <w:rPr>
          <w:rFonts w:ascii="Proxima Nova;sans-serif" w:hAnsi="Proxima Nova;sans-serif"/>
          <w:b w:val="false"/>
          <w:color w:val="000000"/>
          <w:sz w:val="20"/>
        </w:rPr>
        <w:t xml:space="preserve">s ability to control or predict, could cause actual results to differ materially from those in any forward-looking statements. These factors include, among others, the following: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strength of the local, state, national, and international economies and financial markets (including effects of inflationary pressures, the threat or implementation of tariffs, trade wars, and changes to immigration policy);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changes in, and the interpretation and prioritization of, local, state, and federal laws, regulations, and governmental policies (including those concerning the </w:t>
      </w:r>
      <w:r>
        <w:rPr>
          <w:rFonts w:ascii="Proxima Nova;sans-serif" w:hAnsi="Proxima Nova;sans-serif"/>
          <w:b w:val="false"/>
          <w:color w:val="000000"/>
          <w:sz w:val="20"/>
          <w:shd w:fill="FFFFFF" w:val="clear"/>
        </w:rPr>
        <w:t>Company</w:t>
      </w:r>
      <w:r>
        <w:rPr>
          <w:rFonts w:ascii="Proxima Nova;sans-serif" w:hAnsi="Proxima Nova;sans-serif"/>
          <w:b w:val="false"/>
          <w:color w:val="000000"/>
          <w:sz w:val="20"/>
        </w:rPr>
        <w:t xml:space="preserve">'s general business); </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4955"/>
                <wp:effectExtent l="0" t="0" r="0" b="0"/>
                <wp:wrapNone/>
                <wp:docPr id="27" name="Frame25"/>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21</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economic impact of any future terrorist threats or attacks, widespread disease or pandemics, military conflicts, acts of war or threats thereof, or other adverse external events that could increase levels of political and economic unpredictability, contribute to rising energy and commodity prices, affect global supply chains, increase the volatility of financial markets, and other matters beyond our control (including the conflicts in the Middle East and Russia’s invasion of Ukraine);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unexpected results of acquisitions which may include the failure to realize the anticipated benefits of the acquisitions and the possibility that the transaction and integration costs may be greater than anticipated;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imposition of tariffs or other governmental policies impacting the value of products produced by the </w:t>
      </w:r>
      <w:r>
        <w:rPr>
          <w:rFonts w:ascii="Proxima Nova;sans-serif" w:hAnsi="Proxima Nova;sans-serif"/>
          <w:b w:val="false"/>
          <w:color w:val="000000"/>
          <w:sz w:val="20"/>
          <w:shd w:fill="FFFFFF" w:val="clear"/>
        </w:rPr>
        <w:t>Company</w:t>
      </w:r>
      <w:r>
        <w:rPr>
          <w:rFonts w:ascii="Proxima Nova;sans-serif" w:hAnsi="Proxima Nova;sans-serif"/>
          <w:b w:val="false"/>
          <w:color w:val="000000"/>
          <w:sz w:val="20"/>
        </w:rPr>
        <w:t xml:space="preserve">'s commercial borrowers;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impact of bank failures or adverse developments at other banks and related negative publicity about the banking industry, including investor and depositor sentiment regarding bank stability and liquidity;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new or revised accounting policies and practices as may be adopted by state and federal regulatory banking agencies, the Financial Accounting Standards Board, the SEC, or the Public Company Accounting Oversight Board;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changes in interest rates and prepayment rates of the </w:t>
      </w:r>
      <w:r>
        <w:rPr>
          <w:rFonts w:ascii="Proxima Nova;sans-serif" w:hAnsi="Proxima Nova;sans-serif"/>
          <w:b w:val="false"/>
          <w:color w:val="000000"/>
          <w:sz w:val="20"/>
          <w:shd w:fill="FFFFFF" w:val="clear"/>
        </w:rPr>
        <w:t>Company</w:t>
      </w:r>
      <w:r>
        <w:rPr>
          <w:color w:val="000000"/>
        </w:rPr>
        <w:t>’</w:t>
      </w:r>
      <w:r>
        <w:rPr>
          <w:rFonts w:ascii="Proxima Nova;sans-serif" w:hAnsi="Proxima Nova;sans-serif"/>
          <w:b w:val="false"/>
          <w:color w:val="000000"/>
          <w:sz w:val="20"/>
        </w:rPr>
        <w:t xml:space="preserve">s assets (including the impact of sustained elevated interest rates);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increased competition in the financial services sector (including from non-bank competitors such as credit unions, digital asset service providers, private credit, and fintech companies) and the inability to attract new customers;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technological changes implemented by us and other parties, including our third-party vendors, which may have unforeseen consequences to us and our customers, including the development and implementation of tools incorporating artificial intelligence;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loss of key executives or associates, talent shortages, and employee turnover;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unexpected outcomes and costs of existing or new litigation, investigations, or other legal proceedings, inquiries, and regulatory actions involving the </w:t>
      </w:r>
      <w:r>
        <w:rPr>
          <w:rFonts w:ascii="Proxima Nova;sans-serif" w:hAnsi="Proxima Nova;sans-serif"/>
          <w:b w:val="false"/>
          <w:color w:val="000000"/>
          <w:sz w:val="20"/>
          <w:shd w:fill="FFFFFF" w:val="clear"/>
        </w:rPr>
        <w:t>Company</w:t>
      </w:r>
      <w:r>
        <w:rPr>
          <w:color w:val="000000"/>
        </w:rPr>
        <w:t xml:space="preserve"> </w:t>
      </w:r>
      <w:r>
        <w:rPr>
          <w:rFonts w:ascii="Proxima Nova;sans-serif" w:hAnsi="Proxima Nova;sans-serif"/>
          <w:b w:val="false"/>
          <w:color w:val="000000"/>
          <w:sz w:val="20"/>
        </w:rPr>
        <w:t xml:space="preserve">(including with respect to the </w:t>
      </w:r>
      <w:r>
        <w:rPr>
          <w:rFonts w:ascii="Proxima Nova;sans-serif" w:hAnsi="Proxima Nova;sans-serif"/>
          <w:b w:val="false"/>
          <w:color w:val="000000"/>
          <w:sz w:val="20"/>
          <w:shd w:fill="FFFFFF" w:val="clear"/>
        </w:rPr>
        <w:t>Company</w:t>
      </w:r>
      <w:r>
        <w:rPr>
          <w:color w:val="000000"/>
        </w:rPr>
        <w:t>’</w:t>
      </w:r>
      <w:r>
        <w:rPr>
          <w:rFonts w:ascii="Proxima Nova;sans-serif" w:hAnsi="Proxima Nova;sans-serif"/>
          <w:b w:val="false"/>
          <w:color w:val="000000"/>
          <w:sz w:val="20"/>
        </w:rPr>
        <w:t xml:space="preserve">s Illinois franchise taxes);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fluctuations in the value of securities held in the </w:t>
      </w:r>
      <w:r>
        <w:rPr>
          <w:rFonts w:ascii="Proxima Nova;sans-serif" w:hAnsi="Proxima Nova;sans-serif"/>
          <w:b w:val="false"/>
          <w:color w:val="000000"/>
          <w:sz w:val="20"/>
          <w:shd w:fill="FFFFFF" w:val="clear"/>
        </w:rPr>
        <w:t>Company</w:t>
      </w:r>
      <w:r>
        <w:rPr>
          <w:color w:val="000000"/>
        </w:rPr>
        <w:t>’</w:t>
      </w:r>
      <w:r>
        <w:rPr>
          <w:rFonts w:ascii="Proxima Nova;sans-serif" w:hAnsi="Proxima Nova;sans-serif"/>
          <w:b w:val="false"/>
          <w:color w:val="000000"/>
          <w:sz w:val="20"/>
        </w:rPr>
        <w:t xml:space="preserve">s securities portfolio, including as a result of changes in interest rates;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credit risk and risk from concentrations (by type of borrower, geographic area, collateral, and industry), within the </w:t>
      </w:r>
      <w:r>
        <w:rPr>
          <w:rFonts w:ascii="Proxima Nova;sans-serif" w:hAnsi="Proxima Nova;sans-serif"/>
          <w:b w:val="false"/>
          <w:color w:val="000000"/>
          <w:sz w:val="20"/>
          <w:shd w:fill="FFFFFF" w:val="clear"/>
        </w:rPr>
        <w:t>Company</w:t>
      </w:r>
      <w:r>
        <w:rPr>
          <w:color w:val="000000"/>
        </w:rPr>
        <w:t xml:space="preserve"> </w:t>
      </w:r>
      <w:r>
        <w:rPr>
          <w:rFonts w:ascii="Proxima Nova;sans-serif" w:hAnsi="Proxima Nova;sans-serif"/>
          <w:b w:val="false"/>
          <w:color w:val="000000"/>
          <w:sz w:val="20"/>
        </w:rPr>
        <w:t xml:space="preserve">'s loan portfolio and large loans to certain borrowers (including commercial real estate loans);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concentration of large deposits from certain clients who have balances above current Federal Deposit Insurance Corporation insurance limits and may withdraw deposits to diversify their exposure;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level of non-performing assets on the </w:t>
      </w:r>
      <w:r>
        <w:rPr>
          <w:rFonts w:ascii="Proxima Nova;sans-serif" w:hAnsi="Proxima Nova;sans-serif"/>
          <w:b w:val="false"/>
          <w:color w:val="000000"/>
          <w:sz w:val="20"/>
          <w:shd w:fill="FFFFFF" w:val="clear"/>
        </w:rPr>
        <w:t>Company</w:t>
      </w:r>
      <w:r>
        <w:rPr>
          <w:color w:val="000000"/>
        </w:rPr>
        <w:t>’</w:t>
      </w:r>
      <w:r>
        <w:rPr>
          <w:rFonts w:ascii="Proxima Nova;sans-serif" w:hAnsi="Proxima Nova;sans-serif"/>
          <w:b w:val="false"/>
          <w:color w:val="000000"/>
          <w:sz w:val="20"/>
        </w:rPr>
        <w:t xml:space="preserve">s balance sheets;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interruptions involving information technology and communications systems or third-party vendors;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breaches or failures of information security controls or cybersecurity-related incidents;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availability of future equity and debt issuances and other capital raising opportunities on favorable terms;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economic impact on the </w:t>
      </w:r>
      <w:r>
        <w:rPr>
          <w:rFonts w:ascii="Proxima Nova;sans-serif" w:hAnsi="Proxima Nova;sans-serif"/>
          <w:b w:val="false"/>
          <w:color w:val="000000"/>
          <w:sz w:val="20"/>
          <w:shd w:fill="FFFFFF" w:val="clear"/>
        </w:rPr>
        <w:t>Company</w:t>
      </w:r>
      <w:r>
        <w:rPr>
          <w:color w:val="000000"/>
        </w:rPr>
        <w:t xml:space="preserve"> </w:t>
      </w:r>
      <w:r>
        <w:rPr>
          <w:rFonts w:ascii="Proxima Nova;sans-serif" w:hAnsi="Proxima Nova;sans-serif"/>
          <w:b w:val="false"/>
          <w:color w:val="000000"/>
          <w:sz w:val="20"/>
        </w:rPr>
        <w:t xml:space="preserve">and its customers of climate change, natural disasters, and exceptional weather occurrences such as tornadoes, hurricanes, floods, blizzards, and droughts;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ability to successfully manage liquidity risk, which may increase dependence on non-core funding sources such as brokered deposits, and may negatively impact the </w:t>
      </w:r>
      <w:r>
        <w:rPr>
          <w:rFonts w:ascii="Proxima Nova;sans-serif" w:hAnsi="Proxima Nova;sans-serif"/>
          <w:b w:val="false"/>
          <w:color w:val="000000"/>
          <w:sz w:val="20"/>
          <w:shd w:fill="FFFFFF" w:val="clear"/>
        </w:rPr>
        <w:t>Company</w:t>
      </w:r>
      <w:r>
        <w:rPr>
          <w:color w:val="000000"/>
        </w:rPr>
        <w:t xml:space="preserve"> </w:t>
      </w:r>
      <w:r>
        <w:rPr>
          <w:rFonts w:ascii="Proxima Nova;sans-serif" w:hAnsi="Proxima Nova;sans-serif"/>
          <w:b w:val="false"/>
          <w:color w:val="000000"/>
          <w:sz w:val="20"/>
        </w:rPr>
        <w:t xml:space="preserve">'s cost of funds; </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4955"/>
                <wp:effectExtent l="0" t="0" r="0" b="0"/>
                <wp:wrapNone/>
                <wp:docPr id="28" name="Frame26"/>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22</w:t>
                      </w:r>
                    </w:p>
                  </w:txbxContent>
                </v:textbox>
                <w10:wrap type="none"/>
              </v:rect>
            </w:pict>
          </mc:Fallback>
        </mc:AlternateConten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ability to maintain an adequate level of allowance for credit losses on loans;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effectiveness of the </w:t>
      </w:r>
      <w:r>
        <w:rPr>
          <w:rFonts w:ascii="Proxima Nova;sans-serif" w:hAnsi="Proxima Nova;sans-serif"/>
          <w:b w:val="false"/>
          <w:color w:val="000000"/>
          <w:sz w:val="20"/>
          <w:shd w:fill="FFFFFF" w:val="clear"/>
        </w:rPr>
        <w:t>Company</w:t>
      </w:r>
      <w:r>
        <w:rPr>
          <w:color w:val="000000"/>
        </w:rPr>
        <w:t>’</w:t>
      </w:r>
      <w:r>
        <w:rPr>
          <w:rFonts w:ascii="Proxima Nova;sans-serif" w:hAnsi="Proxima Nova;sans-serif"/>
          <w:b w:val="false"/>
          <w:color w:val="000000"/>
          <w:sz w:val="20"/>
        </w:rPr>
        <w:t xml:space="preserve">s risk management framework;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ability of the </w:t>
      </w:r>
      <w:r>
        <w:rPr>
          <w:rFonts w:ascii="Proxima Nova;sans-serif" w:hAnsi="Proxima Nova;sans-serif"/>
          <w:b w:val="false"/>
          <w:color w:val="000000"/>
          <w:sz w:val="20"/>
          <w:shd w:fill="FFFFFF" w:val="clear"/>
        </w:rPr>
        <w:t>Company</w:t>
      </w:r>
      <w:r>
        <w:rPr>
          <w:color w:val="000000"/>
        </w:rPr>
        <w:t xml:space="preserve"> </w:t>
      </w:r>
      <w:r>
        <w:rPr>
          <w:rFonts w:ascii="Proxima Nova;sans-serif" w:hAnsi="Proxima Nova;sans-serif"/>
          <w:b w:val="false"/>
          <w:color w:val="000000"/>
          <w:sz w:val="20"/>
        </w:rPr>
        <w:t xml:space="preserve">to manage the risks associated with the foregoing; and </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other factors and risks described under the “Risk Factors” section of any applicable prospectus supplement issued in connection with the issuance of securities and in our most recent Annual Report on Form 10-K and the Quarterly Reports on Form 10-Q filed since our most recent Annual Report, and elsewhere in our periodic and current reports filed with the SEC.</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Because of these risks and other uncertainties, our actual future results, performance or achievement, or industry results, may be materially different from the results indicated by these forward-looking statements. In addition, our past results of operations are not necessarily indicative of our future results.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You should not place undue reliance on any forward-looking statements, which speak only as of the dates on which they were made. We are not undertaking an obligation to update these forward-looking statements, even though circumstances may change in the future, except as required under federal securities law.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58" w:name="i23d2c7369a004a23b5756c8ac6169738"/>
      <w:bookmarkEnd w:id="58"/>
      <w:r>
        <w:rPr>
          <w:rFonts w:ascii="Proxima Nova;sans-serif" w:hAnsi="Proxima Nova;sans-serif"/>
          <w:b/>
          <w:color w:val="000000"/>
          <w:sz w:val="20"/>
        </w:rPr>
        <w:t>WHERE YOU CAN FIND ADDITIONAL INFORMATION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are subject to the informational requirements of the Exchange Act and file with the SEC proxy statements, Annual Reports on Form 10</w:t>
        <w:noBreakHyphen/>
        <w:t>K, Quarterly Reports on Form 10</w:t>
        <w:noBreakHyphen/>
        <w:t>Q, Current Reports on Form 8</w:t>
        <w:noBreakHyphen/>
        <w:t>K and other information, as required of a U.S. listed company. Our SEC filings are available to the public from the SEC’s website at www.sec.gov or on our website at ir.busey.com. However, other than our available SEC filings, the information on, or that can be accessible through, our website does not constitute a part of, and is not incorporated by reference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59" w:name="i9a42f696b52e4e9588ba9fd63ea58d10"/>
      <w:bookmarkEnd w:id="59"/>
      <w:r>
        <w:rPr>
          <w:rFonts w:ascii="Proxima Nova;sans-serif" w:hAnsi="Proxima Nova;sans-serif"/>
          <w:b/>
          <w:color w:val="000000"/>
          <w:sz w:val="20"/>
        </w:rPr>
        <w:t>DOCUMENTS INCORPORATED BY REFERENCE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SEC allows us to incorporate by reference the information that we file with it into this prospectus, which means that we can disclose important information to you by referring you to other documents. The information incorporated by reference is an important part of this prospectus. We incorporate by reference the following documents and any future filings made with the SEC under Sections 13(a), 13(c), 14 or 15(d) of the Exchange Act after the date of this prospectus and prior to the termination of the offering covered by this prospectus, as well as any filings made after that date of this registration statement of which this prospectus forms a part and prior to the effectiveness of such registration statement, but excluding, in each case, information “furnished” rather than “filed” and information that is modified or superseded by subsequently filed documents prior to the termination of this offering:</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our </w:t>
      </w:r>
      <w:hyperlink r:id="rId4">
        <w:r>
          <w:rPr>
            <w:rStyle w:val="InternetLink"/>
            <w:rFonts w:ascii="Proxima Nova;sans-serif" w:hAnsi="Proxima Nova;sans-serif"/>
            <w:b w:val="false"/>
            <w:color w:val="0000FF"/>
            <w:sz w:val="20"/>
            <w:u w:val="single"/>
          </w:rPr>
          <w:t>Annual Report on Form 10</w:t>
          <w:noBreakHyphen/>
          <w:t>K for the fiscal year ended December 31, 2025, filed with the SEC on February 26, 2026</w:t>
        </w:r>
      </w:hyperlink>
      <w:r>
        <w:rPr>
          <w:rFonts w:ascii="Proxima Nova;sans-serif" w:hAnsi="Proxima Nova;sans-serif"/>
          <w:b w:val="false"/>
          <w:color w:val="000000"/>
          <w:sz w:val="20"/>
        </w:rPr>
        <w:t xml:space="preserve">, including the portions of our </w:t>
      </w:r>
      <w:hyperlink r:id="rId5">
        <w:r>
          <w:rPr>
            <w:rStyle w:val="InternetLink"/>
          </w:rPr>
          <w:t>Definitive Proxy Statement on Schedule 14A filed on April 9, 2026</w:t>
        </w:r>
      </w:hyperlink>
      <w:hyperlink r:id="rId6">
        <w:r>
          <w:rPr>
            <w:rStyle w:val="InternetLink"/>
          </w:rPr>
          <w:t>, as amended April 13, 2026</w:t>
        </w:r>
      </w:hyperlink>
      <w:r>
        <w:rPr>
          <w:rFonts w:ascii="Proxima Nova;sans-serif" w:hAnsi="Proxima Nova;sans-serif"/>
          <w:b w:val="false"/>
          <w:color w:val="000000"/>
          <w:sz w:val="20"/>
        </w:rPr>
        <w:t>, that are incorporated therein;</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our Quarterly Reports on Form 10</w:t>
        <w:noBreakHyphen/>
        <w:t>Q for the fiscal quarters ended: (i) </w:t>
      </w:r>
      <w:hyperlink r:id="rId7">
        <w:r>
          <w:rPr>
            <w:rStyle w:val="InternetLink"/>
            <w:rFonts w:ascii="Proxima Nova;sans-serif" w:hAnsi="Proxima Nova;sans-serif"/>
            <w:b w:val="false"/>
            <w:color w:val="0000FF"/>
            <w:sz w:val="20"/>
            <w:u w:val="single"/>
          </w:rPr>
          <w:t>March 31, 2026, filed with the SEC on May 7, 2026</w:t>
        </w:r>
      </w:hyperlink>
      <w:r>
        <w:rPr>
          <w:color w:val="000000"/>
        </w:rPr>
        <w:t xml:space="preserve"> </w:t>
      </w:r>
      <w:r>
        <w:rPr>
          <w:rFonts w:ascii="Proxima Nova;sans-serif" w:hAnsi="Proxima Nova;sans-serif"/>
          <w:b w:val="false"/>
          <w:color w:val="000000"/>
          <w:sz w:val="20"/>
        </w:rPr>
        <w:t>and (ii) </w:t>
      </w:r>
      <w:hyperlink r:id="rId8">
        <w:r>
          <w:rPr>
            <w:rStyle w:val="InternetLink"/>
            <w:rFonts w:ascii="Proxima Nova;sans-serif" w:hAnsi="Proxima Nova;sans-serif"/>
            <w:b w:val="false"/>
            <w:color w:val="0000FF"/>
            <w:sz w:val="20"/>
            <w:u w:val="single"/>
          </w:rPr>
          <w:t>June 30, 2026, filed with the SEC on August 6, 2026</w:t>
        </w:r>
      </w:hyperlink>
      <w:r>
        <w:rPr>
          <w:rFonts w:ascii="Proxima Nova;sans-serif" w:hAnsi="Proxima Nova;sans-serif"/>
          <w:b w:val="false"/>
          <w:color w:val="000000"/>
          <w:sz w:val="20"/>
        </w:rPr>
        <w: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our Current Reports on Form 8</w:t>
        <w:noBreakHyphen/>
        <w:t xml:space="preserve">K filed with the SEC on </w:t>
      </w:r>
      <w:hyperlink r:id="rId9">
        <w:r>
          <w:rPr>
            <w:rStyle w:val="InternetLink"/>
            <w:rFonts w:ascii="Proxima Nova;sans-serif" w:hAnsi="Proxima Nova;sans-serif"/>
            <w:b w:val="false"/>
            <w:color w:val="0000FF"/>
            <w:sz w:val="20"/>
            <w:u w:val="single"/>
            <w:shd w:fill="FFFFFF" w:val="clear"/>
          </w:rPr>
          <w:t>January 13, 2026</w:t>
        </w:r>
      </w:hyperlink>
      <w:r>
        <w:rPr>
          <w:rFonts w:ascii="Proxima Nova;sans-serif" w:hAnsi="Proxima Nova;sans-serif"/>
          <w:b w:val="false"/>
          <w:color w:val="000000"/>
          <w:sz w:val="20"/>
          <w:shd w:fill="FFFFFF" w:val="clear"/>
        </w:rPr>
        <w:t xml:space="preserve">, </w:t>
      </w:r>
      <w:hyperlink r:id="rId10">
        <w:r>
          <w:rPr>
            <w:rStyle w:val="InternetLink"/>
            <w:rFonts w:ascii="Proxima Nova;sans-serif" w:hAnsi="Proxima Nova;sans-serif"/>
            <w:b w:val="false"/>
            <w:color w:val="0000FF"/>
            <w:sz w:val="20"/>
            <w:u w:val="single"/>
            <w:shd w:fill="FFFFFF" w:val="clear"/>
          </w:rPr>
          <w:t>January 27, 2026</w:t>
        </w:r>
      </w:hyperlink>
      <w:r>
        <w:rPr>
          <w:color w:val="000000"/>
          <w:shd w:fill="FFFFFF" w:val="clear"/>
        </w:rPr>
        <w:t xml:space="preserve"> </w:t>
      </w:r>
      <w:r>
        <w:rPr>
          <w:rFonts w:ascii="Proxima Nova;sans-serif" w:hAnsi="Proxima Nova;sans-serif"/>
          <w:b w:val="false"/>
          <w:color w:val="000000"/>
          <w:sz w:val="20"/>
          <w:shd w:fill="FFFFFF" w:val="clear"/>
        </w:rPr>
        <w:t xml:space="preserve">(solely Item </w:t>
      </w:r>
      <w:r>
        <w:rPr>
          <w:rFonts w:ascii="Proxima Nova;sans-serif" w:hAnsi="Proxima Nova;sans-serif"/>
          <w:b w:val="false"/>
          <w:color w:val="000000"/>
          <w:sz w:val="20"/>
        </w:rPr>
        <w:t xml:space="preserve">5.02 thereof), </w:t>
      </w:r>
      <w:hyperlink r:id="rId11">
        <w:r>
          <w:rPr>
            <w:rStyle w:val="InternetLink"/>
          </w:rPr>
          <w:t>February</w:t>
        </w:r>
      </w:hyperlink>
      <w:hyperlink r:id="rId12">
        <w:r>
          <w:rPr>
            <w:rStyle w:val="InternetLink"/>
          </w:rPr>
          <w:t> </w:t>
        </w:r>
      </w:hyperlink>
      <w:hyperlink r:id="rId13">
        <w:r>
          <w:rPr>
            <w:rStyle w:val="InternetLink"/>
          </w:rPr>
          <w:t>3, 2026</w:t>
        </w:r>
      </w:hyperlink>
      <w:r>
        <w:rPr>
          <w:rFonts w:ascii="Proxima Nova;sans-serif" w:hAnsi="Proxima Nova;sans-serif"/>
          <w:b w:val="false"/>
          <w:color w:val="000000"/>
          <w:sz w:val="20"/>
        </w:rPr>
        <w:t xml:space="preserve">, </w:t>
      </w:r>
      <w:hyperlink r:id="rId14">
        <w:r>
          <w:rPr>
            <w:rStyle w:val="InternetLink"/>
          </w:rPr>
          <w:t>April</w:t>
        </w:r>
      </w:hyperlink>
      <w:hyperlink r:id="rId15">
        <w:r>
          <w:rPr>
            <w:rStyle w:val="InternetLink"/>
          </w:rPr>
          <w:t> </w:t>
        </w:r>
      </w:hyperlink>
      <w:hyperlink r:id="rId16">
        <w:r>
          <w:rPr>
            <w:rStyle w:val="InternetLink"/>
          </w:rPr>
          <w:t>14, 2026</w:t>
        </w:r>
      </w:hyperlink>
      <w:r>
        <w:rPr>
          <w:rFonts w:ascii="Proxima Nova;sans-serif" w:hAnsi="Proxima Nova;sans-serif"/>
          <w:b w:val="false"/>
          <w:color w:val="000000"/>
          <w:sz w:val="20"/>
        </w:rPr>
        <w:t xml:space="preserve">, </w:t>
      </w:r>
      <w:hyperlink r:id="rId17">
        <w:r>
          <w:rPr>
            <w:rStyle w:val="InternetLink"/>
          </w:rPr>
          <w:t>May</w:t>
        </w:r>
      </w:hyperlink>
      <w:hyperlink r:id="rId18">
        <w:r>
          <w:rPr>
            <w:rStyle w:val="InternetLink"/>
          </w:rPr>
          <w:t> </w:t>
        </w:r>
      </w:hyperlink>
      <w:hyperlink r:id="rId19">
        <w:r>
          <w:rPr>
            <w:rStyle w:val="InternetLink"/>
          </w:rPr>
          <w:t>5, 2026</w:t>
        </w:r>
      </w:hyperlink>
      <w:r>
        <w:rPr>
          <w:rFonts w:ascii="Proxima Nova;sans-serif" w:hAnsi="Proxima Nova;sans-serif"/>
          <w:b w:val="false"/>
          <w:color w:val="000000"/>
          <w:sz w:val="20"/>
        </w:rPr>
        <w:t xml:space="preserve">, </w:t>
      </w:r>
      <w:hyperlink r:id="rId20">
        <w:r>
          <w:rPr>
            <w:rStyle w:val="InternetLink"/>
          </w:rPr>
          <w:t>May</w:t>
        </w:r>
      </w:hyperlink>
      <w:hyperlink r:id="rId21">
        <w:r>
          <w:rPr>
            <w:rStyle w:val="InternetLink"/>
          </w:rPr>
          <w:t> </w:t>
        </w:r>
      </w:hyperlink>
      <w:hyperlink r:id="rId22">
        <w:r>
          <w:rPr>
            <w:rStyle w:val="InternetLink"/>
          </w:rPr>
          <w:t>22, 2026</w:t>
        </w:r>
      </w:hyperlink>
      <w:r>
        <w:rPr>
          <w:rFonts w:ascii="Proxima Nova;sans-serif" w:hAnsi="Proxima Nova;sans-serif"/>
          <w:b w:val="false"/>
          <w:color w:val="000000"/>
          <w:sz w:val="20"/>
        </w:rPr>
        <w:t xml:space="preserve">, </w:t>
      </w:r>
      <w:hyperlink r:id="rId23">
        <w:r>
          <w:rPr>
            <w:rStyle w:val="InternetLink"/>
          </w:rPr>
          <w:t>July</w:t>
        </w:r>
      </w:hyperlink>
      <w:hyperlink r:id="rId24">
        <w:r>
          <w:rPr>
            <w:rStyle w:val="InternetLink"/>
          </w:rPr>
          <w:t> </w:t>
        </w:r>
      </w:hyperlink>
      <w:hyperlink r:id="rId25">
        <w:r>
          <w:rPr>
            <w:rStyle w:val="InternetLink"/>
          </w:rPr>
          <w:t>14, 2026</w:t>
        </w:r>
      </w:hyperlink>
      <w:r>
        <w:rPr>
          <w:rFonts w:ascii="Proxima Nova;sans-serif" w:hAnsi="Proxima Nova;sans-serif"/>
          <w:b w:val="false"/>
          <w:color w:val="000000"/>
          <w:sz w:val="20"/>
        </w:rPr>
        <w:t xml:space="preserve">, </w:t>
      </w:r>
      <w:hyperlink r:id="rId26">
        <w:r>
          <w:rPr>
            <w:rStyle w:val="InternetLink"/>
            <w:rFonts w:ascii="Proxima Nova;sans-serif" w:hAnsi="Proxima Nova;sans-serif"/>
            <w:b w:val="false"/>
            <w:color w:val="0000FF"/>
            <w:sz w:val="20"/>
            <w:u w:val="single"/>
          </w:rPr>
          <w:t>July 31, 2026</w:t>
        </w:r>
      </w:hyperlink>
      <w:r>
        <w:rPr>
          <w:rFonts w:ascii="Proxima Nova;sans-serif" w:hAnsi="Proxima Nova;sans-serif"/>
          <w:b w:val="false"/>
          <w:color w:val="000000"/>
          <w:sz w:val="20"/>
        </w:rPr>
        <w:t xml:space="preserve">, and </w:t>
      </w:r>
      <w:hyperlink r:id="rId27">
        <w:r>
          <w:rPr>
            <w:rStyle w:val="InternetLink"/>
          </w:rPr>
          <w:t>August</w:t>
        </w:r>
      </w:hyperlink>
      <w:hyperlink r:id="rId28">
        <w:r>
          <w:rPr>
            <w:rStyle w:val="InternetLink"/>
          </w:rPr>
          <w:t> </w:t>
        </w:r>
      </w:hyperlink>
      <w:hyperlink r:id="rId29">
        <w:r>
          <w:rPr>
            <w:rStyle w:val="InternetLink"/>
          </w:rPr>
          <w:t>7, 2026</w:t>
        </w:r>
      </w:hyperlink>
      <w:r>
        <w:rPr>
          <w:rFonts w:ascii="Proxima Nova;sans-serif" w:hAnsi="Proxima Nova;sans-serif"/>
          <w:b w:val="false"/>
          <w:color w:val="000000"/>
          <w:sz w:val="20"/>
          <w:shd w:fill="FFFFFF" w:val="clear"/>
        </w:rPr>
        <w:t>; and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 description of our common stock, par value $0.001 per share, contained in our Registration Statement on Form 8</w:t>
        <w:noBreakHyphen/>
        <w:t>A, filed with the SEC on April 30, 1990 (File No. 000</w:t>
        <w:noBreakHyphen/>
        <w:t xml:space="preserve">15950), and in </w:t>
      </w:r>
      <w:hyperlink r:id="rId30">
        <w:r>
          <w:rPr>
            <w:rStyle w:val="InternetLink"/>
          </w:rPr>
          <w:t>Exhibit</w:t>
        </w:r>
      </w:hyperlink>
      <w:hyperlink r:id="rId31">
        <w:r>
          <w:rPr>
            <w:rStyle w:val="InternetLink"/>
          </w:rPr>
          <w:t> </w:t>
        </w:r>
      </w:hyperlink>
      <w:hyperlink r:id="rId32">
        <w:r>
          <w:rPr>
            <w:rStyle w:val="InternetLink"/>
          </w:rPr>
          <w:t>4.2</w:t>
        </w:r>
      </w:hyperlink>
      <w:r>
        <w:rPr>
          <w:color w:val="000000"/>
        </w:rPr>
        <w:t xml:space="preserve"> </w:t>
      </w:r>
      <w:r>
        <w:rPr>
          <w:rFonts w:ascii="Proxima Nova;sans-serif" w:hAnsi="Proxima Nova;sans-serif"/>
          <w:b w:val="false"/>
          <w:color w:val="000000"/>
          <w:sz w:val="20"/>
        </w:rPr>
        <w:t xml:space="preserve">of our </w:t>
      </w:r>
      <w:hyperlink r:id="rId33">
        <w:r>
          <w:rPr>
            <w:rStyle w:val="InternetLink"/>
          </w:rPr>
          <w:t>Annual Report on Form 10</w:t>
        </w:r>
      </w:hyperlink>
      <w:hyperlink r:id="rId34">
        <w:r>
          <w:rPr>
            <w:rStyle w:val="InternetLink"/>
          </w:rPr>
          <w:noBreakHyphen/>
        </w:r>
      </w:hyperlink>
      <w:hyperlink r:id="rId35">
        <w:r>
          <w:rPr>
            <w:rStyle w:val="InternetLink"/>
          </w:rPr>
          <w:t>K for the year ended December</w:t>
        </w:r>
      </w:hyperlink>
      <w:hyperlink r:id="rId36">
        <w:r>
          <w:rPr>
            <w:rStyle w:val="InternetLink"/>
          </w:rPr>
          <w:t> </w:t>
        </w:r>
      </w:hyperlink>
      <w:hyperlink r:id="rId37">
        <w:r>
          <w:rPr>
            <w:rStyle w:val="InternetLink"/>
          </w:rPr>
          <w:t>31, 2025, as filed with the SEC on February</w:t>
        </w:r>
      </w:hyperlink>
      <w:hyperlink r:id="rId38">
        <w:r>
          <w:rPr>
            <w:rStyle w:val="InternetLink"/>
          </w:rPr>
          <w:t> </w:t>
        </w:r>
      </w:hyperlink>
      <w:hyperlink r:id="rId39">
        <w:r>
          <w:rPr>
            <w:rStyle w:val="InternetLink"/>
          </w:rPr>
          <w:t>26, 2026</w:t>
        </w:r>
      </w:hyperlink>
      <w:r>
        <w:rPr>
          <w:rFonts w:ascii="Proxima Nova;sans-serif" w:hAnsi="Proxima Nova;sans-serif"/>
          <w:b w:val="false"/>
          <w:color w:val="000000"/>
          <w:sz w:val="20"/>
        </w:rPr>
        <w:t>, including all amendments or reports filed for the purpose of updating such description.</w:t>
      </w:r>
    </w:p>
    <w:p>
      <w:pPr>
        <w:pStyle w:val="TextBody"/>
        <w:bidi w:val="0"/>
        <w:spacing w:lineRule="auto" w:line="288" w:before="0" w:after="200"/>
        <w:jc w:val="left"/>
        <w:rPr/>
      </w:pPr>
      <w:hyperlink w:anchor="ib678f2fed13948628af9a92b63ce0c3d_7">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4955"/>
                <wp:effectExtent l="0" t="0" r="0" b="0"/>
                <wp:wrapNone/>
                <wp:docPr id="29" name="Frame27"/>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23</w:t>
                      </w:r>
                    </w:p>
                  </w:txbxContent>
                </v:textbox>
                <w10:wrap type="none"/>
              </v:rect>
            </w:pict>
          </mc:Fallback>
        </mc:AlternateConten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Any statement contained in this prospectus or in a document incorporated or deemed to be incorporated by reference into this prospectus shall be deemed to be modified or superseded for purposes of this prospectus to the extent that a statement contained in any subsequently filed document which also is, or is deemed to be, incorporated by reference in this prospectus modifies or supersedes such statement. Any such statement so modified or superseded shall not be deemed, except as so modified or superseded, to constitute a part of this prospectus.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will provide to each person, including any beneficial owner, to whom a copy of this prospectus is delivered, without charge, upon written or oral request, a copy of any or all of the documents that are incorporated by reference into this prospectus and a copy of any or all other contracts or documents which are referred to in this prospectus but not delivered with this prospectus. Requests for such materials should be directed to:</w:t>
      </w:r>
    </w:p>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First Busey Corporation</w:t>
        <w:br/>
        <w:t>Attention: Corporate Secretary</w:t>
        <w:br/>
        <w:t>11440 Tomahawk Creek Parkway</w:t>
        <w:br/>
        <w:t>Leawood, Kansas 66211</w:t>
        <w:br/>
        <w:t>Telephone number: (913) 312-6800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60" w:name="i44d63ada47994607a320582fbd979b87"/>
      <w:bookmarkEnd w:id="60"/>
      <w:r>
        <w:rPr>
          <w:rFonts w:ascii="Proxima Nova;sans-serif" w:hAnsi="Proxima Nova;sans-serif"/>
          <w:b/>
          <w:color w:val="000000"/>
          <w:sz w:val="20"/>
        </w:rPr>
        <w:t>LEGAL MATTERS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Unless otherwise indicated in the applicable prospectus supplements, certain legal matters in connection with any offering of securities made by this prospectus will be passed upon for us by Barack Ferrazzano Kirschbaum &amp; Nagelberg LLP. If the securities are being distributed in an underwritten offering, certain legal matters will be passed upon for the underwriters by counsel identified in the related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61" w:name="i6be127db57ec41a7999657db8c6683ae"/>
      <w:bookmarkEnd w:id="61"/>
      <w:r>
        <w:rPr>
          <w:rFonts w:ascii="Proxima Nova;sans-serif" w:hAnsi="Proxima Nova;sans-serif"/>
          <w:b/>
          <w:color w:val="000000"/>
          <w:sz w:val="20"/>
        </w:rPr>
        <w:t>EXPERTS</w:t>
      </w:r>
    </w:p>
    <w:p>
      <w:pPr>
        <w:pStyle w:val="TextBody"/>
        <w:bidi w:val="0"/>
        <w:spacing w:lineRule="auto" w:line="288" w:before="200" w:after="200"/>
        <w:jc w:val="both"/>
        <w:rPr>
          <w:rFonts w:ascii="Proxima Nova;sans-serif" w:hAnsi="Proxima Nova;sans-serif"/>
          <w:b w:val="false"/>
          <w:color w:val="000000"/>
          <w:sz w:val="20"/>
          <w:shd w:fill="FFFFFF" w:val="clear"/>
        </w:rPr>
      </w:pPr>
      <w:r>
        <w:rPr>
          <w:rFonts w:ascii="Proxima Nova;sans-serif" w:hAnsi="Proxima Nova;sans-serif"/>
          <w:b w:val="false"/>
          <w:color w:val="000000"/>
          <w:sz w:val="20"/>
          <w:shd w:fill="FFFFFF" w:val="clear"/>
        </w:rPr>
        <w:t>The consolidated financial statements of the Company and its subsidiaries as of December 31, 2025 and 2024 and for each of the years in the three-year period ended December 31, 2025 and the effectiveness of internal control over financial reporting as of December 31, 2025 incorporated in this prospectus by reference from the Company’s Annual Report on Form 10</w:t>
        <w:noBreakHyphen/>
        <w:t>K for the year ended December 31, 2025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4955"/>
                <wp:effectExtent l="0" t="0" r="0" b="0"/>
                <wp:wrapNone/>
                <wp:docPr id="30" name="Frame28"/>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24</w:t>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PART II</w:t>
      </w:r>
    </w:p>
    <w:p>
      <w:pPr>
        <w:pStyle w:val="TextBody"/>
        <w:bidi w:val="0"/>
        <w:spacing w:lineRule="auto" w:line="288" w:before="200" w:after="200"/>
        <w:jc w:val="center"/>
        <w:rPr>
          <w:rFonts w:ascii="Proxima Nova;sans-serif" w:hAnsi="Proxima Nova;sans-serif"/>
          <w:b/>
          <w:color w:val="000000"/>
          <w:sz w:val="20"/>
        </w:rPr>
      </w:pPr>
      <w:bookmarkStart w:id="62" w:name="i008f6555054f441ba72f038a6cb60a2f"/>
      <w:bookmarkEnd w:id="62"/>
      <w:r>
        <w:rPr>
          <w:rFonts w:ascii="Proxima Nova;sans-serif" w:hAnsi="Proxima Nova;sans-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63" w:name="i010cc2974c1d4b57a587395c5b41b73e"/>
      <w:bookmarkEnd w:id="63"/>
      <w:r>
        <w:rPr>
          <w:rFonts w:ascii="Proxima Nova;sans-serif" w:hAnsi="Proxima Nova;sans-serif"/>
          <w:b/>
          <w:color w:val="000000"/>
          <w:sz w:val="20"/>
        </w:rPr>
        <w:t>Item 14. Other Expenses of Issuance and Distribution.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is an estimate, subject to future contingencies, of the expenses to be incurred by us in connection with the issuance and distribution of the securities being registered. We will pay all of these expenses.</w:t>
      </w:r>
    </w:p>
    <w:tbl>
      <w:tblPr>
        <w:tblW w:w="5563" w:type="dxa"/>
        <w:jc w:val="left"/>
        <w:tblInd w:w="0" w:type="dxa"/>
        <w:tblLayout w:type="fixed"/>
        <w:tblCellMar>
          <w:top w:w="28" w:type="dxa"/>
          <w:left w:w="28" w:type="dxa"/>
          <w:bottom w:w="28" w:type="dxa"/>
          <w:right w:w="28" w:type="dxa"/>
        </w:tblCellMar>
      </w:tblPr>
      <w:tblGrid>
        <w:gridCol w:w="1244"/>
        <w:gridCol w:w="1093"/>
        <w:gridCol w:w="1097"/>
        <w:gridCol w:w="623"/>
        <w:gridCol w:w="623"/>
        <w:gridCol w:w="883"/>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6"/>
              </w:rPr>
            </w:pPr>
            <w:r>
              <w:rPr>
                <w:rFonts w:ascii="Proxima Nova;sans-serif" w:hAnsi="Proxima Nova;sans-serif"/>
                <w:b/>
                <w:color w:val="000000"/>
                <w:sz w:val="16"/>
              </w:rPr>
              <w:t>Approximate Amount</w:t>
            </w:r>
          </w:p>
        </w:tc>
      </w:tr>
      <w:tr>
        <w:trPr/>
        <w:tc>
          <w:tcPr>
            <w:tcW w:w="3434" w:type="dxa"/>
            <w:gridSpan w:val="3"/>
            <w:tcBorders/>
            <w:shd w:fill="E0E7ED" w:val="clear"/>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SEC Registration Fee</w:t>
            </w:r>
          </w:p>
        </w:tc>
        <w:tc>
          <w:tcPr>
            <w:tcW w:w="2129" w:type="dxa"/>
            <w:gridSpan w:val="3"/>
            <w:tcBorders>
              <w:top w:val="single" w:sz="8" w:space="0" w:color="000000"/>
            </w:tcBorders>
            <w:shd w:fill="E0E7ED" w:val="clear"/>
            <w:tcMar>
              <w:top w:w="52" w:type="dxa"/>
              <w:left w:w="0"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Accounting Fees and Expenses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434" w:type="dxa"/>
            <w:gridSpan w:val="3"/>
            <w:tcBorders/>
            <w:shd w:fill="E0E7ED" w:val="clear"/>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Legal Fees and Expenses</w:t>
            </w:r>
          </w:p>
        </w:tc>
        <w:tc>
          <w:tcPr>
            <w:tcW w:w="2129" w:type="dxa"/>
            <w:gridSpan w:val="3"/>
            <w:tcBorders/>
            <w:shd w:fill="E0E7ED" w:val="clear"/>
            <w:tcMar>
              <w:top w:w="0" w:type="dxa"/>
              <w:left w:w="0"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Transfer Agent and Registrar Fees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434" w:type="dxa"/>
            <w:gridSpan w:val="3"/>
            <w:tcBorders/>
            <w:shd w:fill="E0E7ED" w:val="clear"/>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Printing and Mailing Fees</w:t>
            </w:r>
          </w:p>
        </w:tc>
        <w:tc>
          <w:tcPr>
            <w:tcW w:w="2129" w:type="dxa"/>
            <w:gridSpan w:val="3"/>
            <w:tcBorders/>
            <w:shd w:fill="E0E7ED" w:val="clear"/>
            <w:tcMar>
              <w:top w:w="0" w:type="dxa"/>
              <w:left w:w="0"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Miscellaneous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434" w:type="dxa"/>
            <w:gridSpan w:val="3"/>
            <w:tcBorders/>
            <w:shd w:fill="E0E7ED" w:val="clear"/>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w:t>
            </w:r>
          </w:p>
        </w:tc>
        <w:tc>
          <w:tcPr>
            <w:tcW w:w="2129" w:type="dxa"/>
            <w:gridSpan w:val="3"/>
            <w:tcBorders>
              <w:top w:val="single" w:sz="8" w:space="0" w:color="000000"/>
              <w:bottom w:val="double" w:sz="8" w:space="0" w:color="000000"/>
            </w:tcBorders>
            <w:shd w:fill="E0E7ED" w:val="clear"/>
            <w:tcMar>
              <w:top w:w="52" w:type="dxa"/>
              <w:left w:w="0" w:type="dxa"/>
              <w:bottom w:w="3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    In accordance with Rules 446(b) and 457(r), we are deferring payment of the registration fee for the securities offered by this prospectus.</w:t>
      </w:r>
    </w:p>
    <w:p>
      <w:pPr>
        <w:pStyle w:val="TextBody"/>
        <w:bidi w:val="0"/>
        <w:spacing w:lineRule="auto" w:line="288" w:before="1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    These fees are not presently known and cannot be estimated at this time, as they will be based upon, among other things, the amount and type of security being offered as well as the number of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64" w:name="ia56cf322f1e345b993c8afe154c6fa11"/>
      <w:bookmarkEnd w:id="64"/>
      <w:r>
        <w:rPr>
          <w:rFonts w:ascii="Proxima Nova;sans-serif" w:hAnsi="Proxima Nova;sans-serif"/>
          <w:b/>
          <w:color w:val="000000"/>
          <w:sz w:val="20"/>
        </w:rPr>
        <w:t>Item 15. Indemnification of Directors and Officers.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Subsection 1 of Section 78.7502 of the Nevada Revised Statutes Annotated, or the Nevada RSA, empowers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such person in connection with the action, suit or proceeding if that person: (i) is not liable pursuant to Section 78.138 of the Nevada RSA, or (ii) acted in good faith and in a manner that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does not, of itself, create a presumption that the person is liable pursuant to Section 78.138 of the Nevada RSA or did not act in good faith and in a manner that he or she reasonably believed to be in or not opposed to the best interests of the corporation, or that, with respect to any criminal action or proceeding, he or she had reasonable cause to believe that his or her conduct was unlawful.</w:t>
      </w:r>
    </w:p>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4955"/>
                <wp:effectExtent l="0" t="0" r="0" b="0"/>
                <wp:wrapNone/>
                <wp:docPr id="31" name="Frame29"/>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II-1</w:t>
                      </w:r>
                    </w:p>
                  </w:txbxContent>
                </v:textbox>
                <w10:wrap type="none"/>
              </v:rect>
            </w:pict>
          </mc:Fallback>
        </mc:AlternateConten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Subsection 2 of Section 78.7502 of the Nevada RSA empowers a corporation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such person in connection with the defense or settlement of the action or suit if the person (i) is not liable pursuant to Section 78.138 of the Nevada RSA, or (ii) acted in good faith and in a manner that he or she reasonably believed to be in or not opposed to the best interests of the corporation. Indemnification pursuant to this section may not be made for any claim, issue or matter as to which such a person has been adjudged by a court of competent jurisdiction, after exhaustion of any appeals taken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Subsection 3 of Section 78.7502 of the Nevada RSA further provides that any discretionary indemnification under Section 78.7502, unless ordered by a court or advanced under subsection 2 of Section 78.751 of the Nevada RSA, may be made by a corporation only as authorized in each specific case upon a determination that indemnification of a director, officer, employee or agent is proper under the circumstances. The determination must be made by: (i) the stockholders; (ii) the board of directors by majority vote of a quorum consisting of directors who were not parties to the action, suit or proceeding; or (iii) independent legal counsel, in a written opinion, if a majority vote of a quorum consisting of directors who were not parties to the action, suit or proceeding so orders or if a quorum consisting of directors who were not parties to the action, suit or proceeding cannot be obtained.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Section 78.751 of the Nevada RSA provides that a corporation shall indemnify any person who is a director, officer, employee or agent of a corporation to the extent such person has been successful on the merits or otherwise in defense of: (i)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(ii) any claim, issue or matter therein, against expenses actually and reasonably incurred by such person in connection with defending the action, including, without limitation, attorney’s fees. Unless otherwise restricted by a corporation’s articles of incorporation, by-laws or other agreement, the corporation may pay the expenses of officers and directors incurred in defending a civil or criminal action, suit or proceeding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Section 78.751 of the Nevada RSA further provides that the indemnification provided for by Section 78.7502 shall not be deemed exclusive or exclude any other rights to which the indemnified party may be entitled and that the scope of indemnification shall continue as to directors, officers, employees or agents who have ceased to hold such positions, and to their heirs, executors and administrators.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Section 78.752 of the Nevada RSA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the liability and expenses incurred by him or her in any such capacity or arising out of his or her status as such, whether or not the corporation would have the authority to indemnify such person against such liabilities and expenses.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Article Tenth of our Articles provides that no director or officer shall be personally liable to us or our stockholders for monetary damages for breach of fiduciary duty as a director or officer, except for liability for: (i) acts or omissions that involve intentional misconduct, fraud or a knowing violation of law; or (ii) the payment of distributions in violation of Section 78.300 of the Nevada RSA.</w:t>
      </w:r>
    </w:p>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4955"/>
                <wp:effectExtent l="0" t="0" r="0" b="0"/>
                <wp:wrapNone/>
                <wp:docPr id="32" name="Frame30"/>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II-2</w:t>
                      </w:r>
                    </w:p>
                  </w:txbxContent>
                </v:textbox>
                <w10:wrap type="none"/>
              </v:rect>
            </w:pict>
          </mc:Fallback>
        </mc:AlternateConten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Article Thirteenth of our Articles provides that we shall, to the fullest extent permitted by Section 78.751 of the Nevada RSA, as the same may be amended or supplemented from time to time, indemnify any and all persons whom we shall have power to indemnify under Section 78.751 of the Nevada RSA from and against any and all of the expenses, liabilities or other matters referred to in or covered by Section 78.751, and the indemnification provided for shall not be deemed exclusive of any other rights to which those indemnified may be entitled under any by-law, agreement, vote of stockholders or disinterested directors or otherwise, both as to action in such person’s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Our By-Laws provide further that we shall indemnify and hold harmless any person, subject to the limits of applicable federal law and regulation and to the fullest extent permissible under the Nevada RSA, who was or is a party or is threatened to be made a party to or is involved in any action, suit or proceeding, whether civil, criminal, administrative or investigative, by reason of the fact that he or she, or a person of whom he or she is the legal representative of, is or was a director, officer, employee or agent of us, or is or was serving at our request or for our benefit as a director, officer, employee or agent of another corporation, or as our representative in a partnership, joint venture, trust, employee benefit plan, or other enterprise, or as a manager of a limited liability company, which we refer to as Indemnified Persons, against all expenses, liability and loss (including attorneys’ fees, judgments, fines and amounts paid or to be paid in settlement) reasonably incurred or suffered by such Indemnified Person in connection therewith. Our board of directors may in its discretion cause the expenses of Indemnified Persons incurred in defending a civil or criminal action, suit or proceeding to be paid by us as they are incurred and in advance of the final disposition of the action, suit or proceeding upon receipt of an undertaking by or on behalf of such Indemnified Person to repay the amount if it is ultimately determined by a court of competent jurisdiction that such Indemnified Person is not entitled to be indemnified by us. Any such right of indemnification shall be in addition to and shall not be exclusive of any other right that any Indemnified Person may have or hereafter acquire and, without limiting the generality of such statement, each Indemnified Person shall also be entitled to such Indemnified Person’s respective rights of indemnification under our Articles and any by-law, agreement, vote of stockholders, provision of law or otherwise.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Additionally, the Company maintains directors’ and officers’ liability insurance which covers certain liabilities and expenses of its directors and officers, subject to certain limits and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65" w:name="i56c322ddd2434256948711ea3118e86a"/>
      <w:bookmarkEnd w:id="65"/>
      <w:r>
        <w:rPr>
          <w:rFonts w:ascii="Proxima Nova;sans-serif" w:hAnsi="Proxima Nova;sans-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853"/>
        <w:gridCol w:w="853"/>
        <w:gridCol w:w="854"/>
        <w:gridCol w:w="109"/>
        <w:gridCol w:w="109"/>
        <w:gridCol w:w="109"/>
        <w:gridCol w:w="420"/>
        <w:gridCol w:w="420"/>
        <w:gridCol w:w="421"/>
        <w:gridCol w:w="109"/>
        <w:gridCol w:w="109"/>
        <w:gridCol w:w="109"/>
        <w:gridCol w:w="235"/>
        <w:gridCol w:w="235"/>
        <w:gridCol w:w="236"/>
        <w:gridCol w:w="109"/>
        <w:gridCol w:w="109"/>
        <w:gridCol w:w="109"/>
        <w:gridCol w:w="255"/>
        <w:gridCol w:w="255"/>
        <w:gridCol w:w="256"/>
        <w:gridCol w:w="109"/>
        <w:gridCol w:w="109"/>
        <w:gridCol w:w="109"/>
        <w:gridCol w:w="375"/>
        <w:gridCol w:w="375"/>
        <w:gridCol w:w="376"/>
        <w:gridCol w:w="109"/>
        <w:gridCol w:w="109"/>
        <w:gridCol w:w="109"/>
        <w:gridCol w:w="285"/>
        <w:gridCol w:w="285"/>
        <w:gridCol w:w="41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6"/>
              </w:rPr>
            </w:pPr>
            <w:r>
              <w:rPr>
                <w:rFonts w:ascii="Proxima Nova;sans-serif" w:hAnsi="Proxima Nova;sans-serif"/>
                <w:b/>
                <w:color w:val="000000"/>
                <w:sz w:val="16"/>
              </w:rPr>
              <w:t>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Proxima Nova;sans-serif" w:hAnsi="Proxima Nova;sans-serif"/>
                <w:b/>
                <w:color w:val="000000"/>
                <w:sz w:val="16"/>
              </w:rPr>
            </w:pPr>
            <w:r>
              <w:rPr>
                <w:rFonts w:ascii="Proxima Nova;sans-serif" w:hAnsi="Proxima Nova;sans-serif"/>
                <w:b/>
                <w:color w:val="000000"/>
                <w:sz w:val="16"/>
              </w:rPr>
              <w:t>Exhibit</w:t>
            </w:r>
          </w:p>
          <w:p>
            <w:pPr>
              <w:pStyle w:val="TableContents"/>
              <w:bidi w:val="0"/>
              <w:spacing w:lineRule="auto" w:line="240" w:before="0" w:after="0"/>
              <w:jc w:val="left"/>
              <w:rPr>
                <w:rFonts w:ascii="Proxima Nova;sans-serif" w:hAnsi="Proxima Nova;sans-serif"/>
                <w:b/>
                <w:color w:val="000000"/>
                <w:sz w:val="16"/>
              </w:rPr>
            </w:pPr>
            <w:r>
              <w:rPr>
                <w:rFonts w:ascii="Proxima Nova;sans-serif" w:hAnsi="Proxima Nova;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Filing Entity</w:t>
            </w:r>
          </w:p>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Proxima Nova;sans-serif" w:hAnsi="Proxima Nova;sans-serif"/>
                <w:b/>
                <w:color w:val="000000"/>
                <w:sz w:val="16"/>
              </w:rPr>
              <w:t>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Proxima Nova;sans-serif" w:hAnsi="Proxima Nova;sans-serif"/>
                <w:b/>
                <w:color w:val="000000"/>
                <w:sz w:val="16"/>
              </w:rPr>
            </w:pPr>
            <w:r>
              <w:rPr>
                <w:rFonts w:ascii="Proxima Nova;sans-serif" w:hAnsi="Proxima Nova;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Filed</w:t>
            </w:r>
          </w:p>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Herewith</w:t>
            </w:r>
          </w:p>
        </w:tc>
      </w:tr>
      <w:tr>
        <w:trPr/>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Underwriting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Proxima Nova;sans-serif" w:hAnsi="Proxima Nova;sans-serif"/>
                  <w:b w:val="false"/>
                  <w:color w:val="0000FF"/>
                  <w:sz w:val="20"/>
                  <w:u w:val="single"/>
                </w:rPr>
                <w:t>Amended and Restated Articles of Incorporation of First Busey Corporation, together with: (i) the Certificate of Amendment to Articles of Incorporation, dated July 31, 2007; (ii) the Certificate of Amendment to Articles of Incorporation, dated December 3, 2009; (iii) the Certificate of Amendment to Articles of Incorporation, dated May 21, 2010; and (iv)  the Certificate of Change Pursuant to Nevada Revised Statutes Section 78.209, dated September 8,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BUSE</w:t>
            </w:r>
          </w:p>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(000-15950)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11/06/2015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Proxima Nova;sans-serif" w:hAnsi="Proxima Nova;sans-serif"/>
                  <w:b w:val="false"/>
                  <w:color w:val="0000FF"/>
                  <w:sz w:val="20"/>
                  <w:u w:val="single"/>
                </w:rPr>
                <w:t>Certificate of Amendment to Articles of Incorporation of First Busey Corporation, dated May 22,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BUSE</w:t>
            </w:r>
          </w:p>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(333-238782)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05/29/2020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Proxima Nova;sans-serif" w:hAnsi="Proxima Nova;sans-serif"/>
                  <w:b w:val="false"/>
                  <w:color w:val="0000FF"/>
                  <w:sz w:val="20"/>
                  <w:u w:val="single"/>
                </w:rPr>
                <w:t>Certificate of Amendment to Articles of Incorporation dated February 27,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br/>
              <w:t>(000-15950)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03/03/2025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4955"/>
                <wp:effectExtent l="0" t="0" r="0" b="0"/>
                <wp:wrapNone/>
                <wp:docPr id="33" name="Frame31"/>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849"/>
        <w:gridCol w:w="849"/>
        <w:gridCol w:w="850"/>
        <w:gridCol w:w="109"/>
        <w:gridCol w:w="109"/>
        <w:gridCol w:w="109"/>
        <w:gridCol w:w="420"/>
        <w:gridCol w:w="420"/>
        <w:gridCol w:w="421"/>
        <w:gridCol w:w="110"/>
        <w:gridCol w:w="110"/>
        <w:gridCol w:w="110"/>
        <w:gridCol w:w="235"/>
        <w:gridCol w:w="235"/>
        <w:gridCol w:w="236"/>
        <w:gridCol w:w="110"/>
        <w:gridCol w:w="110"/>
        <w:gridCol w:w="110"/>
        <w:gridCol w:w="255"/>
        <w:gridCol w:w="255"/>
        <w:gridCol w:w="256"/>
        <w:gridCol w:w="110"/>
        <w:gridCol w:w="110"/>
        <w:gridCol w:w="110"/>
        <w:gridCol w:w="375"/>
        <w:gridCol w:w="375"/>
        <w:gridCol w:w="376"/>
        <w:gridCol w:w="109"/>
        <w:gridCol w:w="109"/>
        <w:gridCol w:w="109"/>
        <w:gridCol w:w="285"/>
        <w:gridCol w:w="285"/>
        <w:gridCol w:w="4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6"/>
              </w:rPr>
            </w:pPr>
            <w:r>
              <w:rPr>
                <w:rFonts w:ascii="Proxima Nova;sans-serif" w:hAnsi="Proxima Nova;sans-serif"/>
                <w:b/>
                <w:color w:val="000000"/>
                <w:sz w:val="16"/>
              </w:rPr>
              <w:t>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Proxima Nova;sans-serif" w:hAnsi="Proxima Nova;sans-serif"/>
                <w:b/>
                <w:color w:val="000000"/>
                <w:sz w:val="16"/>
              </w:rPr>
            </w:pPr>
            <w:r>
              <w:rPr>
                <w:rFonts w:ascii="Proxima Nova;sans-serif" w:hAnsi="Proxima Nova;sans-serif"/>
                <w:b/>
                <w:color w:val="000000"/>
                <w:sz w:val="16"/>
              </w:rPr>
              <w:t>Exhibit</w:t>
            </w:r>
          </w:p>
          <w:p>
            <w:pPr>
              <w:pStyle w:val="TableContents"/>
              <w:bidi w:val="0"/>
              <w:spacing w:lineRule="auto" w:line="240" w:before="0" w:after="0"/>
              <w:jc w:val="left"/>
              <w:rPr>
                <w:rFonts w:ascii="Proxima Nova;sans-serif" w:hAnsi="Proxima Nova;sans-serif"/>
                <w:b/>
                <w:color w:val="000000"/>
                <w:sz w:val="16"/>
              </w:rPr>
            </w:pPr>
            <w:r>
              <w:rPr>
                <w:rFonts w:ascii="Proxima Nova;sans-serif" w:hAnsi="Proxima Nova;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Filing Entity</w:t>
            </w:r>
          </w:p>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Proxima Nova;sans-serif" w:hAnsi="Proxima Nova;sans-serif"/>
                <w:b/>
                <w:color w:val="000000"/>
                <w:sz w:val="16"/>
              </w:rPr>
              <w:t>Form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Proxima Nova;sans-serif" w:hAnsi="Proxima Nova;sans-serif"/>
                <w:b/>
                <w:color w:val="000000"/>
                <w:sz w:val="16"/>
              </w:rPr>
            </w:pPr>
            <w:r>
              <w:rPr>
                <w:rFonts w:ascii="Proxima Nova;sans-serif" w:hAnsi="Proxima Nova;sans-serif"/>
                <w:b/>
                <w:color w:val="000000"/>
                <w:sz w:val="16"/>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Filed</w:t>
            </w:r>
          </w:p>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Herewith</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Proxima Nova;sans-serif" w:hAnsi="Proxima Nova;sans-serif"/>
                  <w:b w:val="false"/>
                  <w:color w:val="0000FF"/>
                  <w:sz w:val="20"/>
                  <w:u w:val="single"/>
                </w:rPr>
                <w:t>Second Amended and Restated By-Laws of First Busey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br/>
              <w:t>(000-15950)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12/07/2023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Proxima Nova;sans-serif" w:hAnsi="Proxima Nova;sans-serif"/>
                  <w:b w:val="false"/>
                  <w:color w:val="0000FF"/>
                  <w:sz w:val="20"/>
                  <w:u w:val="single"/>
                </w:rPr>
                <w:t>Amendment to the Second Amended and Restated By-Laws of First Busey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br/>
              <w:t>(000-15950)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3.5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03/03/2025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certificate of designation for issuance of preferred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Proxima Nova;sans-serif" w:hAnsi="Proxima Nova;sans-serif"/>
                  <w:b w:val="false"/>
                  <w:color w:val="0000FF"/>
                  <w:sz w:val="20"/>
                  <w:u w:val="single"/>
                </w:rPr>
                <w:t>Description of First Busey Corporation’s Securities Registered Pursuant to Section 12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br/>
              <w:t>(000-15950)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4.1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05/09/2025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Proxima Nova;sans-serif" w:hAnsi="Proxima Nova;sans-serif"/>
                  <w:b w:val="false"/>
                  <w:color w:val="0000FF"/>
                  <w:sz w:val="20"/>
                  <w:u w:val="single"/>
                </w:rPr>
                <w:t>Indenture, dated as of May 25, 2017, between the Company and U.S. Bank Trust Company,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br/>
              <w:t>(000-15950)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4.1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05/25/2017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Proxima Nova;sans-serif" w:hAnsi="Proxima Nova;sans-serif"/>
                  <w:b w:val="false"/>
                  <w:color w:val="0000FF"/>
                  <w:sz w:val="20"/>
                  <w:u w:val="single"/>
                </w:rPr>
                <w:t>Fourth Supplemental Indenture, dated as of June 2, 2022, between the Company and U.S. Bank Trust Company,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br/>
              <w:t>(000-15950)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4.2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06/03/2022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senior debt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subordinated debt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debt warrant agreement (including debt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preferred stock warrant agreement (including preferred stock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common stock warrant agreement (including common stock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subscription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subscription agent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unit agreement (including unit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depositary agreement (including depositary receipt)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common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Proxima Nova;sans-serif" w:hAnsi="Proxima Nova;sans-serif"/>
                <w:b w:val="false"/>
                <w:color w:val="000000"/>
                <w:sz w:val="20"/>
              </w:rPr>
            </w:pPr>
            <w:r>
              <w:rPr>
                <w:rFonts w:ascii="Proxima Nova;sans-serif" w:hAnsi="Proxima Nova;sans-serif"/>
                <w:b w:val="false"/>
                <w:color w:val="000000"/>
                <w:sz w:val="20"/>
              </w:rPr>
              <w:t>Form of preferred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4955"/>
                <wp:effectExtent l="0" t="0" r="0" b="0"/>
                <wp:wrapNone/>
                <wp:docPr id="34" name="Frame32"/>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848"/>
        <w:gridCol w:w="848"/>
        <w:gridCol w:w="849"/>
        <w:gridCol w:w="109"/>
        <w:gridCol w:w="109"/>
        <w:gridCol w:w="109"/>
        <w:gridCol w:w="421"/>
        <w:gridCol w:w="421"/>
        <w:gridCol w:w="422"/>
        <w:gridCol w:w="110"/>
        <w:gridCol w:w="110"/>
        <w:gridCol w:w="110"/>
        <w:gridCol w:w="236"/>
        <w:gridCol w:w="236"/>
        <w:gridCol w:w="237"/>
        <w:gridCol w:w="110"/>
        <w:gridCol w:w="110"/>
        <w:gridCol w:w="110"/>
        <w:gridCol w:w="255"/>
        <w:gridCol w:w="255"/>
        <w:gridCol w:w="256"/>
        <w:gridCol w:w="110"/>
        <w:gridCol w:w="110"/>
        <w:gridCol w:w="110"/>
        <w:gridCol w:w="375"/>
        <w:gridCol w:w="375"/>
        <w:gridCol w:w="376"/>
        <w:gridCol w:w="109"/>
        <w:gridCol w:w="109"/>
        <w:gridCol w:w="109"/>
        <w:gridCol w:w="285"/>
        <w:gridCol w:w="285"/>
        <w:gridCol w:w="41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6"/>
              </w:rPr>
            </w:pPr>
            <w:r>
              <w:rPr>
                <w:rFonts w:ascii="Proxima Nova;sans-serif" w:hAnsi="Proxima Nova;sans-serif"/>
                <w:b/>
                <w:color w:val="000000"/>
                <w:sz w:val="16"/>
              </w:rPr>
              <w:t>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Proxima Nova;sans-serif" w:hAnsi="Proxima Nova;sans-serif"/>
                <w:b/>
                <w:color w:val="000000"/>
                <w:sz w:val="16"/>
              </w:rPr>
            </w:pPr>
            <w:r>
              <w:rPr>
                <w:rFonts w:ascii="Proxima Nova;sans-serif" w:hAnsi="Proxima Nova;sans-serif"/>
                <w:b/>
                <w:color w:val="000000"/>
                <w:sz w:val="16"/>
              </w:rPr>
              <w:t>Exhibit</w:t>
            </w:r>
          </w:p>
          <w:p>
            <w:pPr>
              <w:pStyle w:val="TableContents"/>
              <w:bidi w:val="0"/>
              <w:spacing w:lineRule="auto" w:line="240" w:before="0" w:after="0"/>
              <w:jc w:val="left"/>
              <w:rPr>
                <w:rFonts w:ascii="Proxima Nova;sans-serif" w:hAnsi="Proxima Nova;sans-serif"/>
                <w:b/>
                <w:color w:val="000000"/>
                <w:sz w:val="16"/>
              </w:rPr>
            </w:pPr>
            <w:r>
              <w:rPr>
                <w:rFonts w:ascii="Proxima Nova;sans-serif" w:hAnsi="Proxima Nova;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Filing Entity</w:t>
            </w:r>
          </w:p>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Proxima Nova;sans-serif" w:hAnsi="Proxima Nova;sans-serif"/>
                <w:b/>
                <w:color w:val="000000"/>
                <w:sz w:val="16"/>
              </w:rPr>
              <w:t>Form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Proxima Nova;sans-serif" w:hAnsi="Proxima Nova;sans-serif"/>
                <w:b/>
                <w:color w:val="000000"/>
                <w:sz w:val="16"/>
              </w:rPr>
            </w:pPr>
            <w:r>
              <w:rPr>
                <w:rFonts w:ascii="Proxima Nova;sans-serif" w:hAnsi="Proxima Nova;sans-serif"/>
                <w:b/>
                <w:color w:val="000000"/>
                <w:sz w:val="16"/>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Filed</w:t>
            </w:r>
          </w:p>
          <w:p>
            <w:pPr>
              <w:pStyle w:val="TableContents"/>
              <w:bidi w:val="0"/>
              <w:spacing w:lineRule="auto" w:line="240" w:before="0" w:after="0"/>
              <w:jc w:val="center"/>
              <w:rPr>
                <w:rFonts w:ascii="Proxima Nova;sans-serif" w:hAnsi="Proxima Nova;sans-serif"/>
                <w:b/>
                <w:color w:val="000000"/>
                <w:sz w:val="16"/>
              </w:rPr>
            </w:pPr>
            <w:r>
              <w:rPr>
                <w:rFonts w:ascii="Proxima Nova;sans-serif" w:hAnsi="Proxima Nova;sans-serif"/>
                <w:b/>
                <w:color w:val="000000"/>
                <w:sz w:val="16"/>
              </w:rPr>
              <w:t>Herewith</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use_20260916xex51.htm">
              <w:r>
                <w:rPr>
                  <w:rStyle w:val="InternetLink"/>
                  <w:rFonts w:ascii="Proxima Nova;sans-serif" w:hAnsi="Proxima Nova;sans-serif"/>
                  <w:b w:val="false"/>
                  <w:color w:val="0000FF"/>
                  <w:sz w:val="20"/>
                  <w:u w:val="single"/>
                </w:rPr>
                <w:t>Opinion of Barack Ferrazzano (including consent)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use_20260916xex231.htm">
              <w:r>
                <w:rPr>
                  <w:rStyle w:val="InternetLink"/>
                  <w:rFonts w:ascii="Proxima Nova;sans-serif" w:hAnsi="Proxima Nova;sans-serif"/>
                  <w:b w:val="false"/>
                  <w:color w:val="0000FF"/>
                  <w:sz w:val="20"/>
                  <w:u w:val="single"/>
                </w:rPr>
                <w:t>Consent of Independent Registered Public Accounting Firm, RSM US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use_20260916xex51.htm">
              <w:r>
                <w:rPr>
                  <w:rStyle w:val="InternetLink"/>
                  <w:rFonts w:ascii="Proxima Nova;sans-serif" w:hAnsi="Proxima Nova;sans-serif"/>
                  <w:b w:val="false"/>
                  <w:color w:val="0000FF"/>
                  <w:sz w:val="20"/>
                  <w:u w:val="single"/>
                </w:rPr>
                <w:t>Consent of Barack Ferrazzano (included as part of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678f2fed13948628af9a92b63ce0c3d_16">
              <w:r>
                <w:rPr>
                  <w:rStyle w:val="InternetLink"/>
                  <w:rFonts w:ascii="Proxima Nova;sans-serif" w:hAnsi="Proxima Nova;sans-serif"/>
                  <w:b w:val="false"/>
                  <w:color w:val="0000FF"/>
                  <w:sz w:val="20"/>
                  <w:u w:val="single"/>
                </w:rPr>
                <w:t>Powers of Attorney (included in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Proxima Nova;sans-serif" w:hAnsi="Proxima Nova;sans-serif"/>
                  <w:b w:val="false"/>
                  <w:color w:val="0000FF"/>
                  <w:sz w:val="20"/>
                  <w:u w:val="single"/>
                </w:rPr>
                <w:t>Statement of Eligibility under the Trust Indenture Act of 1939, as amended, of U.S. Bank Trust Company, National Association, as Trustee, on Form 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BUSE</w:t>
            </w:r>
          </w:p>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(333-274620)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S-3ASR</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25.1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09/21/2023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filingfees.htm">
              <w:r>
                <w:rPr>
                  <w:rStyle w:val="InternetLink"/>
                  <w:rFonts w:ascii="Proxima Nova;sans-serif" w:hAnsi="Proxima Nova;sans-serif"/>
                  <w:b w:val="false"/>
                  <w:color w:val="0000FF"/>
                  <w:sz w:val="20"/>
                  <w:u w:val="single"/>
                </w:rPr>
                <w:t>Calculation of 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    To be filed by amendment or by report filed under the Exchange Act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66" w:name="i64b534da622e4c9a8fd52ecc1930375c"/>
      <w:bookmarkEnd w:id="66"/>
      <w:r>
        <w:rPr>
          <w:rFonts w:ascii="Proxima Nova;sans-serif" w:hAnsi="Proxima Nova;sans-serif"/>
          <w:b/>
          <w:color w:val="000000"/>
          <w:sz w:val="20"/>
        </w:rPr>
        <w:t>Item 17. Undertakings.</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(a)The undersigned registrant hereby undertakes:</w:t>
      </w:r>
    </w:p>
    <w:p>
      <w:pPr>
        <w:pStyle w:val="TextBody"/>
        <w:bidi w:val="0"/>
        <w:spacing w:lineRule="auto" w:line="288" w:before="200" w:after="200"/>
        <w:ind w:left="0" w:right="0" w:hanging="604"/>
        <w:jc w:val="both"/>
        <w:rPr>
          <w:rFonts w:ascii="Proxima Nova;sans-serif" w:hAnsi="Proxima Nova;sans-serif"/>
          <w:b w:val="false"/>
          <w:color w:val="000000"/>
          <w:sz w:val="20"/>
        </w:rPr>
      </w:pPr>
      <w:r>
        <w:rPr>
          <w:rFonts w:ascii="Proxima Nova;sans-serif" w:hAnsi="Proxima Nova;sans-serif"/>
          <w:b w:val="false"/>
          <w:color w:val="000000"/>
          <w:sz w:val="20"/>
        </w:rPr>
        <w:t>(1)To file, during any period in which offers or sales are being made, a post-effective amendment to this registration statement:</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(i)to include any prospectus required by Section 10(a)(3) of the Securities Act;</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provided, however, that paragraphs (i), (ii) and (iii)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lineRule="auto" w:line="288" w:before="200" w:after="200"/>
        <w:ind w:left="0" w:right="0" w:hanging="604"/>
        <w:jc w:val="both"/>
        <w:rPr>
          <w:rFonts w:ascii="Proxima Nova;sans-serif" w:hAnsi="Proxima Nova;sans-serif"/>
          <w:b w:val="false"/>
          <w:color w:val="000000"/>
          <w:sz w:val="20"/>
        </w:rPr>
      </w:pPr>
      <w:r>
        <w:rPr>
          <w:rFonts w:ascii="Proxima Nova;sans-serif" w:hAnsi="Proxima Nova;sans-serif"/>
          <w:b w:val="false"/>
          <w:color w:val="000000"/>
          <w:sz w:val="20"/>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4955"/>
                <wp:effectExtent l="0" t="0" r="0" b="0"/>
                <wp:wrapNone/>
                <wp:docPr id="35" name="Frame33"/>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II-5</w:t>
                      </w:r>
                    </w:p>
                  </w:txbxContent>
                </v:textbox>
                <w10:wrap type="none"/>
              </v:rect>
            </w:pict>
          </mc:Fallback>
        </mc:AlternateContent>
      </w:r>
    </w:p>
    <w:p>
      <w:pPr>
        <w:pStyle w:val="TextBody"/>
        <w:bidi w:val="0"/>
        <w:spacing w:lineRule="auto" w:line="288" w:before="200" w:after="200"/>
        <w:ind w:left="0" w:right="0" w:hanging="604"/>
        <w:jc w:val="both"/>
        <w:rPr>
          <w:rFonts w:ascii="Proxima Nova;sans-serif" w:hAnsi="Proxima Nova;sans-serif"/>
          <w:b w:val="false"/>
          <w:color w:val="000000"/>
          <w:sz w:val="20"/>
        </w:rPr>
      </w:pPr>
      <w:r>
        <w:rPr>
          <w:rFonts w:ascii="Proxima Nova;sans-serif" w:hAnsi="Proxima Nova;sans-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200" w:after="200"/>
        <w:ind w:left="0" w:right="0" w:hanging="604"/>
        <w:jc w:val="both"/>
        <w:rPr>
          <w:rFonts w:ascii="Proxima Nova;sans-serif" w:hAnsi="Proxima Nova;sans-serif"/>
          <w:b w:val="false"/>
          <w:color w:val="000000"/>
          <w:sz w:val="20"/>
        </w:rPr>
      </w:pPr>
      <w:r>
        <w:rPr>
          <w:rFonts w:ascii="Proxima Nova;sans-serif" w:hAnsi="Proxima Nova;sans-serif"/>
          <w:b w:val="false"/>
          <w:color w:val="000000"/>
          <w:sz w:val="20"/>
        </w:rPr>
        <w:t>(4)That, for the purpose of determining liability under the Securities Act, to any purchaser:</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200" w:after="200"/>
        <w:ind w:left="0" w:right="0" w:hanging="604"/>
        <w:jc w:val="both"/>
        <w:rPr>
          <w:rFonts w:ascii="Proxima Nova;sans-serif" w:hAnsi="Proxima Nova;sans-serif"/>
          <w:b w:val="false"/>
          <w:color w:val="000000"/>
          <w:sz w:val="20"/>
        </w:rPr>
      </w:pPr>
      <w:r>
        <w:rPr>
          <w:rFonts w:ascii="Proxima Nova;sans-serif" w:hAnsi="Proxima Nova;sans-serif"/>
          <w:b w:val="false"/>
          <w:color w:val="000000"/>
          <w:sz w:val="20"/>
        </w:rPr>
        <w:t>(5)That,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(iv)any other communication that is an offer in the offering made by the undersigned registrant to the purchaser.</w:t>
      </w:r>
    </w:p>
    <w:p>
      <w:pPr>
        <w:pStyle w:val="TextBody"/>
        <w:bidi w:val="0"/>
        <w:spacing w:lineRule="auto" w:line="288" w:before="200" w:after="200"/>
        <w:ind w:left="0" w:right="0" w:hanging="604"/>
        <w:jc w:val="both"/>
        <w:rPr>
          <w:rFonts w:ascii="Proxima Nova;sans-serif" w:hAnsi="Proxima Nova;sans-serif"/>
          <w:b w:val="false"/>
          <w:color w:val="000000"/>
          <w:sz w:val="20"/>
        </w:rPr>
      </w:pPr>
      <w:r>
        <w:rPr>
          <w:rFonts w:ascii="Proxima Nova;sans-serif" w:hAnsi="Proxima Nova;sans-serif"/>
          <w:b w:val="false"/>
          <w:color w:val="000000"/>
          <w:sz w:val="20"/>
        </w:rPr>
        <w:t>(6)That,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00" w:after="200"/>
        <w:ind w:left="0" w:right="0" w:hanging="604"/>
        <w:jc w:val="both"/>
        <w:rPr>
          <w:rFonts w:ascii="Proxima Nova;sans-serif" w:hAnsi="Proxima Nova;sans-serif"/>
          <w:b w:val="false"/>
          <w:color w:val="000000"/>
          <w:sz w:val="20"/>
        </w:rPr>
      </w:pPr>
      <w:r>
        <w:rPr>
          <w:rFonts w:ascii="Proxima Nova;sans-serif" w:hAnsi="Proxima Nova;sans-serif"/>
          <w:b w:val="false"/>
          <w:color w:val="000000"/>
          <w:sz w:val="20"/>
        </w:rPr>
        <w:t>(7)To file an application for the purpose of determining the eligibility of the trustee to act under subsection (a) of Section 310 of the Trust Indenture Act of 1939 in accordance with the rules and regulations prescribed by the SEC under Section 305(b)(2) of the Trust Indenture Act of 1939.</w:t>
      </w:r>
    </w:p>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4955"/>
                <wp:effectExtent l="0" t="0" r="0" b="0"/>
                <wp:wrapNone/>
                <wp:docPr id="36" name="Frame34"/>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II-6</w:t>
                      </w:r>
                    </w:p>
                  </w:txbxContent>
                </v:textbox>
                <w10:wrap type="none"/>
              </v:rect>
            </w:pict>
          </mc:Fallback>
        </mc:AlternateConten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(b)Insofar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4955"/>
                <wp:effectExtent l="0" t="0" r="0" b="0"/>
                <wp:wrapNone/>
                <wp:docPr id="37" name="Frame35"/>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II-7</w:t>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bookmarkStart w:id="67" w:name="i886d1cfebb2d4e2ab607ef844957fa36"/>
      <w:bookmarkEnd w:id="67"/>
      <w:r>
        <w:rPr>
          <w:rFonts w:ascii="Proxima Nova;sans-serif" w:hAnsi="Proxima Nova;sans-serif"/>
          <w:b/>
          <w:color w:val="000000"/>
          <w:sz w:val="20"/>
        </w:rPr>
        <w:t>SIGNATURES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Leawood, State of Kansas, on September 16, 2026.</w:t>
      </w:r>
    </w:p>
    <w:tbl>
      <w:tblPr>
        <w:tblW w:w="65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9"/>
        <w:gridCol w:w="139"/>
        <w:gridCol w:w="141"/>
        <w:gridCol w:w="970"/>
        <w:gridCol w:w="970"/>
        <w:gridCol w:w="970"/>
        <w:gridCol w:w="637"/>
        <w:gridCol w:w="637"/>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20"/>
              </w:rPr>
            </w:pPr>
            <w:r>
              <w:rPr>
                <w:rFonts w:ascii="Proxima Nova;sans-serif" w:hAnsi="Proxima Nova;sans-serif"/>
                <w:b/>
                <w:color w:val="000000"/>
                <w:sz w:val="20"/>
              </w:rPr>
              <w:t>FIRST BUSEY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VAN A. DUKEMAN</w:t>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Van A. Dukeman</w:t>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Chairman,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CHRISTOPHER H.M. CHAN</w:t>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Christopher H.M. Chan</w:t>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Executive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(Principal Financial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hyperlink w:anchor="ib678f2fed13948628af9a92b63ce0c3d_369">
        <w:r>
          <w:rPr>
            <w:rStyle w:val="InternetLink"/>
            <w:rFonts w:ascii="Proxima Nova;sans-serif" w:hAnsi="Proxima Nova;sans-serif"/>
            <w:b w:val="false"/>
            <w:color w:val="0000FF"/>
            <w:sz w:val="16"/>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4955"/>
                <wp:effectExtent l="0" t="0" r="0" b="0"/>
                <wp:wrapNone/>
                <wp:docPr id="38" name="Frame36"/>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II-8</w:t>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bookmarkStart w:id="68" w:name="i3be5c816c41e4bda9b77d136f21a6ec0"/>
      <w:bookmarkEnd w:id="68"/>
      <w:r>
        <w:rPr>
          <w:rFonts w:ascii="Proxima Nova;sans-serif" w:hAnsi="Proxima Nova;sans-serif"/>
          <w:b/>
          <w:color w:val="000000"/>
          <w:sz w:val="20"/>
        </w:rPr>
        <w:t>POWER OF ATTORNEY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requirements of the Securities Act, this registration statement has been signed by the following persons in their respective capacities and on the respective dates indicated opposite their names. Each person whose signature appears below hereby authorizes each of Van A. Dukeman and Christopher H.M. Chan, each with full power of substitution, to execute in the name and on behalf of such person any post-effective amendment to this registration statement and to file the same, with exhibits thereto, and other documents in connection therewith, making such changes in this registration statement as the registrant deems appropriate, and appoints each of Van A. Dukeman and Christopher H.M. Chan, each with full power of substitution, attorney-in-fact to sign any amendment and any post-effective amendment to this registration statement (including any registration statement filed pursuant to Rule 462(b) under the Securities Act, and all amendments thereto) and to file the same, with exhibits thereto, and other documents in connection therewith.</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requirements of the Securities Act, this registration statement has been signed below by the following persons in the capacities indicated and shall be effective as of September 16, 2026.</w:t>
      </w:r>
    </w:p>
    <w:tbl>
      <w:tblPr>
        <w:tblW w:w="8996" w:type="dxa"/>
        <w:jc w:val="left"/>
        <w:tblInd w:w="0" w:type="dxa"/>
        <w:tblLayout w:type="fixed"/>
        <w:tblCellMar>
          <w:top w:w="28" w:type="dxa"/>
          <w:left w:w="28" w:type="dxa"/>
          <w:bottom w:w="28" w:type="dxa"/>
          <w:right w:w="28" w:type="dxa"/>
        </w:tblCellMar>
      </w:tblPr>
      <w:tblGrid>
        <w:gridCol w:w="1059"/>
        <w:gridCol w:w="930"/>
        <w:gridCol w:w="935"/>
        <w:gridCol w:w="109"/>
        <w:gridCol w:w="109"/>
        <w:gridCol w:w="109"/>
        <w:gridCol w:w="1680"/>
        <w:gridCol w:w="1680"/>
        <w:gridCol w:w="2385"/>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Title</w:t>
            </w:r>
          </w:p>
        </w:tc>
      </w:tr>
      <w:tr>
        <w:trPr/>
        <w:tc>
          <w:tcPr>
            <w:tcW w:w="29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VAN A. DUKEMAN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Chairman, President and Chief Executive Officer; Director</w:t>
            </w:r>
          </w:p>
        </w:tc>
      </w:tr>
      <w:tr>
        <w:trPr/>
        <w:tc>
          <w:tcPr>
            <w:tcW w:w="29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Van A. Dukeman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(Principal Executive Officer)</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CHRISTOPHER H.M. CHAN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Executive Vice President, Chief Financial Officer</w:t>
            </w:r>
          </w:p>
        </w:tc>
      </w:tr>
      <w:tr>
        <w:trPr/>
        <w:tc>
          <w:tcPr>
            <w:tcW w:w="29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Christopher H.M. Chan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(Principal Financial Officer)</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SCOTT A. PHILLIPS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Executive Vice President, Chief Accounting Officer</w:t>
            </w:r>
          </w:p>
        </w:tc>
      </w:tr>
      <w:tr>
        <w:trPr/>
        <w:tc>
          <w:tcPr>
            <w:tcW w:w="29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Scott A. Phillips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(Principal Accounting Officer)</w:t>
            </w:r>
          </w:p>
        </w:tc>
      </w:tr>
    </w:tbl>
    <w:p>
      <w:pPr>
        <w:pStyle w:val="TextBody"/>
        <w:bidi w:val="0"/>
        <w:spacing w:before="200" w:after="200"/>
        <w:jc w:val="both"/>
        <w:rPr/>
      </w:pPr>
      <w:r>
        <w:rPr/>
      </w:r>
    </w:p>
    <w:tbl>
      <w:tblPr>
        <w:tblW w:w="8031" w:type="dxa"/>
        <w:jc w:val="left"/>
        <w:tblInd w:w="0" w:type="dxa"/>
        <w:tblLayout w:type="fixed"/>
        <w:tblCellMar>
          <w:top w:w="28" w:type="dxa"/>
          <w:left w:w="28" w:type="dxa"/>
          <w:bottom w:w="28" w:type="dxa"/>
          <w:right w:w="28" w:type="dxa"/>
        </w:tblCellMar>
      </w:tblPr>
      <w:tblGrid>
        <w:gridCol w:w="1015"/>
        <w:gridCol w:w="891"/>
        <w:gridCol w:w="898"/>
        <w:gridCol w:w="109"/>
        <w:gridCol w:w="109"/>
        <w:gridCol w:w="109"/>
        <w:gridCol w:w="294"/>
        <w:gridCol w:w="294"/>
        <w:gridCol w:w="298"/>
        <w:gridCol w:w="109"/>
        <w:gridCol w:w="109"/>
        <w:gridCol w:w="109"/>
        <w:gridCol w:w="809"/>
        <w:gridCol w:w="809"/>
        <w:gridCol w:w="811"/>
        <w:gridCol w:w="109"/>
        <w:gridCol w:w="109"/>
        <w:gridCol w:w="109"/>
        <w:gridCol w:w="272"/>
        <w:gridCol w:w="272"/>
        <w:gridCol w:w="387"/>
      </w:tblGrid>
      <w:tr>
        <w:trPr/>
        <w:tc>
          <w:tcPr>
            <w:tcW w:w="101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16"/>
              </w:rPr>
            </w:pPr>
            <w:r>
              <w:rPr>
                <w:rFonts w:ascii="Proxima Nova;sans-serif" w:hAnsi="Proxima Nova;sans-serif"/>
                <w:b/>
                <w:color w:val="000000"/>
                <w:sz w:val="16"/>
              </w:rPr>
              <w:t>Title</w:t>
            </w:r>
          </w:p>
        </w:tc>
      </w:tr>
      <w:tr>
        <w:trPr/>
        <w:tc>
          <w:tcPr>
            <w:tcW w:w="28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RODNEY K. BRENNEMAN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FREDERIC L. KENNEY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r>
      <w:tr>
        <w:trPr/>
        <w:tc>
          <w:tcPr>
            <w:tcW w:w="28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Rodney K. Brenneman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Frederic L. Kenney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STEVEN W. CAPLE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STEPHEN V.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r>
      <w:tr>
        <w:trPr/>
        <w:tc>
          <w:tcPr>
            <w:tcW w:w="28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Steven W. Caple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Stephen V.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MICHAEL D. CASSENS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KEVIN S. RAUCKMAN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r>
      <w:tr>
        <w:trPr/>
        <w:tc>
          <w:tcPr>
            <w:tcW w:w="28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Michael D. Cassens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Kevin S. Rauckman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JENNIFER M. GRIGSBY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SCOTT A. WEHRLI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r>
      <w:tr>
        <w:trPr/>
        <w:tc>
          <w:tcPr>
            <w:tcW w:w="28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Jennifer M. Grigsby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Scott A. Wehrli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KAREN M. JENSEN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TIFFANY B.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Director</w:t>
            </w:r>
          </w:p>
        </w:tc>
      </w:tr>
      <w:tr>
        <w:trPr/>
        <w:tc>
          <w:tcPr>
            <w:tcW w:w="28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Karen M. Jensen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Tiffany B.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4955"/>
                <wp:effectExtent l="0" t="0" r="0" b="0"/>
                <wp:wrapNone/>
                <wp:docPr id="39" name="Frame37"/>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II-9</w:t>
                      </w:r>
                    </w:p>
                  </w:txbxContent>
                </v:textbox>
                <w10:wrap type="none"/>
              </v:rect>
            </w:pict>
          </mc:Fallback>
        </mc:AlternateContent>
      </w:r>
    </w:p>
    <w:tbl>
      <w:tblPr>
        <w:tblW w:w="4327" w:type="dxa"/>
        <w:jc w:val="left"/>
        <w:tblInd w:w="0" w:type="dxa"/>
        <w:tblLayout w:type="fixed"/>
        <w:tblCellMar>
          <w:top w:w="28" w:type="dxa"/>
          <w:left w:w="28" w:type="dxa"/>
          <w:bottom w:w="28" w:type="dxa"/>
          <w:right w:w="28" w:type="dxa"/>
        </w:tblCellMar>
      </w:tblPr>
      <w:tblGrid>
        <w:gridCol w:w="923"/>
        <w:gridCol w:w="811"/>
        <w:gridCol w:w="812"/>
        <w:gridCol w:w="109"/>
        <w:gridCol w:w="109"/>
        <w:gridCol w:w="109"/>
        <w:gridCol w:w="425"/>
        <w:gridCol w:w="425"/>
        <w:gridCol w:w="60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552575" cy="514350"/>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49"/>
                          <a:stretch>
                            <a:fillRect/>
                          </a:stretch>
                        </pic:blipFill>
                        <pic:spPr bwMode="auto">
                          <a:xfrm>
                            <a:off x="0" y="0"/>
                            <a:ext cx="1552575" cy="514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Proxima Nova;sans-serif" w:hAnsi="Proxima Nova;sans-serif"/>
                <w:b/>
                <w:color w:val="000000"/>
                <w:sz w:val="20"/>
              </w:rPr>
            </w:pPr>
            <w:r>
              <w:rPr>
                <w:rFonts w:ascii="Proxima Nova;sans-serif" w:hAnsi="Proxima Nova;sans-serif"/>
                <w:b/>
                <w:color w:val="000000"/>
                <w:sz w:val="20"/>
              </w:rPr>
              <w:t>EXHIBIT 5.1</w:t>
            </w:r>
          </w:p>
        </w:tc>
      </w:tr>
    </w:tbl>
    <w:p>
      <w:pPr>
        <w:pStyle w:val="TextBody"/>
        <w:bidi w:val="0"/>
        <w:spacing w:before="0" w:after="0"/>
        <w:ind w:left="0" w:right="0" w:firstLine="720"/>
        <w:jc w:val="both"/>
        <w:rPr/>
      </w:pPr>
      <w:r>
        <w:rPr/>
      </w:r>
    </w:p>
    <w:p>
      <w:pPr>
        <w:pStyle w:val="TextBody"/>
        <w:bidi w:val="0"/>
        <w:spacing w:lineRule="auto" w:line="240" w:before="240" w:after="240"/>
        <w:jc w:val="center"/>
        <w:rPr>
          <w:rFonts w:ascii="Times New Roman;serif" w:hAnsi="Times New Roman;serif"/>
          <w:b w:val="false"/>
          <w:color w:val="000000"/>
          <w:sz w:val="24"/>
        </w:rPr>
      </w:pPr>
      <w:r>
        <w:rPr>
          <w:rFonts w:ascii="Times New Roman;serif" w:hAnsi="Times New Roman;serif"/>
          <w:b w:val="false"/>
          <w:color w:val="000000"/>
          <w:sz w:val="24"/>
        </w:rPr>
        <w:t>September 16, 2026</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First Busey Corporation</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11440 Tomahawk Creek Parkway</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Leawood, Kansas 66211</w:t>
      </w:r>
    </w:p>
    <w:p>
      <w:pPr>
        <w:pStyle w:val="TextBody"/>
        <w:bidi w:val="0"/>
        <w:spacing w:lineRule="auto" w:line="240" w:before="240" w:after="240"/>
        <w:jc w:val="both"/>
        <w:rPr/>
      </w:pPr>
      <w:r>
        <w:rPr>
          <w:color w:val="000000"/>
        </w:rPr>
        <w:t> </w:t>
      </w:r>
      <w:r>
        <w:rPr>
          <w:rFonts w:ascii="Times New Roman;serif" w:hAnsi="Times New Roman;serif"/>
          <w:b/>
          <w:color w:val="000000"/>
          <w:sz w:val="24"/>
        </w:rPr>
        <w:t>Re: Registration Statement on Form S-3 of First Busey Corporation</w:t>
      </w:r>
    </w:p>
    <w:p>
      <w:pPr>
        <w:pStyle w:val="TextBody"/>
        <w:bidi w:val="0"/>
        <w:spacing w:lineRule="auto" w:line="240" w:before="240" w:after="240"/>
        <w:jc w:val="both"/>
        <w:rPr>
          <w:color w:val="000000"/>
        </w:rPr>
      </w:pPr>
      <w:r>
        <w:rPr>
          <w:color w:val="000000"/>
        </w:rPr>
        <w:t> </w:t>
      </w:r>
      <w:r>
        <w:rPr>
          <w:rFonts w:ascii="Times New Roman;serif" w:hAnsi="Times New Roman;serif"/>
          <w:b w:val="false"/>
          <w:color w:val="000000"/>
          <w:sz w:val="24"/>
        </w:rPr>
        <w:t>Ladies and Gentlemen:</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being rendered to you in connection with the filing by First Busey Corporation, a Nevada corporation (the “Company”), with the Securities and Exchange Commission (the “Commission”) of a registration statement on Form S-3 (the “Registration Statement”), pursuant to the Securities Act of 1933, as amended (the “Act”). The Registration Statement relates to the registration and proposed issuance and sale from time to time pursuant to Rule 415 under the Act of an unlimited amount of: (a) shares of common stock, $0.001 par value per share, of the Company (the “Common Stock”); (b) shares of preferred stock, $0.001 par value per share, of the Company (the “Preferred Stock”); (c) the Company’s debt securities, whether senior or subordinated (the “Debt Securities”); (d) warrants to purchase Common Stock, Preferred Stock, Debt Securities, Depositary Shares (as defined below) or other securities of the Company or any combination of the foregoing (the “Warrants”); (e) depositary shares representing a fractional interest in shares of Preferred Stock (the “Depositary Shares”); (f) subscription rights for the purchase of Common Stock, Preferred Stock, Debt Securities, Depositary Shares or other securities of the Company (the “Rights”); (g) stock purchase contracts (the “Stock Purchase Contracts”); (h) stock purchase units (the “Stock Purchase Units”); and (i) units comprised of one or more of the Common Stock, the Preferred Stock, Debt Securities, Depositary Shares or Warrants in any combination, including guarantees of any securities (the “Units,” and together with the Common Stock, the Preferred Stock, the Debt Securities, the Warrants, the Depositary Shares, the Rights, the Stock Purchase Contracts and the Stock Purchase Units, the “Registered Securities”). The Registered Securities may be issued and sold from time to time by the Company as set forth in the Registration Statement. This opinion is being furnished in accordance with the requirements of Item 601(b)(5) of Regulation S-K under the Act.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have made such legal and factual investigations as we deemed necessary for purposes of this opinion. We have examined originals or copies, certified or otherwise identified to our satisfaction, of: (a) the Registration Statement; (b) the Indenture dated as of May 25, 2017, between the Company and U.S. Bank Trust Company, National Association, as trustee, as the same may be amended or supplemented; (c) the Company’s Amended and Restated Articles of Incorporation, as amended and currently in effect (the “Articles of Incorporation”); (d) the Company’s Second Amended and Restated By-Laws, as amended and currently in effect (the “By-Laws”); (e) the unanimous written consent of the board of directors of the Company (the “Board”) dated September 16, 2026, with respect to the filing of the Registration Statement; and (f) such other certificates and other instruments and documents as were deemed necessary for purposes of the opinions hereafter expressed. In our investigation, we have assumed the genuineness of all signatures, the proper execution of all documents submitted to us as originals, the conformity to the original documents of all documents submitted to us as copies and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1"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center"/>
                              <w:rPr/>
                            </w:pPr>
                            <w:r>
                              <w:rPr>
                                <w:rFonts w:ascii="Times New Roman;serif" w:hAnsi="Times New Roman;serif"/>
                                <w:b w:val="false"/>
                                <w:color w:val="4D4E53"/>
                                <w:sz w:val="16"/>
                              </w:rPr>
                              <w:t xml:space="preserve">200 West Madison Street, Suite 3900 | Chicago, Illinois 60606 | T. 312.984.3100 | F. 312.984.3150 | </w:t>
                            </w:r>
                            <w:r>
                              <w:rPr>
                                <w:rFonts w:ascii="Times New Roman;serif" w:hAnsi="Times New Roman;serif"/>
                                <w:b w:val="false"/>
                                <w:color w:val="005A8B"/>
                                <w:sz w:val="16"/>
                              </w:rPr>
                              <w:t>bfkn.com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pPr>
                      <w:r>
                        <w:rPr>
                          <w:rFonts w:ascii="Times New Roman;serif" w:hAnsi="Times New Roman;serif"/>
                          <w:b w:val="false"/>
                          <w:color w:val="4D4E53"/>
                          <w:sz w:val="16"/>
                        </w:rPr>
                        <w:t xml:space="preserve">200 West Madison Street, Suite 3900 | Chicago, Illinois 60606 | T. 312.984.3100 | F. 312.984.3150 | </w:t>
                      </w:r>
                      <w:r>
                        <w:rPr>
                          <w:rFonts w:ascii="Times New Roman;serif" w:hAnsi="Times New Roman;serif"/>
                          <w:b w:val="false"/>
                          <w:color w:val="005A8B"/>
                          <w:sz w:val="16"/>
                        </w:rPr>
                        <w:t>bfkn.com</w:t>
                      </w:r>
                    </w:p>
                  </w:txbxContent>
                </v:textbox>
                <w10:wrap type="none"/>
              </v:rect>
            </w:pict>
          </mc:Fallback>
        </mc:AlternateContent>
      </w:r>
    </w:p>
    <w:tbl>
      <w:tblPr>
        <w:tblW w:w="4916" w:type="dxa"/>
        <w:jc w:val="right"/>
        <w:tblInd w:w="0" w:type="dxa"/>
        <w:tblLayout w:type="fixed"/>
        <w:tblCellMar>
          <w:top w:w="28" w:type="dxa"/>
          <w:left w:w="28" w:type="dxa"/>
          <w:bottom w:w="28" w:type="dxa"/>
          <w:right w:w="28" w:type="dxa"/>
        </w:tblCellMar>
      </w:tblPr>
      <w:tblGrid>
        <w:gridCol w:w="869"/>
        <w:gridCol w:w="764"/>
        <w:gridCol w:w="767"/>
        <w:gridCol w:w="392"/>
        <w:gridCol w:w="392"/>
        <w:gridCol w:w="392"/>
        <w:gridCol w:w="392"/>
        <w:gridCol w:w="392"/>
        <w:gridCol w:w="556"/>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916" w:type="dxa"/>
            <w:gridSpan w:val="9"/>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286000" cy="33337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50"/>
                          <a:stretch>
                            <a:fillRect/>
                          </a:stretch>
                        </pic:blipFill>
                        <pic:spPr bwMode="auto">
                          <a:xfrm>
                            <a:off x="0" y="0"/>
                            <a:ext cx="2286000" cy="333375"/>
                          </a:xfrm>
                          <a:prstGeom prst="rect">
                            <a:avLst/>
                          </a:prstGeom>
                        </pic:spPr>
                      </pic:pic>
                    </a:graphicData>
                  </a:graphic>
                </wp:inline>
              </w:drawing>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First Busey Corporation</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September 16, 2026</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Page 2</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authenticity of the originals of such copies. As to matters of fact, we have relied upon representations of officers of the Company.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opinions set forth herein are subject to the following assumptions, qualifications, limitations and exceptions being true and correct at or before the time of the delivery of any Registered Securities offered pursuant to the Registration Statement: (a) the Board, including any appropriate committee appointed thereby, and appropriate officers of the Company shall have (i) duly established the terms of the Registered Securities (and in the case of the Warrants, the Rights, the Stock Purchase Contracts, the Stock Purchase Units or the Units, any such Registered Securities that are components thereof or issuable thereto, and, in the case of Depositary Shares, the Preferred Stock that such Depositary Shares represent fractional interests thereof), (ii) duly authorized and taken any other necessary corporate or other action to approve the creation, if applicable, issuance and sale of the Registered Securities and related matters, and (iii) duly reserved for issuance any Registered Securities consisting of Common Stock or Preferred Stock, and any Common Stock or Preferred Stock for or into which any other Registered Securities are exercisable, exchangeable or convertible, and, in the case of (i) through (iii), such authorizations and actions shall remain in effect and unchanged at all times during which the Registered Securities are offered, sold or issued by the Company; (b) the definitive terms of each class and series, if applicable, of the Registered Securities, and the terms of the issuance and sale of the Registered Securities (i) shall have been duly established in accordance with all applicable law and the Articles of Incorporation and the By-Laws, any indenture, warrant agreement, deposit agreement, rights agreement, unit agreement and any other relevant agreement relating to the terms and the offer and sale of the Registered Securities (collectively, the “Documents”), and the authorizing resolutions of the Board, and (ii) shall not violate any applicable law or any Documents (subject to the further assumption that such Documents have not been amended from the date hereof in a manner that would affect the validity of any of the opinions rendered herein), or result in a default under or breach of any agreement or instrument binding upon the Company and so as to comply with any restriction imposed by any court or governmental body having jurisdiction over the Company; (c) any Document relating to the terms of the Registered Securities (but excluding any Document relating to the terms of the Debt Securities or the Depositary Shares) shall be governed by and construed in accordance with the internal laws of the State of Nevada; (d) any Document relating to the terms of the Debt Securities or the Depositary Shares shall be governed by and construed in accordance with the internal laws of the State of New York; (e) upon issuance of any shares of Common Stock or Preferred Stock, including as a component of Units or upon exercise, conversion or exchange of other Registered Securities, (i) the total number of shares of Common Stock or Preferred Stock issued and outstanding shall not exceed the total number of shares of Common Stock or Preferred Stock that the Company is then authorized to issue under the Articles of Incorporation, and (ii) the Company will receive consideration in an amount not less than the aggregate par value of such shares of Common Stock or Preferred Stock; (f) the Registered Securities (including any Registered Securities underlying or issuable upon exercise, conversion or exchange of other Registered Securities and, in the case of the Units, the Registered Securities that are components thereof, and, in the case of Depositary Shares, the Preferred Stock that such Depositary Shares represent fractional interests thereof), and any certificates representing the relevant Registered Securities (including any Registered Securities issuable upon exercise, conversion or exchange of other Registered Securities and, in the case of the Units, the Registered Securities that are components thereof, and, in the case of Depositary Shares, the Preferred Stock that such Depositary Shares represent fractional interests thereof), shall have been duly authenticated, executed, countersigned, registered and delivered upon payment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4916" w:type="dxa"/>
        <w:jc w:val="right"/>
        <w:tblInd w:w="0" w:type="dxa"/>
        <w:tblLayout w:type="fixed"/>
        <w:tblCellMar>
          <w:top w:w="28" w:type="dxa"/>
          <w:left w:w="28" w:type="dxa"/>
          <w:bottom w:w="28" w:type="dxa"/>
          <w:right w:w="28" w:type="dxa"/>
        </w:tblCellMar>
      </w:tblPr>
      <w:tblGrid>
        <w:gridCol w:w="869"/>
        <w:gridCol w:w="764"/>
        <w:gridCol w:w="767"/>
        <w:gridCol w:w="392"/>
        <w:gridCol w:w="392"/>
        <w:gridCol w:w="392"/>
        <w:gridCol w:w="392"/>
        <w:gridCol w:w="392"/>
        <w:gridCol w:w="556"/>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916" w:type="dxa"/>
            <w:gridSpan w:val="9"/>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286000" cy="333375"/>
                  <wp:effectExtent l="0" t="0" r="0" b="0"/>
                  <wp:docPr id="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 descr=""/>
                          <pic:cNvPicPr>
                            <a:picLocks noChangeAspect="1" noChangeArrowheads="1"/>
                          </pic:cNvPicPr>
                        </pic:nvPicPr>
                        <pic:blipFill>
                          <a:blip r:embed="rId51"/>
                          <a:stretch>
                            <a:fillRect/>
                          </a:stretch>
                        </pic:blipFill>
                        <pic:spPr bwMode="auto">
                          <a:xfrm>
                            <a:off x="0" y="0"/>
                            <a:ext cx="2286000" cy="333375"/>
                          </a:xfrm>
                          <a:prstGeom prst="rect">
                            <a:avLst/>
                          </a:prstGeom>
                        </pic:spPr>
                      </pic:pic>
                    </a:graphicData>
                  </a:graphic>
                </wp:inline>
              </w:drawing>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First Busey Corporation</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September 16, 2026</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Page 3</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agreed-upon legal consideration therefor and shall have been duly issued and sold in accordance with any relevant agreement, and, if applicable, duly executed and delivered by the Company and any other appropriate party; (g) each applicable Document and any other relevant agreement relating to the offer and sale of the Registered Securities shall have been duly authorized, executed and delivered by the Company and each other party thereto, and shall constitute a valid and binding obligation of each party thereto (other than the Company); (h) the Registration Statement, and any amendments thereto (including post-effective amendments), shall have been declared effective under the Act, and such effectiveness shall not have been terminated or rescinded; (i) a prospectus supplement, if required, shall have been prepared, delivered and filed in compliance with the Act and the applicable rules and regulations thereunder describing the Registered Securities offered thereby; (j) the Registered Securities shall have been issued and sold in compliance with applicable U.S. federal and state securities laws and solely in the manner stated in the Registration Statement and any applicable prospectus supplement; and (k) in the case of an agreement or instrument pursuant to which any Registered Securities are to be issued, there shall be no terms or provisions contained therein which would affect the validity of any of the opinions rendered herein.</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the foregoing, and subject to the qualifications, assumptions, limitations and exceptions set forth herein, it is our opinion that: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Common Stock, when (a) duly issued and sold in accordance with the Registration Statement and applicable prospectus supplement and either (i) in accordance with the provisions of an applicable, valid and binding purchase agreement, underwriting agreement or other similar agreement or (ii) upon exercise of Rights or Warrants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validly issued, fully paid and nonassessable;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Preferred Stock, when (a) duly issued and sold in accordance with the Registration Statement and applicable prospectus supplement and either (i) in accordance with the provisions of an applicable, valid and binding purchase agreement, underwriting agreement or other similar agreement or (ii) upon exercise of Rights or Warrants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validly issued, fully paid and nonassessable;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the Debt Securities, when (a) duly executed, authenticated, issued and sold in accordance with the Registration Statement and applicable prospectus supplement and either (i) in accordance with the provisions of an applicable purchase agreement, underwriting agreement, indenture or other similar agreement or (ii) upon exercise of Rights or Warrants as contemplated by the Registration Statement and applicable prospectus supplement and (b) delivered to the purchaser or purchasers thereof against receipt by the Company of such lawful consideration therefor, if any, as the Board (or a duly authorized committee thereof or a duly authorized officer of the Company) may determine, will be binding obligations of the Company;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the Warrants, when (a) duly executed, authenticated, issued and sold in accordance with the Registration Statement and applicable prospectus supplement and either (i)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5"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4916" w:type="dxa"/>
        <w:jc w:val="right"/>
        <w:tblInd w:w="0" w:type="dxa"/>
        <w:tblLayout w:type="fixed"/>
        <w:tblCellMar>
          <w:top w:w="28" w:type="dxa"/>
          <w:left w:w="28" w:type="dxa"/>
          <w:bottom w:w="28" w:type="dxa"/>
          <w:right w:w="28" w:type="dxa"/>
        </w:tblCellMar>
      </w:tblPr>
      <w:tblGrid>
        <w:gridCol w:w="869"/>
        <w:gridCol w:w="764"/>
        <w:gridCol w:w="767"/>
        <w:gridCol w:w="392"/>
        <w:gridCol w:w="392"/>
        <w:gridCol w:w="392"/>
        <w:gridCol w:w="392"/>
        <w:gridCol w:w="392"/>
        <w:gridCol w:w="556"/>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916" w:type="dxa"/>
            <w:gridSpan w:val="9"/>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286000" cy="33337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52"/>
                          <a:stretch>
                            <a:fillRect/>
                          </a:stretch>
                        </pic:blipFill>
                        <pic:spPr bwMode="auto">
                          <a:xfrm>
                            <a:off x="0" y="0"/>
                            <a:ext cx="2286000" cy="333375"/>
                          </a:xfrm>
                          <a:prstGeom prst="rect">
                            <a:avLst/>
                          </a:prstGeom>
                        </pic:spPr>
                      </pic:pic>
                    </a:graphicData>
                  </a:graphic>
                </wp:inline>
              </w:drawing>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First Busey Corporation</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September 16, 2026</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Page 4</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in accordance with the provisions of an applicable, valid and binding warrant agreement or other similar agreement or (ii) upon exercise of Rights as contemplated by the Registration Statement and applicable prospectus supplement and (b) delivered to the purchaser or purchasers thereof against receipt by the Company of such lawful consideration therefor, if any, as the Board (or a duly authorized committee thereof) may determine, will be binding obligations of the Company;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the Depositary Shares when (a) duly executed, authenticated, issued and sold in accordance with the Registration Statement and applicable prospectus supplement and the provisions of an applicable, valid and binding deposit agreement or other similar agreement, (b) shares of the Preferred Stock relating to any Depositary Shares have been deposited with the depositary therefor, (c) any depositary receipts representing Depositary Shares have been duly executed, authenticated, issued and sold in the manner and for the consideration stated in the applicable deposit agreement and (d) delivered to the purchaser or purchasers thereof against receipt by the Company of such lawful consideration therefor, if any, as the Board (or a duly authorized committee thereof) may determine, will (i) be validly issued, and (ii) entitle their holders to the rights specified in the deposit agreement and the depositary receipts;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the Rights, when (a) duly executed, authenticated, issued and sold in accordance with the Registration Statement and applicable prospectus supplement and the provisions of an applicable, valid and binding rights agreement or other similar agreement and (b) delivered to the purchaser or purchasers thereof against receipt by the Company of such lawful consideration therefor, if any, as the Board (or a duly authorized committee thereof) may determine, will be binding obligations of the Company;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the Stock Purchase Contracts or Stock Purchase Units, when (a) duly executed, authenticated, issued and sold in accordance with the Registration Statement and applicable prospectus supplement and the provisions of an applicable purchase agreement or other similar agreement, (b) the actions described in paragraph 1 above have been taken if such Stock Purchase Contracts or Stock Purchase Units relate to the issuance and sale of Common Stock, (c) the actions described in paragraph 2 above have been taken if such Stock Purchase Contracts or Stock Purchase Units relate to the issuance and sale of Preferred Stock, (d) the actions described in paragraph 3 above have been taken if such Stock Purchase Units relate to the issuance and sale of Debt Securities, and (e) delivered to the purchaser or purchasers thereof against receipt by the Company of such lawful consideration therefor, if any, as the Board (or a duly authorized committee thereof or a duly authorized officer of the Company) may determine, will be binding obligations of the Company;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the Units, when (a) duly executed, authenticated, issued and sold in accordance with the Registration Statement and applicable prospectus supplement and either (i) in accordance with the provisions of any applicable, valid and binding unit agreement or other similar agreement or (ii) upon exercise of Rights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binding obligations of the Company, and any Common Stock or Preferred Stock that is a component of such Units will be validly issued, fully paid and nonassessable, and any Debt Securities, Warrants or Depositary Shares that are components of such Units will be binding obligations of the Company.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4916" w:type="dxa"/>
        <w:jc w:val="right"/>
        <w:tblInd w:w="0" w:type="dxa"/>
        <w:tblLayout w:type="fixed"/>
        <w:tblCellMar>
          <w:top w:w="28" w:type="dxa"/>
          <w:left w:w="28" w:type="dxa"/>
          <w:bottom w:w="28" w:type="dxa"/>
          <w:right w:w="28" w:type="dxa"/>
        </w:tblCellMar>
      </w:tblPr>
      <w:tblGrid>
        <w:gridCol w:w="869"/>
        <w:gridCol w:w="764"/>
        <w:gridCol w:w="767"/>
        <w:gridCol w:w="392"/>
        <w:gridCol w:w="392"/>
        <w:gridCol w:w="392"/>
        <w:gridCol w:w="392"/>
        <w:gridCol w:w="392"/>
        <w:gridCol w:w="556"/>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916" w:type="dxa"/>
            <w:gridSpan w:val="9"/>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286000" cy="333375"/>
                  <wp:effectExtent l="0" t="0" r="0" b="0"/>
                  <wp:docPr id="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7" descr=""/>
                          <pic:cNvPicPr>
                            <a:picLocks noChangeAspect="1" noChangeArrowheads="1"/>
                          </pic:cNvPicPr>
                        </pic:nvPicPr>
                        <pic:blipFill>
                          <a:blip r:embed="rId53"/>
                          <a:stretch>
                            <a:fillRect/>
                          </a:stretch>
                        </pic:blipFill>
                        <pic:spPr bwMode="auto">
                          <a:xfrm>
                            <a:off x="0" y="0"/>
                            <a:ext cx="2286000" cy="333375"/>
                          </a:xfrm>
                          <a:prstGeom prst="rect">
                            <a:avLst/>
                          </a:prstGeom>
                        </pic:spPr>
                      </pic:pic>
                    </a:graphicData>
                  </a:graphic>
                </wp:inline>
              </w:drawing>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First Busey Corporation</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September 16, 2026</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Page 5</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opinions set forth in the paragraphs above are subject to the following exceptions: (a) the effect of bankruptcy, insolvency, reorganization, fraudulent transfer, moratorium or other similar laws relating to or affecting the rights and remedies of creditors; and (b)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we express no opinion as to waivers of broadly or vaguely stated rights.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express no opinion concerning the laws of any jurisdiction other than the general corporate law of the State of Nevada as set forth in Chapter 78 of the Nevada Revised Statutes and the laws of the State of New York. We express no opinion as to the laws, rules or regulations of any other jurisdiction, including, without limitation, the federal laws of the United States of America or any state securities or blue sky laws.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express no opinion with respect to any specific legal issues other than those explicitly addressed herein. We assume no obligation to update this opinion letter after the date that the Registration Statement becomes effective or otherwise advise you with respect to any facts or circumstances or changes in law that may occur or come to our attention after such date (even though the change may affect the legal conclusions stated in this opinion letter).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hereby consent to the reference to our firm in the Registration Statement under the caption “Legal Matters” and to the inclusion of this opinion as an exhibit to the Registration Statement. In giving this consent, we do not admit that we are within the category of persons whose consent is required under Section 7 of the Act or the rules and regulations of the Commission.</w:t>
      </w:r>
    </w:p>
    <w:p>
      <w:pPr>
        <w:pStyle w:val="TextBody"/>
        <w:bidi w:val="0"/>
        <w:spacing w:before="240" w:after="240"/>
        <w:ind w:left="0" w:right="0" w:firstLine="72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40" w:before="200" w:after="283"/>
        <w:jc w:val="left"/>
        <w:rPr>
          <w:rFonts w:ascii="Times New Roman;serif" w:hAnsi="Times New Roman;serif"/>
          <w:b w:val="false"/>
          <w:color w:val="000000"/>
          <w:sz w:val="24"/>
        </w:rPr>
      </w:pPr>
      <w:r>
        <w:rPr>
          <w:rFonts w:ascii="Times New Roman;serif" w:hAnsi="Times New Roman;serif"/>
          <w:b w:val="false"/>
          <w:color w:val="000000"/>
          <w:sz w:val="24"/>
        </w:rPr>
        <w:t>/s/ BARACK FERRAZZANO KIRSCHBAUM &amp; NAGELBERG LLP</w:t>
      </w:r>
    </w:p>
    <w:p>
      <w:pPr>
        <w:pStyle w:val="TextBody"/>
        <w:bidi w:val="0"/>
        <w:spacing w:lineRule="auto" w:line="240" w:before="200" w:after="283"/>
        <w:jc w:val="left"/>
        <w:rPr>
          <w:rFonts w:ascii="Times New Roman;serif" w:hAnsi="Times New Roman;serif"/>
          <w:b w:val="false"/>
          <w:color w:val="000000"/>
          <w:sz w:val="24"/>
        </w:rPr>
      </w:pPr>
      <w:r>
        <w:rPr>
          <w:rFonts w:ascii="Times New Roman;serif" w:hAnsi="Times New Roman;serif"/>
          <w:b w:val="false"/>
          <w:color w:val="000000"/>
          <w:sz w:val="24"/>
        </w:rPr>
        <w:t>Barack Ferrazzano Kirschbaum &amp; Nagelberg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right"/>
        <w:rPr>
          <w:rFonts w:ascii="Proxima Nova;sans-serif" w:hAnsi="Proxima Nova;sans-serif"/>
          <w:b/>
          <w:color w:val="000000"/>
          <w:sz w:val="20"/>
        </w:rPr>
      </w:pPr>
      <w:r>
        <w:rPr>
          <w:rFonts w:ascii="Proxima Nova;sans-serif" w:hAnsi="Proxima Nova;sans-serif"/>
          <w:b/>
          <w:color w:val="000000"/>
          <w:sz w:val="20"/>
        </w:rPr>
        <w:t>EXHIBIT 23.1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Consent Of Independent Registered Public Accounting Firm</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consent to the incorporation by reference in this Registration Statement on Form S-3ASR and related Prospectus of First Busey Corporation of our reports dated February 26, 2026, relating to the consolidated financial statements and the effectiveness of internal control over financial reporting of First Busey Corporation, appearing in the Annual Report on Form 10-K of First Busey Corporation for the year ended December 31, 2025.</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also consent to the reference to our firm under the heading "Experts" in such Prospectus.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/s/RSM US LLP</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RSM US LLP</w:t>
      </w:r>
    </w:p>
    <w:p>
      <w:pPr>
        <w:pStyle w:val="TextBody"/>
        <w:bidi w:val="0"/>
        <w:spacing w:lineRule="auto" w:line="240"/>
        <w:jc w:val="left"/>
        <w:rPr>
          <w:rFonts w:ascii="Proxima Nova;sans-serif" w:hAnsi="Proxima Nova;sans-serif"/>
          <w:b w:val="false"/>
          <w:color w:val="000000"/>
          <w:sz w:val="20"/>
        </w:rPr>
      </w:pPr>
      <w:r>
        <w:rPr>
          <w:rFonts w:ascii="Proxima Nova;sans-serif" w:hAnsi="Proxima Nova;sans-serif"/>
          <w:b w:val="false"/>
          <w:color w:val="000000"/>
          <w:sz w:val="20"/>
        </w:rPr>
        <w:t>Des Moines, Iowa</w:t>
        <w:br/>
        <w:t>September 16,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Proxima Nova;sans-serif" w:hAnsi="Proxima Nova;sans-serif"/>
          <w:b/>
          <w:color w:val="000000"/>
          <w:sz w:val="20"/>
        </w:rPr>
      </w:pPr>
      <w:r>
        <w:rPr>
          <w:rFonts w:ascii="Proxima Nova;sans-serif" w:hAnsi="Proxima Nova;sans-serif"/>
          <w:b/>
          <w:color w:val="000000"/>
          <w:sz w:val="20"/>
        </w:rPr>
        <w:t>EXHIBIT 107</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2260"/>
                <wp:effectExtent l="0" t="0" r="0" b="0"/>
                <wp:wrapNone/>
                <wp:docPr id="50" name="Frame4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412.85pt;mso-position-horizontal:left;mso-position-horizontal-relative:text">
                <v:textbox>
                  <w:txbxContent>
                    <w:p>
                      <w:pPr>
                        <w:pStyle w:val="TextBody"/>
                        <w:bidi w:val="0"/>
                        <w:spacing w:before="200" w:after="200"/>
                        <w:jc w:val="both"/>
                        <w:rPr/>
                      </w:pPr>
                      <w:r>
                        <w:rPr/>
                      </w:r>
                    </w:p>
                  </w:txbxContent>
                </v:textbox>
                <w10:wrap type="none"/>
              </v:rect>
            </w:pict>
          </mc:Fallback>
        </mc:AlternateContent>
      </w:r>
    </w:p>
    <w:p>
      <w:pPr>
        <w:pStyle w:val="TextBody"/>
        <w:bidi w:val="0"/>
        <w:spacing w:lineRule="auto" w:line="288" w:before="200" w:after="200"/>
        <w:jc w:val="center"/>
        <w:rPr>
          <w:rFonts w:ascii="Proxima Nova;sans-serif" w:hAnsi="Proxima Nova;sans-serif"/>
          <w:b/>
          <w:color w:val="000000"/>
          <w:sz w:val="28"/>
        </w:rPr>
      </w:pPr>
      <w:r>
        <w:rPr>
          <w:rFonts w:ascii="Proxima Nova;sans-serif" w:hAnsi="Proxima Nova;sans-serif"/>
          <w:b/>
          <w:color w:val="000000"/>
          <w:sz w:val="28"/>
        </w:rPr>
        <w:t>Calculation of Filing Fee Tables</w:t>
      </w:r>
    </w:p>
    <w:p>
      <w:pPr>
        <w:pStyle w:val="TextBody"/>
        <w:bidi w:val="0"/>
        <w:spacing w:lineRule="auto" w:line="288" w:before="200" w:after="283"/>
        <w:jc w:val="center"/>
        <w:rPr>
          <w:rFonts w:ascii="Proxima Nova;sans-serif" w:hAnsi="Proxima Nova;sans-serif"/>
          <w:b/>
          <w:color w:val="000000"/>
          <w:sz w:val="28"/>
        </w:rPr>
      </w:pPr>
      <w:r>
        <w:rPr>
          <w:rFonts w:ascii="Proxima Nova;sans-serif" w:hAnsi="Proxima Nova;sans-serif"/>
          <w:b/>
          <w:color w:val="000000"/>
          <w:sz w:val="28"/>
        </w:rPr>
        <w:t>FORM S-3</w:t>
      </w:r>
    </w:p>
    <w:p>
      <w:pPr>
        <w:pStyle w:val="TextBody"/>
        <w:bidi w:val="0"/>
        <w:spacing w:lineRule="auto" w:line="240" w:before="0" w:after="0"/>
        <w:jc w:val="center"/>
        <w:rPr>
          <w:rFonts w:ascii="Proxima Nova;sans-serif" w:hAnsi="Proxima Nova;sans-serif"/>
          <w:b w:val="false"/>
          <w:color w:val="000000"/>
          <w:sz w:val="16"/>
        </w:rPr>
      </w:pPr>
      <w:r>
        <w:rPr>
          <w:rFonts w:ascii="Proxima Nova;sans-serif" w:hAnsi="Proxima Nova;sans-serif"/>
          <w:b w:val="false"/>
          <w:color w:val="000000"/>
          <w:sz w:val="16"/>
        </w:rPr>
        <w:t>(Form Type)</w:t>
      </w:r>
    </w:p>
    <w:p>
      <w:pPr>
        <w:pStyle w:val="TextBody"/>
        <w:bidi w:val="0"/>
        <w:spacing w:before="200" w:after="283"/>
        <w:jc w:val="center"/>
        <w:rPr/>
      </w:pPr>
      <w:r>
        <w:rPr/>
        <w:drawing>
          <wp:inline distT="0" distB="0" distL="0" distR="0">
            <wp:extent cx="1390650" cy="457200"/>
            <wp:effectExtent l="0" t="0" r="0" b="0"/>
            <wp:docPr id="5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8" descr=""/>
                    <pic:cNvPicPr>
                      <a:picLocks noChangeAspect="1" noChangeArrowheads="1"/>
                    </pic:cNvPicPr>
                  </pic:nvPicPr>
                  <pic:blipFill>
                    <a:blip r:embed="rId54"/>
                    <a:stretch>
                      <a:fillRect/>
                    </a:stretch>
                  </pic:blipFill>
                  <pic:spPr bwMode="auto">
                    <a:xfrm>
                      <a:off x="0" y="0"/>
                      <a:ext cx="1390650" cy="457200"/>
                    </a:xfrm>
                    <a:prstGeom prst="rect">
                      <a:avLst/>
                    </a:prstGeom>
                  </pic:spPr>
                </pic:pic>
              </a:graphicData>
            </a:graphic>
          </wp:inline>
        </w:drawing>
      </w:r>
      <w:bookmarkStart w:id="69" w:name="i-1"/>
      <w:bookmarkEnd w:id="69"/>
    </w:p>
    <w:p>
      <w:pPr>
        <w:pStyle w:val="TextBody"/>
        <w:bidi w:val="0"/>
        <w:spacing w:lineRule="auto" w:line="240" w:before="0" w:after="0"/>
        <w:jc w:val="center"/>
        <w:rPr>
          <w:rFonts w:ascii="Proxima Nova;sans-serif" w:hAnsi="Proxima Nova;sans-serif"/>
          <w:b/>
          <w:color w:val="000000"/>
          <w:sz w:val="28"/>
        </w:rPr>
      </w:pPr>
      <w:r>
        <w:rPr>
          <w:rFonts w:ascii="Proxima Nova;sans-serif" w:hAnsi="Proxima Nova;sans-serif"/>
          <w:b/>
          <w:color w:val="000000"/>
          <w:sz w:val="28"/>
        </w:rPr>
        <w:t>FIRST BUSEY CORPORATION</w:t>
      </w:r>
    </w:p>
    <w:p>
      <w:pPr>
        <w:pStyle w:val="TextBody"/>
        <w:bidi w:val="0"/>
        <w:spacing w:lineRule="auto" w:line="240" w:before="0" w:after="0"/>
        <w:jc w:val="center"/>
        <w:rPr>
          <w:rFonts w:ascii="Proxima Nova;sans-serif" w:hAnsi="Proxima Nova;sans-serif"/>
          <w:b w:val="false"/>
          <w:color w:val="000000"/>
          <w:sz w:val="16"/>
        </w:rPr>
      </w:pPr>
      <w:r>
        <w:rPr>
          <w:rFonts w:ascii="Proxima Nova;sans-serif" w:hAnsi="Proxima Nova;sans-serif"/>
          <w:b w:val="false"/>
          <w:color w:val="000000"/>
          <w:sz w:val="16"/>
        </w:rPr>
        <w:t>(Exact name of Registrant as specified in its charter)</w:t>
      </w:r>
    </w:p>
    <w:p>
      <w:pPr>
        <w:pStyle w:val="TextBody"/>
        <w:bidi w:val="0"/>
        <w:spacing w:lineRule="auto" w:line="288" w:before="200" w:after="200"/>
        <w:jc w:val="center"/>
        <w:rPr>
          <w:rFonts w:ascii="Proxima Nova;sans-serif" w:hAnsi="Proxima Nova;sans-serif"/>
          <w:b/>
          <w:color w:val="000000"/>
          <w:sz w:val="20"/>
          <w:u w:val="single"/>
        </w:rPr>
      </w:pPr>
      <w:r>
        <w:rPr>
          <w:rFonts w:ascii="Proxima Nova;sans-serif" w:hAnsi="Proxima Nova;sans-serif"/>
          <w:b/>
          <w:color w:val="000000"/>
          <w:sz w:val="20"/>
          <w:u w:val="single"/>
        </w:rPr>
        <w:t>Table 1: Newly Registered Securities and Carry Forward Securities</w:t>
      </w:r>
    </w:p>
    <w:tbl>
      <w:tblPr>
        <w:tblW w:w="13735" w:type="dxa"/>
        <w:jc w:val="left"/>
        <w:tblInd w:w="0" w:type="dxa"/>
        <w:tblLayout w:type="fixed"/>
        <w:tblCellMar>
          <w:top w:w="28" w:type="dxa"/>
          <w:left w:w="28" w:type="dxa"/>
          <w:bottom w:w="28" w:type="dxa"/>
          <w:right w:w="28" w:type="dxa"/>
        </w:tblCellMar>
      </w:tblPr>
      <w:tblGrid>
        <w:gridCol w:w="582"/>
        <w:gridCol w:w="376"/>
        <w:gridCol w:w="183"/>
        <w:gridCol w:w="109"/>
        <w:gridCol w:w="109"/>
        <w:gridCol w:w="109"/>
        <w:gridCol w:w="290"/>
        <w:gridCol w:w="290"/>
        <w:gridCol w:w="291"/>
        <w:gridCol w:w="725"/>
        <w:gridCol w:w="290"/>
        <w:gridCol w:w="291"/>
        <w:gridCol w:w="385"/>
        <w:gridCol w:w="385"/>
        <w:gridCol w:w="386"/>
        <w:gridCol w:w="390"/>
        <w:gridCol w:w="390"/>
        <w:gridCol w:w="391"/>
        <w:gridCol w:w="330"/>
        <w:gridCol w:w="330"/>
        <w:gridCol w:w="331"/>
        <w:gridCol w:w="325"/>
        <w:gridCol w:w="584"/>
        <w:gridCol w:w="157"/>
        <w:gridCol w:w="195"/>
        <w:gridCol w:w="195"/>
        <w:gridCol w:w="196"/>
        <w:gridCol w:w="380"/>
        <w:gridCol w:w="682"/>
        <w:gridCol w:w="184"/>
        <w:gridCol w:w="290"/>
        <w:gridCol w:w="290"/>
        <w:gridCol w:w="291"/>
        <w:gridCol w:w="290"/>
        <w:gridCol w:w="290"/>
        <w:gridCol w:w="291"/>
        <w:gridCol w:w="305"/>
        <w:gridCol w:w="305"/>
        <w:gridCol w:w="306"/>
        <w:gridCol w:w="356"/>
        <w:gridCol w:w="356"/>
        <w:gridCol w:w="504"/>
      </w:tblGrid>
      <w:tr>
        <w:trPr/>
        <w:tc>
          <w:tcPr>
            <w:tcW w:w="5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003F6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F6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rFonts w:ascii="Proxima Nova;sans-serif" w:hAnsi="Proxima Nova;sans-serif"/>
                <w:b/>
                <w:color w:val="FFFFFF"/>
                <w:sz w:val="16"/>
              </w:rPr>
            </w:pPr>
            <w:r>
              <w:rPr>
                <w:rFonts w:ascii="Proxima Nova;sans-serif" w:hAnsi="Proxima Nova;sans-serif"/>
                <w:b/>
                <w:color w:val="FFFFFF"/>
                <w:sz w:val="16"/>
              </w:rPr>
              <w:t>Security Type</w:t>
            </w:r>
          </w:p>
        </w:tc>
        <w:tc>
          <w:tcPr>
            <w:tcW w:w="1306"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rFonts w:ascii="Proxima Nova;sans-serif" w:hAnsi="Proxima Nova;sans-serif"/>
                <w:b/>
                <w:color w:val="FFFFFF"/>
                <w:sz w:val="16"/>
              </w:rPr>
            </w:pPr>
            <w:r>
              <w:rPr>
                <w:rFonts w:ascii="Proxima Nova;sans-serif" w:hAnsi="Proxima Nova;sans-serif"/>
                <w:b/>
                <w:color w:val="FFFFFF"/>
                <w:sz w:val="16"/>
              </w:rPr>
              <w:t>Security Class Title</w:t>
            </w:r>
          </w:p>
        </w:tc>
        <w:tc>
          <w:tcPr>
            <w:tcW w:w="1156"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rFonts w:ascii="Proxima Nova;sans-serif" w:hAnsi="Proxima Nova;sans-serif"/>
                <w:b/>
                <w:color w:val="FFFFFF"/>
                <w:sz w:val="16"/>
              </w:rPr>
            </w:pPr>
            <w:r>
              <w:rPr>
                <w:rFonts w:ascii="Proxima Nova;sans-serif" w:hAnsi="Proxima Nova;sans-serif"/>
                <w:b/>
                <w:color w:val="FFFFFF"/>
                <w:sz w:val="16"/>
              </w:rPr>
              <w:t>Fee Calculation or Carry Forward Rule</w:t>
            </w:r>
          </w:p>
        </w:tc>
        <w:tc>
          <w:tcPr>
            <w:tcW w:w="1171"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pPr>
            <w:r>
              <w:rPr>
                <w:rFonts w:ascii="Proxima Nova;sans-serif" w:hAnsi="Proxima Nova;sans-serif"/>
                <w:b/>
                <w:color w:val="FFFFFF"/>
                <w:sz w:val="16"/>
              </w:rPr>
              <w:t>Amount Registered</w:t>
            </w:r>
            <w:r>
              <w:rPr>
                <w:rFonts w:ascii="Proxima Nova;sans-serif" w:hAnsi="Proxima Nova;sans-serif"/>
                <w:b/>
                <w:color w:val="FFFFFF"/>
                <w:sz w:val="10"/>
              </w:rPr>
              <w:t>1</w:t>
            </w:r>
          </w:p>
        </w:tc>
        <w:tc>
          <w:tcPr>
            <w:tcW w:w="991"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pPr>
            <w:r>
              <w:rPr>
                <w:rFonts w:ascii="Proxima Nova;sans-serif" w:hAnsi="Proxima Nova;sans-serif"/>
                <w:b/>
                <w:color w:val="FFFFFF"/>
                <w:sz w:val="16"/>
              </w:rPr>
              <w:t>Proposed Maximum Offering Price Per Unit</w:t>
            </w:r>
            <w:r>
              <w:rPr>
                <w:rFonts w:ascii="Proxima Nova;sans-serif" w:hAnsi="Proxima Nova;sans-serif"/>
                <w:b/>
                <w:color w:val="FFFFFF"/>
                <w:sz w:val="10"/>
              </w:rPr>
              <w:t>1</w:t>
            </w:r>
          </w:p>
        </w:tc>
        <w:tc>
          <w:tcPr>
            <w:tcW w:w="1066"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pPr>
            <w:r>
              <w:rPr>
                <w:rFonts w:ascii="Proxima Nova;sans-serif" w:hAnsi="Proxima Nova;sans-serif"/>
                <w:b/>
                <w:color w:val="FFFFFF"/>
                <w:sz w:val="16"/>
              </w:rPr>
              <w:t>Maximum Aggregate Offering Price</w:t>
            </w:r>
            <w:r>
              <w:rPr>
                <w:rFonts w:ascii="Proxima Nova;sans-serif" w:hAnsi="Proxima Nova;sans-serif"/>
                <w:b/>
                <w:color w:val="FFFFFF"/>
                <w:sz w:val="10"/>
              </w:rPr>
              <w:t>1</w:t>
            </w:r>
          </w:p>
        </w:tc>
        <w:tc>
          <w:tcPr>
            <w:tcW w:w="586"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pPr>
            <w:r>
              <w:rPr>
                <w:rFonts w:ascii="Proxima Nova;sans-serif" w:hAnsi="Proxima Nova;sans-serif"/>
                <w:b/>
                <w:color w:val="FFFFFF"/>
                <w:sz w:val="16"/>
              </w:rPr>
              <w:t>Fee Rate</w:t>
            </w:r>
            <w:r>
              <w:rPr>
                <w:rFonts w:ascii="Proxima Nova;sans-serif" w:hAnsi="Proxima Nova;sans-serif"/>
                <w:b/>
                <w:color w:val="FFFFFF"/>
                <w:sz w:val="10"/>
              </w:rPr>
              <w:t>2</w:t>
            </w:r>
          </w:p>
        </w:tc>
        <w:tc>
          <w:tcPr>
            <w:tcW w:w="1246"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pPr>
            <w:r>
              <w:rPr>
                <w:rFonts w:ascii="Proxima Nova;sans-serif" w:hAnsi="Proxima Nova;sans-serif"/>
                <w:b/>
                <w:color w:val="FFFFFF"/>
                <w:sz w:val="16"/>
              </w:rPr>
              <w:t>Amount of Registration Fee</w:t>
            </w:r>
            <w:r>
              <w:rPr>
                <w:rFonts w:ascii="Proxima Nova;sans-serif" w:hAnsi="Proxima Nova;sans-serif"/>
                <w:b/>
                <w:color w:val="FFFFFF"/>
                <w:sz w:val="10"/>
              </w:rPr>
              <w:t>2</w:t>
            </w:r>
          </w:p>
        </w:tc>
        <w:tc>
          <w:tcPr>
            <w:tcW w:w="871"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rFonts w:ascii="Proxima Nova;sans-serif" w:hAnsi="Proxima Nova;sans-serif"/>
                <w:b/>
                <w:color w:val="FFFFFF"/>
                <w:sz w:val="16"/>
              </w:rPr>
            </w:pPr>
            <w:r>
              <w:rPr>
                <w:rFonts w:ascii="Proxima Nova;sans-serif" w:hAnsi="Proxima Nova;sans-serif"/>
                <w:b/>
                <w:color w:val="FFFFFF"/>
                <w:sz w:val="16"/>
              </w:rPr>
              <w:t>Carry Forward Form Type</w:t>
            </w:r>
          </w:p>
        </w:tc>
        <w:tc>
          <w:tcPr>
            <w:tcW w:w="871"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rFonts w:ascii="Proxima Nova;sans-serif" w:hAnsi="Proxima Nova;sans-serif"/>
                <w:b/>
                <w:color w:val="FFFFFF"/>
                <w:sz w:val="16"/>
              </w:rPr>
            </w:pPr>
            <w:r>
              <w:rPr>
                <w:rFonts w:ascii="Proxima Nova;sans-serif" w:hAnsi="Proxima Nova;sans-serif"/>
                <w:b/>
                <w:color w:val="FFFFFF"/>
                <w:sz w:val="16"/>
              </w:rPr>
              <w:t>Carry Forward File Number</w:t>
            </w:r>
          </w:p>
        </w:tc>
        <w:tc>
          <w:tcPr>
            <w:tcW w:w="916" w:type="dxa"/>
            <w:gridSpan w:val="3"/>
            <w:tcBorders>
              <w:top w:val="single" w:sz="2" w:space="0" w:color="003F63"/>
              <w:left w:val="single" w:sz="8" w:space="0" w:color="FFFFFF"/>
              <w:bottom w:val="single" w:sz="8" w:space="0" w:color="FFFFFF"/>
            </w:tcBorders>
            <w:shd w:fill="003F63" w:val="clear"/>
            <w:tcMar>
              <w:top w:w="52" w:type="dxa"/>
              <w:bottom w:w="30" w:type="dxa"/>
              <w:right w:w="0" w:type="dxa"/>
            </w:tcMar>
            <w:vAlign w:val="center"/>
          </w:tcPr>
          <w:p>
            <w:pPr>
              <w:pStyle w:val="TableContents"/>
              <w:bidi w:val="0"/>
              <w:spacing w:lineRule="auto" w:line="288" w:before="0" w:after="0"/>
              <w:jc w:val="center"/>
              <w:rPr>
                <w:rFonts w:ascii="Proxima Nova;sans-serif" w:hAnsi="Proxima Nova;sans-serif"/>
                <w:b/>
                <w:color w:val="FFFFFF"/>
                <w:sz w:val="16"/>
              </w:rPr>
            </w:pPr>
            <w:r>
              <w:rPr>
                <w:rFonts w:ascii="Proxima Nova;sans-serif" w:hAnsi="Proxima Nova;sans-serif"/>
                <w:b/>
                <w:color w:val="FFFFFF"/>
                <w:sz w:val="16"/>
              </w:rPr>
              <w:t>Carry Forward Initial Effective Date</w:t>
            </w:r>
          </w:p>
        </w:tc>
        <w:tc>
          <w:tcPr>
            <w:tcW w:w="1216" w:type="dxa"/>
            <w:gridSpan w:val="3"/>
            <w:tcBorders>
              <w:top w:val="single" w:sz="2" w:space="0" w:color="003F63"/>
              <w:left w:val="single" w:sz="8" w:space="0" w:color="FFFFFF"/>
              <w:bottom w:val="single" w:sz="8" w:space="0" w:color="FFFFFF"/>
              <w:right w:val="single" w:sz="2" w:space="0" w:color="003F63"/>
            </w:tcBorders>
            <w:shd w:fill="003F63" w:val="clear"/>
            <w:tcMar>
              <w:top w:w="52" w:type="dxa"/>
              <w:bottom w:w="30" w:type="dxa"/>
            </w:tcMar>
            <w:vAlign w:val="center"/>
          </w:tcPr>
          <w:p>
            <w:pPr>
              <w:pStyle w:val="TableContents"/>
              <w:bidi w:val="0"/>
              <w:spacing w:lineRule="auto" w:line="288" w:before="0" w:after="0"/>
              <w:jc w:val="center"/>
              <w:rPr>
                <w:rFonts w:ascii="Proxima Nova;sans-serif" w:hAnsi="Proxima Nova;sans-serif"/>
                <w:b/>
                <w:color w:val="FFFFFF"/>
                <w:sz w:val="16"/>
              </w:rPr>
            </w:pPr>
            <w:r>
              <w:rPr>
                <w:rFonts w:ascii="Proxima Nova;sans-serif" w:hAnsi="Proxima Nova;sans-serif"/>
                <w:b/>
                <w:color w:val="FFFFFF"/>
                <w:sz w:val="16"/>
              </w:rPr>
              <w:t>Filing Fee Previously Paid in Connection with Unsold Securities to be Carried Forward</w:t>
            </w:r>
          </w:p>
        </w:tc>
      </w:tr>
      <w:tr>
        <w:trPr/>
        <w:tc>
          <w:tcPr>
            <w:tcW w:w="13735" w:type="dxa"/>
            <w:gridSpan w:val="42"/>
            <w:tcBorders>
              <w:left w:val="single" w:sz="2" w:space="0" w:color="003F63"/>
              <w:right w:val="single" w:sz="2" w:space="0" w:color="003F63"/>
            </w:tcBorders>
            <w:tcMar>
              <w:top w:w="0" w:type="dxa"/>
              <w:bottom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Newly Registered Securities</w:t>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1</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Equity</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pPr>
            <w:r>
              <w:rPr>
                <w:rFonts w:ascii="Proxima Nova;sans-serif" w:hAnsi="Proxima Nova;sans-serif"/>
                <w:b w:val="false"/>
                <w:color w:val="000000"/>
                <w:sz w:val="20"/>
              </w:rPr>
              <w:t>Common Stock, par value $0.001 per share</w:t>
            </w:r>
            <w:r>
              <w:rPr>
                <w:rFonts w:ascii="Proxima Nova;sans-serif" w:hAnsi="Proxima Nova;sans-serif"/>
                <w:b w:val="false"/>
                <w:color w:val="000000"/>
                <w:sz w:val="13"/>
              </w:rPr>
              <w:t>3</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2</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Equity</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pPr>
            <w:r>
              <w:rPr>
                <w:rFonts w:ascii="Proxima Nova;sans-serif" w:hAnsi="Proxima Nova;sans-serif"/>
                <w:b w:val="false"/>
                <w:color w:val="000000"/>
                <w:sz w:val="20"/>
              </w:rPr>
              <w:t>Preferred Stock, par value $0.001 per share</w:t>
            </w:r>
            <w:r>
              <w:rPr>
                <w:rFonts w:ascii="Proxima Nova;sans-serif" w:hAnsi="Proxima Nova;sans-serif"/>
                <w:b w:val="false"/>
                <w:color w:val="000000"/>
                <w:sz w:val="13"/>
              </w:rPr>
              <w:t>3</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3</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Debt</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pPr>
            <w:r>
              <w:rPr>
                <w:rFonts w:ascii="Proxima Nova;sans-serif" w:hAnsi="Proxima Nova;sans-serif"/>
                <w:b w:val="false"/>
                <w:color w:val="000000"/>
                <w:sz w:val="20"/>
              </w:rPr>
              <w:t>Debt Securities</w:t>
            </w:r>
            <w:r>
              <w:rPr>
                <w:rFonts w:ascii="Proxima Nova;sans-serif" w:hAnsi="Proxima Nova;sans-serif"/>
                <w:b w:val="false"/>
                <w:color w:val="000000"/>
                <w:sz w:val="13"/>
              </w:rPr>
              <w:t>4</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Equity</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pPr>
            <w:r>
              <w:rPr>
                <w:rFonts w:ascii="Proxima Nova;sans-serif" w:hAnsi="Proxima Nova;sans-serif"/>
                <w:b w:val="false"/>
                <w:color w:val="000000"/>
                <w:sz w:val="20"/>
              </w:rPr>
              <w:t>Warrants</w:t>
            </w:r>
            <w:r>
              <w:rPr>
                <w:rFonts w:ascii="Proxima Nova;sans-serif" w:hAnsi="Proxima Nova;sans-serif"/>
                <w:b w:val="false"/>
                <w:color w:val="000000"/>
                <w:sz w:val="13"/>
              </w:rPr>
              <w:t>5</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5</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Equity</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pPr>
            <w:r>
              <w:rPr>
                <w:rFonts w:ascii="Proxima Nova;sans-serif" w:hAnsi="Proxima Nova;sans-serif"/>
                <w:b w:val="false"/>
                <w:color w:val="000000"/>
                <w:sz w:val="20"/>
              </w:rPr>
              <w:t>Depositary Shares</w:t>
            </w:r>
            <w:r>
              <w:rPr>
                <w:rFonts w:ascii="Proxima Nova;sans-serif" w:hAnsi="Proxima Nova;sans-serif"/>
                <w:b w:val="false"/>
                <w:color w:val="000000"/>
                <w:sz w:val="13"/>
              </w:rPr>
              <w:t>6</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6</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pPr>
            <w:r>
              <w:rPr>
                <w:rFonts w:ascii="Proxima Nova;sans-serif" w:hAnsi="Proxima Nova;sans-serif"/>
                <w:b w:val="false"/>
                <w:color w:val="000000"/>
                <w:sz w:val="20"/>
              </w:rPr>
              <w:t>Subscription Rights</w:t>
            </w:r>
            <w:r>
              <w:rPr>
                <w:rFonts w:ascii="Proxima Nova;sans-serif" w:hAnsi="Proxima Nova;sans-serif"/>
                <w:b w:val="false"/>
                <w:color w:val="000000"/>
                <w:sz w:val="13"/>
              </w:rPr>
              <w:t>7</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7</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Stock Purchase Contracts</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8</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Stock Purchase Units</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to be Paid</w:t>
            </w:r>
          </w:p>
        </w:tc>
        <w:tc>
          <w:tcPr>
            <w:tcW w:w="327"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9</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w:t>
            </w:r>
          </w:p>
        </w:tc>
        <w:tc>
          <w:tcPr>
            <w:tcW w:w="130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Units</w:t>
            </w:r>
          </w:p>
        </w:tc>
        <w:tc>
          <w:tcPr>
            <w:tcW w:w="115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457(r)</w:t>
            </w:r>
          </w:p>
        </w:tc>
        <w:tc>
          <w:tcPr>
            <w:tcW w:w="11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FFFFFF"/>
            </w:tcBorders>
            <w:shd w:fill="E0E7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shd w:fill="E0E7ED" w:val="clear"/>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Fees Previously Paid</w:t>
            </w:r>
          </w:p>
        </w:tc>
        <w:tc>
          <w:tcPr>
            <w:tcW w:w="327" w:type="dxa"/>
            <w:gridSpan w:val="3"/>
            <w:tcBorders>
              <w:top w:val="single" w:sz="8" w:space="0" w:color="FFFFFF"/>
              <w:left w:val="single" w:sz="8" w:space="0" w:color="FFFFFF"/>
              <w:bottom w:val="single" w:sz="8" w:space="0" w:color="FFFFFF"/>
            </w:tcBorders>
            <w:shd w:fill="E0E7ED"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N/A</w:t>
            </w:r>
          </w:p>
        </w:tc>
        <w:tc>
          <w:tcPr>
            <w:tcW w:w="1306"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N/A</w:t>
            </w:r>
          </w:p>
        </w:tc>
        <w:tc>
          <w:tcPr>
            <w:tcW w:w="1156"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N/A</w:t>
            </w:r>
          </w:p>
        </w:tc>
        <w:tc>
          <w:tcPr>
            <w:tcW w:w="1171"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N/A</w:t>
            </w:r>
          </w:p>
        </w:tc>
        <w:tc>
          <w:tcPr>
            <w:tcW w:w="991"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1066"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586" w:type="dxa"/>
            <w:gridSpan w:val="3"/>
            <w:tcBorders>
              <w:top w:val="single" w:sz="8" w:space="0" w:color="FFFFFF"/>
              <w:left w:val="single" w:sz="8" w:space="0" w:color="FFFFFF"/>
              <w:bottom w:val="single" w:sz="8" w:space="0" w:color="FFFFFF"/>
            </w:tcBorders>
            <w:shd w:fill="E0E7ED" w:val="clear"/>
            <w:tcMar>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871" w:type="dxa"/>
            <w:gridSpan w:val="3"/>
            <w:tcBorders>
              <w:top w:val="single" w:sz="8" w:space="0" w:color="FFFFFF"/>
              <w:left w:val="single" w:sz="8" w:space="0" w:color="FFFFFF"/>
              <w:bottom w:val="single" w:sz="8" w:space="0" w:color="FFFFFF"/>
            </w:tcBorders>
            <w:shd w:fill="E0E7ED"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shd w:fill="E0E7ED" w:val="clear"/>
            <w:tcMar>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bottom w:val="single" w:sz="8" w:space="0" w:color="FFFFFF"/>
            </w:tcBorders>
            <w:shd w:fill="E0E7ED" w:val="clear"/>
            <w:tcMar>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bottom w:val="single" w:sz="8" w:space="0" w:color="FFFFFF"/>
              <w:right w:val="single" w:sz="2" w:space="0" w:color="003F63"/>
            </w:tcBorders>
            <w:shd w:fill="E0E7ED" w:val="clear"/>
            <w:vAlign w:val="center"/>
          </w:tcPr>
          <w:p>
            <w:pPr>
              <w:pStyle w:val="TableContents"/>
              <w:bidi w:val="0"/>
              <w:spacing w:before="0" w:after="283"/>
              <w:jc w:val="left"/>
              <w:rPr>
                <w:sz w:val="4"/>
                <w:szCs w:val="4"/>
              </w:rPr>
            </w:pPr>
            <w:r>
              <w:rPr>
                <w:sz w:val="4"/>
                <w:szCs w:val="4"/>
              </w:rPr>
            </w:r>
          </w:p>
        </w:tc>
      </w:tr>
      <w:tr>
        <w:trPr/>
        <w:tc>
          <w:tcPr>
            <w:tcW w:w="13735" w:type="dxa"/>
            <w:gridSpan w:val="42"/>
            <w:tcBorders>
              <w:top w:val="single" w:sz="8" w:space="0" w:color="FFFFFF"/>
              <w:left w:val="single" w:sz="2" w:space="0" w:color="003F63"/>
              <w:right w:val="single" w:sz="2" w:space="0" w:color="003F63"/>
            </w:tcBorders>
            <w:tcMar>
              <w:top w:w="52" w:type="dxa"/>
              <w:bottom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Carry Forward Securities</w:t>
            </w:r>
          </w:p>
        </w:tc>
      </w:tr>
      <w:tr>
        <w:trPr/>
        <w:tc>
          <w:tcPr>
            <w:tcW w:w="1141" w:type="dxa"/>
            <w:gridSpan w:val="3"/>
            <w:tcBorders>
              <w:top w:val="single" w:sz="8" w:space="0" w:color="FFFFFF"/>
              <w:left w:val="single" w:sz="2" w:space="0" w:color="003F63"/>
            </w:tcBorders>
            <w:shd w:fill="E0E7ED" w:val="clear"/>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Carry Forward Securities</w:t>
            </w:r>
          </w:p>
        </w:tc>
        <w:tc>
          <w:tcPr>
            <w:tcW w:w="327"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N/A</w:t>
            </w:r>
          </w:p>
        </w:tc>
        <w:tc>
          <w:tcPr>
            <w:tcW w:w="1306"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N/A</w:t>
            </w:r>
          </w:p>
        </w:tc>
        <w:tc>
          <w:tcPr>
            <w:tcW w:w="1156"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N/A</w:t>
            </w:r>
          </w:p>
        </w:tc>
        <w:tc>
          <w:tcPr>
            <w:tcW w:w="1171" w:type="dxa"/>
            <w:gridSpan w:val="3"/>
            <w:tcBorders>
              <w:top w:val="single" w:sz="8" w:space="0" w:color="FFFFFF"/>
              <w:left w:val="single" w:sz="8" w:space="0" w:color="FFFFFF"/>
              <w:bottom w:val="single" w:sz="8" w:space="0" w:color="FFFFFF"/>
            </w:tcBorders>
            <w:shd w:fill="E0E7ED" w:val="clear"/>
            <w:tcMar>
              <w:top w:w="52" w:type="dxa"/>
              <w:bottom w:w="3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N/A</w:t>
            </w:r>
          </w:p>
        </w:tc>
        <w:tc>
          <w:tcPr>
            <w:tcW w:w="991"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58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FFFFFF"/>
              <w:left w:val="single" w:sz="8" w:space="0" w:color="FFFFFF"/>
            </w:tcBorders>
            <w:shd w:fill="E0E7ED"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871"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916" w:type="dxa"/>
            <w:gridSpan w:val="3"/>
            <w:tcBorders>
              <w:top w:val="single" w:sz="8" w:space="0" w:color="FFFFFF"/>
              <w:left w:val="single" w:sz="8" w:space="0" w:color="FFFFFF"/>
            </w:tcBorders>
            <w:shd w:fill="E0E7ED" w:val="clear"/>
            <w:tcMar>
              <w:top w:w="52" w:type="dxa"/>
              <w:bottom w:w="0" w:type="dxa"/>
              <w:right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1216" w:type="dxa"/>
            <w:gridSpan w:val="3"/>
            <w:tcBorders>
              <w:top w:val="single" w:sz="8" w:space="0" w:color="FFFFFF"/>
              <w:left w:val="single" w:sz="8" w:space="0" w:color="FFFFFF"/>
              <w:right w:val="single" w:sz="2" w:space="0" w:color="003F63"/>
            </w:tcBorders>
            <w:shd w:fill="E0E7ED" w:val="clear"/>
            <w:tcMar>
              <w:top w:w="52" w:type="dxa"/>
              <w:bottom w:w="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r>
      <w:tr>
        <w:trPr/>
        <w:tc>
          <w:tcPr>
            <w:tcW w:w="1141" w:type="dxa"/>
            <w:gridSpan w:val="3"/>
            <w:tcBorders>
              <w:top w:val="single" w:sz="8" w:space="0" w:color="FFFFFF"/>
              <w:left w:val="single" w:sz="2" w:space="0" w:color="003F6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c>
          <w:tcPr>
            <w:tcW w:w="4504" w:type="dxa"/>
            <w:gridSpan w:val="12"/>
            <w:tcBorders>
              <w:bottom w:val="single" w:sz="8" w:space="0" w:color="FFFFFF"/>
              <w:right w:val="single" w:sz="8" w:space="0" w:color="FFFFFF"/>
            </w:tcBorders>
            <w:tcMar>
              <w:top w:w="0" w:type="dxa"/>
              <w:left w:w="0" w:type="dxa"/>
              <w:bottom w:w="3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Total Offering Amounts</w:t>
            </w:r>
          </w:p>
        </w:tc>
        <w:tc>
          <w:tcPr>
            <w:tcW w:w="99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84" w:type="dxa"/>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82" w:type="dxa"/>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c>
          <w:tcPr>
            <w:tcW w:w="4504" w:type="dxa"/>
            <w:gridSpan w:val="12"/>
            <w:tcBorders>
              <w:top w:val="single" w:sz="8" w:space="0" w:color="FFFFFF"/>
              <w:bottom w:val="single" w:sz="8" w:space="0" w:color="FFFFFF"/>
              <w:right w:val="single" w:sz="8" w:space="0" w:color="FFFFFF"/>
            </w:tcBorders>
            <w:tcMar>
              <w:top w:w="52" w:type="dxa"/>
              <w:left w:w="0" w:type="dxa"/>
              <w:bottom w:w="3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Total Fees Previously Paid</w:t>
            </w:r>
          </w:p>
        </w:tc>
        <w:tc>
          <w:tcPr>
            <w:tcW w:w="99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4" w:type="dxa"/>
            <w:gridSpan w:val="12"/>
            <w:tcBorders>
              <w:top w:val="single" w:sz="8" w:space="0" w:color="FFFFFF"/>
              <w:left w:val="single" w:sz="8" w:space="0" w:color="FFFFFF"/>
              <w:bottom w:val="single" w:sz="8" w:space="0" w:color="FFFFFF"/>
              <w:right w:val="single" w:sz="8" w:space="0" w:color="FFFFFF"/>
            </w:tcBorders>
            <w:tcMar>
              <w:top w:w="52" w:type="dxa"/>
              <w:bottom w:w="3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Total Fee Offsets</w:t>
            </w:r>
          </w:p>
        </w:tc>
        <w:tc>
          <w:tcPr>
            <w:tcW w:w="99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right w:val="single" w:sz="2" w:space="0" w:color="003F63"/>
            </w:tcBorders>
            <w:tcMar>
              <w:bottom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FFFFFF"/>
              <w:left w:val="single" w:sz="2" w:space="0" w:color="003F63"/>
              <w:bottom w:val="single" w:sz="2" w:space="0" w:color="003F63"/>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2" w:space="0" w:color="003F63"/>
            </w:tcBorders>
            <w:tcMar>
              <w:right w:w="0" w:type="dxa"/>
            </w:tcMar>
            <w:vAlign w:val="center"/>
          </w:tcPr>
          <w:p>
            <w:pPr>
              <w:pStyle w:val="TableContents"/>
              <w:bidi w:val="0"/>
              <w:spacing w:before="0" w:after="283"/>
              <w:jc w:val="left"/>
              <w:rPr>
                <w:sz w:val="4"/>
                <w:szCs w:val="4"/>
              </w:rPr>
            </w:pPr>
            <w:r>
              <w:rPr>
                <w:sz w:val="4"/>
                <w:szCs w:val="4"/>
              </w:rPr>
            </w:r>
          </w:p>
        </w:tc>
        <w:tc>
          <w:tcPr>
            <w:tcW w:w="4504" w:type="dxa"/>
            <w:gridSpan w:val="12"/>
            <w:tcBorders>
              <w:top w:val="single" w:sz="8" w:space="0" w:color="FFFFFF"/>
              <w:left w:val="single" w:sz="8" w:space="0" w:color="FFFFFF"/>
              <w:bottom w:val="single" w:sz="2" w:space="0" w:color="003F63"/>
              <w:right w:val="single" w:sz="8" w:space="0" w:color="FFFFFF"/>
            </w:tcBorders>
            <w:tcMar>
              <w:top w:w="52" w:type="dxa"/>
              <w:bottom w:w="30" w:type="dxa"/>
            </w:tcMar>
            <w:vAlign w:val="center"/>
          </w:tcPr>
          <w:p>
            <w:pPr>
              <w:pStyle w:val="TableContents"/>
              <w:bidi w:val="0"/>
              <w:spacing w:lineRule="auto" w:line="240" w:before="0" w:after="283"/>
              <w:jc w:val="right"/>
              <w:rPr>
                <w:rFonts w:ascii="Proxima Nova;sans-serif" w:hAnsi="Proxima Nova;sans-serif"/>
                <w:b w:val="false"/>
                <w:color w:val="000000"/>
                <w:sz w:val="20"/>
              </w:rPr>
            </w:pPr>
            <w:r>
              <w:rPr>
                <w:rFonts w:ascii="Proxima Nova;sans-serif" w:hAnsi="Proxima Nova;sans-serif"/>
                <w:b w:val="false"/>
                <w:color w:val="000000"/>
                <w:sz w:val="20"/>
              </w:rPr>
              <w:t>Net Fee Due</w:t>
            </w:r>
          </w:p>
        </w:tc>
        <w:tc>
          <w:tcPr>
            <w:tcW w:w="991" w:type="dxa"/>
            <w:gridSpan w:val="3"/>
            <w:tcBorders>
              <w:top w:val="single" w:sz="8" w:space="0" w:color="FFFFFF"/>
              <w:left w:val="single" w:sz="8" w:space="0" w:color="FFFFFF"/>
              <w:bottom w:val="single" w:sz="2" w:space="0" w:color="003F63"/>
            </w:tcBorders>
            <w:tcMar>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FFFFFF"/>
              <w:left w:val="single" w:sz="8" w:space="0" w:color="FFFFFF"/>
              <w:bottom w:val="single" w:sz="2" w:space="0" w:color="003F63"/>
            </w:tcBorders>
            <w:tcMar>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FFFFFF"/>
              <w:bottom w:val="single" w:sz="2" w:space="0" w:color="003F63"/>
            </w:tcBorders>
            <w:tcMar>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FFFFFF"/>
              <w:left w:val="single" w:sz="8" w:space="0" w:color="FFFFFF"/>
              <w:bottom w:val="single" w:sz="2" w:space="0" w:color="003F63"/>
            </w:tcBorders>
            <w:tcMar>
              <w:top w:w="52" w:type="dxa"/>
              <w:bottom w:w="3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82" w:type="dxa"/>
            <w:tcBorders>
              <w:top w:val="single" w:sz="8" w:space="0" w:color="FFFFFF"/>
              <w:bottom w:val="single" w:sz="2" w:space="0" w:color="003F63"/>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FFFFFF"/>
              <w:bottom w:val="single" w:sz="2" w:space="0" w:color="003F6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2" w:space="0" w:color="003F63"/>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2" w:space="0" w:color="003F63"/>
            </w:tcBorders>
            <w:tcMar>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FFFF"/>
              <w:left w:val="single" w:sz="8" w:space="0" w:color="FFFFFF"/>
              <w:bottom w:val="single" w:sz="2" w:space="0" w:color="003F63"/>
            </w:tcBorders>
            <w:tcMar>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FFFFFF"/>
              <w:left w:val="single" w:sz="8" w:space="0" w:color="FFFFFF"/>
              <w:bottom w:val="single" w:sz="2" w:space="0" w:color="003F63"/>
              <w:right w:val="single" w:sz="2" w:space="0" w:color="003F6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pPr>
      <w:r>
        <w:rPr>
          <w:rFonts w:ascii="Proxima Nova;sans-serif" w:hAnsi="Proxima Nova;sans-serif"/>
          <w:b/>
          <w:color w:val="000000"/>
          <w:sz w:val="20"/>
        </w:rPr>
        <w:t>1.</w:t>
      </w:r>
      <w:r>
        <w:rPr>
          <w:rFonts w:ascii="Proxima Nova;sans-serif" w:hAnsi="Proxima Nova;sans-serif"/>
          <w:b w:val="false"/>
          <w:color w:val="000000"/>
          <w:sz w:val="20"/>
        </w:rPr>
        <w:t>An indeterminate amount of securities as may from time to time to be issued at indeterminate prices is being registered pursuant to this registration statement.</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2.In accordance with Rules 456(b) and 457(r) the registrant is deferring all of the registration fee.</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3.Shares of common stock or preferred stock may be issued in primary offerings, upon conversion of debt securities or preferred stock registered hereby or upon the exercise of warrants or subscription rights to purchase preferred stock or common stock.</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4.The debt securities being registered hereunder will consist of one or more series of senior debt securities or subordinated debt securities, or any combination thereof, as more fully described herein.</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5.Warrants exercisable for common stock, preferred stock, debt securities, or other securities.</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6.The depositary shares registered hereunder will be evidenced by depositary receipts issued pursuant to a deposit agreement. If the registrant elects to offer to the public fractional interests in shares of preferred stock, then depositary receipts will be distributed to those persons purchasing the fractional interests and the shares will be issued to the depositary under the deposit agreement.</w:t>
      </w:r>
    </w:p>
    <w:p>
      <w:pPr>
        <w:pStyle w:val="TextBody"/>
        <w:bidi w:val="0"/>
        <w:spacing w:lineRule="auto" w:line="288" w:before="20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7.Subscription rights evidencing the right to purchase common stock or other securities.</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2260"/>
                <wp:effectExtent l="0" t="0" r="0" b="0"/>
                <wp:wrapNone/>
                <wp:docPr id="52" name="Frame4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roxima Nova">
    <w:altName w:val="sans-serif"/>
    <w:charset w:val="01"/>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314489/000031448926000013/buse-20251231.htm" TargetMode="External"/><Relationship Id="rId5" Type="http://schemas.openxmlformats.org/officeDocument/2006/relationships/hyperlink" Target="https://www.sec.gov/Archives/edgar/data/314489/000031448926000021/buse-20260413.htm" TargetMode="External"/><Relationship Id="rId6" Type="http://schemas.openxmlformats.org/officeDocument/2006/relationships/hyperlink" Target="https://www.sec.gov/Archives/edgar/data/314489/000031448926000021/buse-20260413.htm" TargetMode="External"/><Relationship Id="rId7" Type="http://schemas.openxmlformats.org/officeDocument/2006/relationships/hyperlink" Target="https://www.sec.gov/Archives/edgar/data/314489/000031448926000033/buse-20260331.htm" TargetMode="External"/><Relationship Id="rId8" Type="http://schemas.openxmlformats.org/officeDocument/2006/relationships/hyperlink" Target="https://www.sec.gov/Archives/edgar/data/314489/000031448926000055/buse-20260630.htm" TargetMode="External"/><Relationship Id="rId9" Type="http://schemas.openxmlformats.org/officeDocument/2006/relationships/hyperlink" Target="https://www.sec.gov/Archives/edgar/data/314489/000031448926000003/buse-20260113.htm" TargetMode="External"/><Relationship Id="rId10" Type="http://schemas.openxmlformats.org/officeDocument/2006/relationships/hyperlink" Target="https://www.sec.gov/Archives/edgar/data/314489/000031448926000006/buse-20260127.htm" TargetMode="External"/><Relationship Id="rId11" Type="http://schemas.openxmlformats.org/officeDocument/2006/relationships/hyperlink" Target="https://www.sec.gov/Archives/edgar/data/314489/000031448926000009/buse-20260203.htm" TargetMode="External"/><Relationship Id="rId12" Type="http://schemas.openxmlformats.org/officeDocument/2006/relationships/hyperlink" Target="https://www.sec.gov/Archives/edgar/data/314489/000031448926000009/buse-20260203.htm" TargetMode="External"/><Relationship Id="rId13" Type="http://schemas.openxmlformats.org/officeDocument/2006/relationships/hyperlink" Target="https://www.sec.gov/Archives/edgar/data/314489/000031448926000009/buse-20260203.htm" TargetMode="External"/><Relationship Id="rId14" Type="http://schemas.openxmlformats.org/officeDocument/2006/relationships/hyperlink" Target="https://www.sec.gov/Archives/edgar/data/314489/000031448926000024/buse-20260414.htm" TargetMode="External"/><Relationship Id="rId15" Type="http://schemas.openxmlformats.org/officeDocument/2006/relationships/hyperlink" Target="https://www.sec.gov/Archives/edgar/data/314489/000031448926000024/buse-20260414.htm" TargetMode="External"/><Relationship Id="rId16" Type="http://schemas.openxmlformats.org/officeDocument/2006/relationships/hyperlink" Target="https://www.sec.gov/Archives/edgar/data/314489/000031448926000024/buse-20260414.htm" TargetMode="External"/><Relationship Id="rId17" Type="http://schemas.openxmlformats.org/officeDocument/2006/relationships/hyperlink" Target="https://www.sec.gov/Archives/edgar/data/314489/000031448926000030/buse-20260505.htm" TargetMode="External"/><Relationship Id="rId18" Type="http://schemas.openxmlformats.org/officeDocument/2006/relationships/hyperlink" Target="https://www.sec.gov/Archives/edgar/data/314489/000031448926000030/buse-20260505.htm" TargetMode="External"/><Relationship Id="rId19" Type="http://schemas.openxmlformats.org/officeDocument/2006/relationships/hyperlink" Target="https://www.sec.gov/Archives/edgar/data/314489/000031448926000030/buse-20260505.htm" TargetMode="External"/><Relationship Id="rId20" Type="http://schemas.openxmlformats.org/officeDocument/2006/relationships/hyperlink" Target="https://www.sec.gov/Archives/edgar/data/314489/000031448926000036/buse-20260520.htm" TargetMode="External"/><Relationship Id="rId21" Type="http://schemas.openxmlformats.org/officeDocument/2006/relationships/hyperlink" Target="https://www.sec.gov/Archives/edgar/data/314489/000031448926000036/buse-20260520.htm" TargetMode="External"/><Relationship Id="rId22" Type="http://schemas.openxmlformats.org/officeDocument/2006/relationships/hyperlink" Target="https://www.sec.gov/Archives/edgar/data/314489/000031448926000036/buse-20260520.htm" TargetMode="External"/><Relationship Id="rId23" Type="http://schemas.openxmlformats.org/officeDocument/2006/relationships/hyperlink" Target="https://www.sec.gov/Archives/edgar/data/314489/000031448926000046/buse-20260713.htm" TargetMode="External"/><Relationship Id="rId24" Type="http://schemas.openxmlformats.org/officeDocument/2006/relationships/hyperlink" Target="https://www.sec.gov/Archives/edgar/data/314489/000031448926000046/buse-20260713.htm" TargetMode="External"/><Relationship Id="rId25" Type="http://schemas.openxmlformats.org/officeDocument/2006/relationships/hyperlink" Target="https://www.sec.gov/Archives/edgar/data/314489/000031448926000046/buse-20260713.htm" TargetMode="External"/><Relationship Id="rId26" Type="http://schemas.openxmlformats.org/officeDocument/2006/relationships/hyperlink" Target="https://www.sec.gov/Archives/edgar/data/314489/000031448926000052/buse-20260729.htm" TargetMode="External"/><Relationship Id="rId27" Type="http://schemas.openxmlformats.org/officeDocument/2006/relationships/hyperlink" Target="https://www.sec.gov/Archives/edgar/data/314489/000031448926000057/buse-20260807.htm" TargetMode="External"/><Relationship Id="rId28" Type="http://schemas.openxmlformats.org/officeDocument/2006/relationships/hyperlink" Target="https://www.sec.gov/Archives/edgar/data/314489/000031448926000057/buse-20260807.htm" TargetMode="External"/><Relationship Id="rId29" Type="http://schemas.openxmlformats.org/officeDocument/2006/relationships/hyperlink" Target="https://www.sec.gov/Archives/edgar/data/314489/000031448926000057/buse-20260807.htm" TargetMode="External"/><Relationship Id="rId30" Type="http://schemas.openxmlformats.org/officeDocument/2006/relationships/hyperlink" Target="https://www.sec.gov/Archives/edgar/data/314489/000031448925000191/buse-20250331xex41.htm" TargetMode="External"/><Relationship Id="rId31" Type="http://schemas.openxmlformats.org/officeDocument/2006/relationships/hyperlink" Target="https://www.sec.gov/Archives/edgar/data/314489/000031448925000191/buse-20250331xex41.htm" TargetMode="External"/><Relationship Id="rId32" Type="http://schemas.openxmlformats.org/officeDocument/2006/relationships/hyperlink" Target="https://www.sec.gov/Archives/edgar/data/314489/000031448925000191/buse-20250331xex41.htm" TargetMode="External"/><Relationship Id="rId33" Type="http://schemas.openxmlformats.org/officeDocument/2006/relationships/hyperlink" Target="https://www.sec.gov/Archives/edgar/data/314489/000031448926000013/buse-20251231.htm" TargetMode="External"/><Relationship Id="rId34" Type="http://schemas.openxmlformats.org/officeDocument/2006/relationships/hyperlink" Target="https://www.sec.gov/Archives/edgar/data/314489/000031448926000013/buse-20251231.htm" TargetMode="External"/><Relationship Id="rId35" Type="http://schemas.openxmlformats.org/officeDocument/2006/relationships/hyperlink" Target="https://www.sec.gov/Archives/edgar/data/314489/000031448926000013/buse-20251231.htm" TargetMode="External"/><Relationship Id="rId36" Type="http://schemas.openxmlformats.org/officeDocument/2006/relationships/hyperlink" Target="https://www.sec.gov/Archives/edgar/data/314489/000031448926000013/buse-20251231.htm" TargetMode="External"/><Relationship Id="rId37" Type="http://schemas.openxmlformats.org/officeDocument/2006/relationships/hyperlink" Target="https://www.sec.gov/Archives/edgar/data/314489/000031448926000013/buse-20251231.htm" TargetMode="External"/><Relationship Id="rId38" Type="http://schemas.openxmlformats.org/officeDocument/2006/relationships/hyperlink" Target="https://www.sec.gov/Archives/edgar/data/314489/000031448926000013/buse-20251231.htm" TargetMode="External"/><Relationship Id="rId39" Type="http://schemas.openxmlformats.org/officeDocument/2006/relationships/hyperlink" Target="https://www.sec.gov/Archives/edgar/data/314489/000031448926000013/buse-20251231.htm" TargetMode="External"/><Relationship Id="rId40" Type="http://schemas.openxmlformats.org/officeDocument/2006/relationships/hyperlink" Target="https://www.sec.gov/Archives/edgar/data/314489/000110465915076702/a15-17958_1ex3d1.htm" TargetMode="External"/><Relationship Id="rId41" Type="http://schemas.openxmlformats.org/officeDocument/2006/relationships/hyperlink" Target="https://www.sec.gov/Archives/edgar/data/314489/000110465920067637/tm2021060d1_ex4-2.htm" TargetMode="External"/><Relationship Id="rId42" Type="http://schemas.openxmlformats.org/officeDocument/2006/relationships/hyperlink" Target="https://www.sec.gov/Archives/edgar/data/314489/000110465925019504/tm257855d1_ex3-3.htm" TargetMode="External"/><Relationship Id="rId43" Type="http://schemas.openxmlformats.org/officeDocument/2006/relationships/hyperlink" Target="https://www.sec.gov/Archives/edgar/data/314489/000110465923124338/tm2331239d7_ex3-1.htm" TargetMode="External"/><Relationship Id="rId44" Type="http://schemas.openxmlformats.org/officeDocument/2006/relationships/hyperlink" Target="https://www.sec.gov/Archives/edgar/data/314489/000110465925019504/tm257855d1_ex3-5.htm" TargetMode="External"/><Relationship Id="rId45" Type="http://schemas.openxmlformats.org/officeDocument/2006/relationships/hyperlink" Target="https://www.sec.gov/Archives/edgar/data/314489/000031448925000191/buse-20250331xex41.htm" TargetMode="External"/><Relationship Id="rId46" Type="http://schemas.openxmlformats.org/officeDocument/2006/relationships/hyperlink" Target="https://www.sec.gov/Archives/edgar/data/314489/000110465917035228/a17-12054_7ex4d1.htm" TargetMode="External"/><Relationship Id="rId47" Type="http://schemas.openxmlformats.org/officeDocument/2006/relationships/hyperlink" Target="https://www.sec.gov/Archives/edgar/data/314489/000110465922068088/tm2217536d1_ex4-2.htm" TargetMode="External"/><Relationship Id="rId48" Type="http://schemas.openxmlformats.org/officeDocument/2006/relationships/hyperlink" Target="https://www.sec.gov/Archives/edgar/data/314489/000110465923102806/tm23266352d2_ex25-1.htm" TargetMode="External"/><Relationship Id="rId49" Type="http://schemas.openxmlformats.org/officeDocument/2006/relationships/image" Target="media/image2.png"/><Relationship Id="rId50" Type="http://schemas.openxmlformats.org/officeDocument/2006/relationships/image" Target="media/image3.png"/><Relationship Id="rId51" Type="http://schemas.openxmlformats.org/officeDocument/2006/relationships/image" Target="media/image3.png"/><Relationship Id="rId52" Type="http://schemas.openxmlformats.org/officeDocument/2006/relationships/image" Target="media/image3.png"/><Relationship Id="rId53" Type="http://schemas.openxmlformats.org/officeDocument/2006/relationships/image" Target="media/image3.png"/><Relationship Id="rId54" Type="http://schemas.openxmlformats.org/officeDocument/2006/relationships/image" Target="media/image1.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24195</Words>
  <Characters>129889</Characters>
  <CharactersWithSpaces>153244</CharactersWithSpaces>
  <Paragraphs>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