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3/31/2016</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39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Nevada</w:t>
            </w:r>
          </w:p>
        </w:tc>
        <w:tc>
          <w:tcPr>
            <w:tcW w:w="4040" w:type="dxa"/>
            <w:vAlign w:val="bottom"/>
          </w:tcPr>
          <w:p>
            <w:pPr>
              <w:jc w:val="right"/>
              <w:ind w:right="590"/>
              <w:spacing w:after="0"/>
              <w:rPr>
                <w:sz w:val="20"/>
                <w:szCs w:val="20"/>
                <w:color w:val="auto"/>
              </w:rPr>
            </w:pPr>
            <w:r>
              <w:rPr>
                <w:rFonts w:ascii="Arial" w:cs="Arial" w:eastAsia="Arial" w:hAnsi="Arial"/>
                <w:sz w:val="18"/>
                <w:szCs w:val="18"/>
                <w:b w:val="1"/>
                <w:bCs w:val="1"/>
                <w:color w:val="auto"/>
              </w:rPr>
              <w:t>37-1078406</w:t>
            </w:r>
          </w:p>
        </w:tc>
      </w:tr>
      <w:tr>
        <w:trPr>
          <w:trHeight w:val="216"/>
        </w:trPr>
        <w:tc>
          <w:tcPr>
            <w:tcW w:w="3980" w:type="dxa"/>
            <w:vAlign w:val="bottom"/>
          </w:tcPr>
          <w:p>
            <w:pPr>
              <w:jc w:val="center"/>
              <w:ind w:right="1710"/>
              <w:spacing w:after="0"/>
              <w:rPr>
                <w:sz w:val="20"/>
                <w:szCs w:val="20"/>
                <w:color w:val="auto"/>
              </w:rPr>
            </w:pPr>
            <w:r>
              <w:rPr>
                <w:rFonts w:ascii="Arial" w:cs="Arial" w:eastAsia="Arial" w:hAnsi="Arial"/>
                <w:sz w:val="18"/>
                <w:szCs w:val="18"/>
                <w:color w:val="auto"/>
                <w:w w:val="93"/>
              </w:rPr>
              <w:t>(State or other jurisdiction of</w:t>
            </w:r>
          </w:p>
        </w:tc>
        <w:tc>
          <w:tcPr>
            <w:tcW w:w="4040" w:type="dxa"/>
            <w:vAlign w:val="bottom"/>
          </w:tcPr>
          <w:p>
            <w:pPr>
              <w:jc w:val="center"/>
              <w:ind w:left="17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980" w:type="dxa"/>
            <w:vAlign w:val="bottom"/>
          </w:tcPr>
          <w:p>
            <w:pPr>
              <w:jc w:val="center"/>
              <w:ind w:right="1710"/>
              <w:spacing w:after="0"/>
              <w:rPr>
                <w:sz w:val="20"/>
                <w:szCs w:val="20"/>
                <w:color w:val="auto"/>
              </w:rPr>
            </w:pPr>
            <w:r>
              <w:rPr>
                <w:rFonts w:ascii="Arial" w:cs="Arial" w:eastAsia="Arial" w:hAnsi="Arial"/>
                <w:sz w:val="18"/>
                <w:szCs w:val="18"/>
                <w:color w:val="auto"/>
                <w:w w:val="93"/>
              </w:rPr>
              <w:t>incorporation or organization)</w:t>
            </w:r>
          </w:p>
        </w:tc>
        <w:tc>
          <w:tcPr>
            <w:tcW w:w="4040" w:type="dxa"/>
            <w:vAlign w:val="bottom"/>
          </w:tcPr>
          <w:p>
            <w:pPr>
              <w:jc w:val="center"/>
              <w:ind w:left="1710"/>
              <w:spacing w:after="0"/>
              <w:rPr>
                <w:sz w:val="20"/>
                <w:szCs w:val="20"/>
                <w:color w:val="auto"/>
              </w:rPr>
            </w:pPr>
            <w:r>
              <w:rPr>
                <w:rFonts w:ascii="Arial" w:cs="Arial" w:eastAsia="Arial" w:hAnsi="Arial"/>
                <w:sz w:val="18"/>
                <w:szCs w:val="18"/>
                <w:color w:val="auto"/>
                <w:w w:val="93"/>
              </w:rPr>
              <w:t>No.)</w:t>
            </w:r>
          </w:p>
        </w:tc>
      </w:tr>
      <w:tr>
        <w:trPr>
          <w:trHeight w:val="414"/>
        </w:trPr>
        <w:tc>
          <w:tcPr>
            <w:tcW w:w="39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100 W. University Ave.</w:t>
            </w:r>
          </w:p>
        </w:tc>
        <w:tc>
          <w:tcPr>
            <w:tcW w:w="4040" w:type="dxa"/>
            <w:vAlign w:val="bottom"/>
          </w:tcPr>
          <w:p>
            <w:pPr>
              <w:spacing w:after="0"/>
              <w:rPr>
                <w:sz w:val="24"/>
                <w:szCs w:val="24"/>
                <w:color w:val="auto"/>
              </w:rPr>
            </w:pPr>
          </w:p>
        </w:tc>
      </w:tr>
      <w:tr>
        <w:trPr>
          <w:trHeight w:val="220"/>
        </w:trPr>
        <w:tc>
          <w:tcPr>
            <w:tcW w:w="3980" w:type="dxa"/>
            <w:vAlign w:val="bottom"/>
          </w:tcPr>
          <w:p>
            <w:pPr>
              <w:jc w:val="center"/>
              <w:ind w:right="1690"/>
              <w:spacing w:after="0"/>
              <w:rPr>
                <w:sz w:val="20"/>
                <w:szCs w:val="20"/>
                <w:color w:val="auto"/>
              </w:rPr>
            </w:pPr>
            <w:r>
              <w:rPr>
                <w:rFonts w:ascii="Arial" w:cs="Arial" w:eastAsia="Arial" w:hAnsi="Arial"/>
                <w:sz w:val="18"/>
                <w:szCs w:val="18"/>
                <w:b w:val="1"/>
                <w:bCs w:val="1"/>
                <w:color w:val="auto"/>
                <w:w w:val="92"/>
              </w:rPr>
              <w:t>Champaign, Illinois</w:t>
            </w:r>
          </w:p>
        </w:tc>
        <w:tc>
          <w:tcPr>
            <w:tcW w:w="4040" w:type="dxa"/>
            <w:vAlign w:val="bottom"/>
          </w:tcPr>
          <w:p>
            <w:pPr>
              <w:jc w:val="right"/>
              <w:ind w:right="810"/>
              <w:spacing w:after="0"/>
              <w:rPr>
                <w:sz w:val="20"/>
                <w:szCs w:val="20"/>
                <w:color w:val="auto"/>
              </w:rPr>
            </w:pPr>
            <w:r>
              <w:rPr>
                <w:rFonts w:ascii="Arial" w:cs="Arial" w:eastAsia="Arial" w:hAnsi="Arial"/>
                <w:sz w:val="18"/>
                <w:szCs w:val="18"/>
                <w:b w:val="1"/>
                <w:bCs w:val="1"/>
                <w:color w:val="auto"/>
              </w:rPr>
              <w:t>61820</w:t>
            </w:r>
          </w:p>
        </w:tc>
      </w:tr>
      <w:tr>
        <w:trPr>
          <w:trHeight w:val="216"/>
        </w:trPr>
        <w:tc>
          <w:tcPr>
            <w:tcW w:w="3980" w:type="dxa"/>
            <w:vAlign w:val="bottom"/>
          </w:tcPr>
          <w:p>
            <w:pPr>
              <w:jc w:val="center"/>
              <w:ind w:right="1710"/>
              <w:spacing w:after="0"/>
              <w:rPr>
                <w:sz w:val="20"/>
                <w:szCs w:val="20"/>
                <w:color w:val="auto"/>
              </w:rPr>
            </w:pPr>
            <w:r>
              <w:rPr>
                <w:rFonts w:ascii="Arial" w:cs="Arial" w:eastAsia="Arial" w:hAnsi="Arial"/>
                <w:sz w:val="18"/>
                <w:szCs w:val="18"/>
                <w:color w:val="auto"/>
                <w:w w:val="93"/>
              </w:rPr>
              <w:t>(Address of principal</w:t>
            </w:r>
          </w:p>
        </w:tc>
        <w:tc>
          <w:tcPr>
            <w:tcW w:w="4040" w:type="dxa"/>
            <w:vAlign w:val="bottom"/>
          </w:tcPr>
          <w:p>
            <w:pPr>
              <w:jc w:val="center"/>
              <w:ind w:left="1710"/>
              <w:spacing w:after="0"/>
              <w:rPr>
                <w:sz w:val="20"/>
                <w:szCs w:val="20"/>
                <w:color w:val="auto"/>
              </w:rPr>
            </w:pPr>
            <w:r>
              <w:rPr>
                <w:rFonts w:ascii="Arial" w:cs="Arial" w:eastAsia="Arial" w:hAnsi="Arial"/>
                <w:sz w:val="18"/>
                <w:szCs w:val="18"/>
                <w:color w:val="auto"/>
                <w:w w:val="93"/>
              </w:rPr>
              <w:t>(Zip code)</w:t>
            </w:r>
          </w:p>
        </w:tc>
      </w:tr>
      <w:tr>
        <w:trPr>
          <w:trHeight w:val="230"/>
        </w:trPr>
        <w:tc>
          <w:tcPr>
            <w:tcW w:w="3980" w:type="dxa"/>
            <w:vAlign w:val="bottom"/>
          </w:tcPr>
          <w:p>
            <w:pPr>
              <w:jc w:val="center"/>
              <w:ind w:right="1690"/>
              <w:spacing w:after="0"/>
              <w:rPr>
                <w:sz w:val="20"/>
                <w:szCs w:val="20"/>
                <w:color w:val="auto"/>
              </w:rPr>
            </w:pPr>
            <w:r>
              <w:rPr>
                <w:rFonts w:ascii="Arial" w:cs="Arial" w:eastAsia="Arial" w:hAnsi="Arial"/>
                <w:sz w:val="18"/>
                <w:szCs w:val="18"/>
                <w:color w:val="auto"/>
                <w:w w:val="92"/>
              </w:rPr>
              <w:t>executive offices)</w:t>
            </w:r>
          </w:p>
        </w:tc>
        <w:tc>
          <w:tcPr>
            <w:tcW w:w="4040" w:type="dxa"/>
            <w:vAlign w:val="bottom"/>
          </w:tcPr>
          <w:p>
            <w:pPr>
              <w:spacing w:after="0"/>
              <w:rPr>
                <w:sz w:val="20"/>
                <w:szCs w:val="20"/>
                <w:color w:val="auto"/>
              </w:rPr>
            </w:pP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last report)</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60"/>
          </w:cols>
          <w:pgMar w:left="240" w:top="544" w:right="199" w:bottom="0" w:gutter="0" w:footer="0" w:header="0"/>
        </w:sectPr>
      </w:pPr>
    </w:p>
    <w:p>
      <w:pPr>
        <w:spacing w:after="0" w:line="14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o Non-accelerated filer o</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3" w:lineRule="exact"/>
        <w:rPr>
          <w:sz w:val="24"/>
          <w:szCs w:val="24"/>
          <w:color w:val="auto"/>
        </w:rPr>
      </w:pPr>
    </w:p>
    <w:p>
      <w:pPr>
        <w:sectPr>
          <w:pgSz w:w="11900" w:h="16838" w:orient="portrait"/>
          <w:cols w:equalWidth="0" w:num="3">
            <w:col w:w="1760" w:space="140"/>
            <w:col w:w="5000" w:space="720"/>
            <w:col w:w="3840"/>
          </w:cols>
          <w:pgMar w:left="240" w:top="544" w:right="199" w:bottom="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Yes o No x</w:t>
      </w:r>
    </w:p>
    <w:p>
      <w:pPr>
        <w:spacing w:after="0" w:line="200" w:lineRule="exact"/>
        <w:rPr>
          <w:sz w:val="24"/>
          <w:szCs w:val="24"/>
          <w:color w:val="auto"/>
        </w:rPr>
      </w:pPr>
    </w:p>
    <w:p>
      <w:pPr>
        <w:sectPr>
          <w:pgSz w:w="11900" w:h="16838" w:orient="portrait"/>
          <w:cols w:equalWidth="0" w:num="2">
            <w:col w:w="8180" w:space="140"/>
            <w:col w:w="3140"/>
          </w:cols>
          <w:pgMar w:left="240" w:top="544" w:right="19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Class</w:t>
            </w:r>
          </w:p>
        </w:tc>
        <w:tc>
          <w:tcPr>
            <w:tcW w:w="5480" w:type="dxa"/>
            <w:vAlign w:val="bottom"/>
          </w:tcPr>
          <w:p>
            <w:pPr>
              <w:jc w:val="center"/>
              <w:spacing w:after="0"/>
              <w:rPr>
                <w:sz w:val="20"/>
                <w:szCs w:val="20"/>
                <w:color w:val="auto"/>
              </w:rPr>
            </w:pPr>
            <w:r>
              <w:rPr>
                <w:rFonts w:ascii="Arial" w:cs="Arial" w:eastAsia="Arial" w:hAnsi="Arial"/>
                <w:sz w:val="14"/>
                <w:szCs w:val="14"/>
                <w:b w:val="1"/>
                <w:bCs w:val="1"/>
                <w:color w:val="auto"/>
                <w:w w:val="95"/>
              </w:rPr>
              <w:t>Outstanding at May 9, 2016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00" w:type="dxa"/>
            <w:vAlign w:val="bottom"/>
          </w:tcPr>
          <w:p>
            <w:pPr>
              <w:spacing w:after="0"/>
              <w:rPr>
                <w:sz w:val="19"/>
                <w:szCs w:val="19"/>
                <w:color w:val="auto"/>
              </w:rPr>
            </w:pPr>
          </w:p>
        </w:tc>
        <w:tc>
          <w:tcPr>
            <w:tcW w:w="5480" w:type="dxa"/>
            <w:vAlign w:val="bottom"/>
            <w:tcBorders>
              <w:top w:val="single" w:sz="8" w:color="auto"/>
            </w:tcBorders>
          </w:tcPr>
          <w:p>
            <w:pPr>
              <w:jc w:val="right"/>
              <w:ind w:right="2259"/>
              <w:spacing w:after="0"/>
              <w:rPr>
                <w:sz w:val="20"/>
                <w:szCs w:val="20"/>
                <w:color w:val="auto"/>
              </w:rPr>
            </w:pPr>
            <w:r>
              <w:rPr>
                <w:rFonts w:ascii="Arial" w:cs="Arial" w:eastAsia="Arial" w:hAnsi="Arial"/>
                <w:sz w:val="18"/>
                <w:szCs w:val="18"/>
                <w:color w:val="auto"/>
              </w:rPr>
              <w:t>38,146,117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5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55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5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2016 and December 31, 2015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4"/>
          <w:szCs w:val="24"/>
          <w:color w:val="auto"/>
        </w:rPr>
      </w:pPr>
    </w:p>
    <w:p>
      <w:pPr>
        <w:ind w:left="8520"/>
        <w:spacing w:after="0"/>
        <w:tabs>
          <w:tab w:leader="none" w:pos="10040" w:val="left"/>
        </w:tabs>
        <w:rPr>
          <w:sz w:val="20"/>
          <w:szCs w:val="20"/>
          <w:color w:val="auto"/>
        </w:rPr>
      </w:pPr>
      <w:r>
        <w:rPr>
          <w:rFonts w:ascii="Arial" w:cs="Arial" w:eastAsia="Arial" w:hAnsi="Arial"/>
          <w:sz w:val="14"/>
          <w:szCs w:val="14"/>
          <w:b w:val="1"/>
          <w:bCs w:val="1"/>
          <w:color w:val="auto"/>
        </w:rPr>
        <w:t>March 31, 2016</w:t>
      </w:r>
      <w:r>
        <w:rPr>
          <w:sz w:val="20"/>
          <w:szCs w:val="20"/>
          <w:color w:val="auto"/>
        </w:rPr>
        <w:tab/>
      </w:r>
      <w:r>
        <w:rPr>
          <w:rFonts w:ascii="Arial" w:cs="Arial" w:eastAsia="Arial" w:hAnsi="Arial"/>
          <w:sz w:val="12"/>
          <w:szCs w:val="12"/>
          <w:b w:val="1"/>
          <w:bCs w:val="1"/>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5270500</wp:posOffset>
            </wp:positionH>
            <wp:positionV relativeFrom="paragraph">
              <wp:posOffset>6350</wp:posOffset>
            </wp:positionV>
            <wp:extent cx="1912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91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21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 and due from banks (interest-bearing 2016 $266,597; 2015 $250,404)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320,960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319,280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 at fair value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778,770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Securities held to maturity, at amortized cost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49,082</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12,943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Loans (net of allowance for loan losses 2016 $45,171; 2015 $47,487)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2,527,398</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2,580,252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62,911</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25,510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 surrender value of bank owned life insurance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43,297</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17,589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45,503</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3,890,630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759,752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Interest-bearing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2,421,976</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2,407,421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3,181,728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3,289,106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166,141</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24,497</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3,507,366</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3,625,790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Pr>
          <w:p>
            <w:pPr>
              <w:spacing w:after="0" w:line="196" w:lineRule="exact"/>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$.001 par value, authorized 66,666,667 shares; shares issued 29,427,738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591,076</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(184,792)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6,317</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 before treasury stock</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412,630</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shares held in treasury at cost, 2016 723,402; 2015 732,887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383,264</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373,186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3,890,630</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outstanding at period end</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28,704,336</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28,694,851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2"/>
          </w:tcPr>
          <w:p>
            <w:pPr>
              <w:jc w:val="center"/>
              <w:ind w:left="3270"/>
              <w:spacing w:after="0"/>
              <w:rPr>
                <w:sz w:val="20"/>
                <w:szCs w:val="20"/>
                <w:color w:val="auto"/>
              </w:rPr>
            </w:pPr>
            <w:r>
              <w:rPr>
                <w:rFonts w:ascii="Arial" w:cs="Arial" w:eastAsia="Arial" w:hAnsi="Arial"/>
                <w:sz w:val="18"/>
                <w:szCs w:val="18"/>
                <w:color w:val="auto"/>
                <w:w w:val="99"/>
              </w:rPr>
              <w:t>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left="3270"/>
              <w:spacing w:after="0"/>
              <w:rPr>
                <w:sz w:val="20"/>
                <w:szCs w:val="20"/>
                <w:color w:val="auto"/>
              </w:rPr>
            </w:pPr>
            <w:r>
              <w:rPr>
                <w:rFonts w:ascii="Arial" w:cs="Arial" w:eastAsia="Arial" w:hAnsi="Arial"/>
                <w:sz w:val="18"/>
                <w:szCs w:val="18"/>
                <w:b w:val="1"/>
                <w:bCs w:val="1"/>
                <w:color w:val="auto"/>
              </w:rPr>
              <w:t>CONSOLIDATED STATEMENTS OF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w w:val="91"/>
              </w:rPr>
              <w:t>For the Three Months Ended March 31, 2016 and 2015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20" w:type="dxa"/>
            <w:vAlign w:val="bottom"/>
            <w:gridSpan w:val="4"/>
          </w:tcPr>
          <w:p>
            <w:pPr>
              <w:jc w:val="right"/>
              <w:ind w:right="250"/>
              <w:spacing w:after="0" w:line="119" w:lineRule="exact"/>
              <w:rPr>
                <w:sz w:val="20"/>
                <w:szCs w:val="20"/>
                <w:color w:val="auto"/>
              </w:rPr>
            </w:pPr>
            <w:r>
              <w:rPr>
                <w:rFonts w:ascii="Arial" w:cs="Arial" w:eastAsia="Arial" w:hAnsi="Arial"/>
                <w:sz w:val="13"/>
                <w:szCs w:val="13"/>
                <w:b w:val="1"/>
                <w:bCs w:val="1"/>
                <w:color w:val="auto"/>
              </w:rPr>
              <w:t>(dollars in thousands, except per share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amounts)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25,144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dividends on investment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Taxable interest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3,611</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Non-taxable interest income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income</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29,524</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1,107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Junior subordinated debt owed to unconsolidated trusts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337</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Net interest income</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27,942</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26,670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26,942</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income: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Trust fees</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5,547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 and brokers’ fees,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Remittance processing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2,925</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Other service charges and fees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1,581</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loans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Security gains, net</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1,067</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-4711065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-4711065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 w:name="page3"/>
    <w:bookmarkEnd w:id="2"/>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income</w:t>
            </w:r>
          </w:p>
        </w:tc>
        <w:tc>
          <w:tcPr>
            <w:tcW w:w="22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16,846</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expense:</w:t>
            </w:r>
          </w:p>
        </w:tc>
        <w:tc>
          <w:tcPr>
            <w:tcW w:w="2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Salaries and wages</w:t>
            </w:r>
          </w:p>
        </w:tc>
        <w:tc>
          <w:tcPr>
            <w:tcW w:w="26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12,399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14,506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2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Net occupancy expense of premises</w:t>
            </w: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2,167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 expense</w:t>
            </w:r>
          </w:p>
        </w:tc>
        <w:tc>
          <w:tcPr>
            <w:tcW w:w="2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Data processing</w:t>
            </w: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3,232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Regulatory expense</w:t>
            </w: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588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w:t>
            </w:r>
          </w:p>
        </w:tc>
        <w:tc>
          <w:tcPr>
            <w:tcW w:w="22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27,688</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5,666</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2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Preferred stock dividends</w:t>
            </w:r>
          </w:p>
        </w:tc>
        <w:tc>
          <w:tcPr>
            <w:tcW w:w="2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available to common stockholders</w:t>
            </w:r>
          </w:p>
        </w:tc>
        <w:tc>
          <w:tcPr>
            <w:tcW w:w="2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22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tcBorders>
              <w:bottom w:val="single" w:sz="8" w:color="CCEEFF"/>
            </w:tcBorders>
            <w:vMerge w:val="continue"/>
          </w:tcPr>
          <w:p>
            <w:pPr>
              <w:spacing w:after="0"/>
              <w:rPr>
                <w:sz w:val="20"/>
                <w:szCs w:val="20"/>
                <w:color w:val="auto"/>
              </w:rPr>
            </w:pPr>
          </w:p>
        </w:tc>
        <w:tc>
          <w:tcPr>
            <w:tcW w:w="220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10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earnings per common share</w:t>
            </w:r>
          </w:p>
        </w:tc>
        <w:tc>
          <w:tcPr>
            <w:tcW w:w="2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share of common stock</w:t>
            </w:r>
          </w:p>
        </w:tc>
        <w:tc>
          <w:tcPr>
            <w:tcW w:w="22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220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28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FIRST BUSEY CORPORATION and Subsidiaries CONSOLIDATED STATEMENTS OF OTHER COMPREHENSIVE INCOME For the Three Months Ended March 31, 2016 and 2015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10,434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7,761</w:t>
            </w:r>
          </w:p>
        </w:tc>
        <w:tc>
          <w:tcPr>
            <w:tcW w:w="80" w:type="dxa"/>
            <w:vAlign w:val="bottom"/>
            <w:shd w:val="clear" w:color="auto" w:fill="CCEEFF"/>
          </w:tcPr>
          <w:p>
            <w:pPr>
              <w:spacing w:after="0"/>
              <w:rPr>
                <w:sz w:val="18"/>
                <w:szCs w:val="18"/>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color w:val="auto"/>
              </w:rPr>
              <w:t>Other comprehensive income, before tax:</w:t>
            </w:r>
          </w:p>
        </w:tc>
        <w:tc>
          <w:tcPr>
            <w:tcW w:w="15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Unrealized net gains on securities:</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Unrealized net holding gains arising during period</w:t>
            </w:r>
          </w:p>
        </w:tc>
        <w:tc>
          <w:tcPr>
            <w:tcW w:w="23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4,031</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540"/>
              <w:spacing w:after="0"/>
              <w:rPr>
                <w:sz w:val="20"/>
                <w:szCs w:val="20"/>
                <w:color w:val="auto"/>
              </w:rPr>
            </w:pPr>
            <w:r>
              <w:rPr>
                <w:rFonts w:ascii="Arial" w:cs="Arial" w:eastAsia="Arial" w:hAnsi="Arial"/>
                <w:sz w:val="18"/>
                <w:szCs w:val="18"/>
                <w:color w:val="auto"/>
              </w:rPr>
              <w:t>Reclassification adjustment for (gains) included in net income</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before tax</w:t>
            </w:r>
          </w:p>
        </w:tc>
        <w:tc>
          <w:tcPr>
            <w:tcW w:w="1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2,655</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1,614</w:t>
            </w:r>
          </w:p>
        </w:tc>
        <w:tc>
          <w:tcPr>
            <w:tcW w:w="80" w:type="dxa"/>
            <w:vAlign w:val="bottom"/>
          </w:tcPr>
          <w:p>
            <w:pPr>
              <w:spacing w:after="0"/>
              <w:rPr>
                <w:sz w:val="18"/>
                <w:szCs w:val="18"/>
                <w:color w:val="auto"/>
              </w:rPr>
            </w:pPr>
          </w:p>
        </w:tc>
      </w:tr>
      <w:tr>
        <w:trPr>
          <w:trHeight w:val="210"/>
        </w:trPr>
        <w:tc>
          <w:tcPr>
            <w:tcW w:w="67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 of tax</w:t>
            </w:r>
          </w:p>
        </w:tc>
        <w:tc>
          <w:tcPr>
            <w:tcW w:w="1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780" w:type="dxa"/>
            <w:vAlign w:val="bottom"/>
          </w:tcPr>
          <w:p>
            <w:pPr>
              <w:ind w:left="360"/>
              <w:spacing w:after="0"/>
              <w:rPr>
                <w:sz w:val="20"/>
                <w:szCs w:val="20"/>
                <w:color w:val="auto"/>
              </w:rPr>
            </w:pPr>
            <w:r>
              <w:rPr>
                <w:rFonts w:ascii="Arial" w:cs="Arial" w:eastAsia="Arial" w:hAnsi="Arial"/>
                <w:sz w:val="18"/>
                <w:szCs w:val="18"/>
                <w:color w:val="auto"/>
              </w:rPr>
              <w:t>Comprehensive income</w:t>
            </w:r>
          </w:p>
        </w:tc>
        <w:tc>
          <w:tcPr>
            <w:tcW w:w="1520" w:type="dxa"/>
            <w:vAlign w:val="bottom"/>
          </w:tcPr>
          <w:p>
            <w:pPr>
              <w:spacing w:after="0"/>
              <w:rPr>
                <w:sz w:val="18"/>
                <w:szCs w:val="18"/>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14,411</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Preferred</w:t>
            </w:r>
          </w:p>
        </w:tc>
        <w:tc>
          <w:tcPr>
            <w:tcW w:w="200" w:type="dxa"/>
            <w:vAlign w:val="bottom"/>
          </w:tcPr>
          <w:p>
            <w:pPr>
              <w:spacing w:after="0"/>
              <w:rPr>
                <w:sz w:val="12"/>
                <w:szCs w:val="12"/>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Treasury</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Balance, December 31, 2014</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593,746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(210,384)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2,416</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treasury stock</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employee stock</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Net issuance of treasury</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stock for restricted stock</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unit vesting and related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tax benefit</w:t>
            </w:r>
          </w:p>
        </w:tc>
        <w:tc>
          <w:tcPr>
            <w:tcW w:w="1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Issuance of treasury stock</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Cash dividends common</w:t>
            </w:r>
          </w:p>
        </w:tc>
        <w:tc>
          <w:tcPr>
            <w:tcW w:w="1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(4,342)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bl>
    <w:p>
      <w:pPr>
        <w:sectPr>
          <w:pgSz w:w="11900" w:h="16858" w:orient="portrait"/>
          <w:cols w:equalWidth="0" w:num="1">
            <w:col w:w="11420"/>
          </w:cols>
          <w:pgMar w:left="240" w:top="140" w:right="239" w:bottom="0" w:gutter="0" w:footer="0" w:header="0"/>
        </w:sectPr>
      </w:pPr>
    </w:p>
    <w:bookmarkStart w:id="3" w:name="page4"/>
    <w:bookmarkEnd w:id="3"/>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stock at $0.15 per share</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dividend equivalents</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 at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$0.15 per share</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Stock-based employee</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2015</w:t>
            </w:r>
          </w:p>
        </w:tc>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72,664</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29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593,668</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(207,213)</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(27,581)</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439,800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6"/>
              </w:rPr>
              <w:t>Balance, December 31, 2015</w:t>
            </w:r>
          </w:p>
        </w:tc>
        <w:tc>
          <w:tcPr>
            <w:tcW w:w="5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79"/>
              </w:rPr>
              <w:t>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591,053</w:t>
            </w: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(190,265)</w:t>
            </w:r>
          </w:p>
        </w:tc>
        <w:tc>
          <w:tcPr>
            <w:tcW w:w="54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2,340</w:t>
            </w:r>
          </w:p>
        </w:tc>
        <w:tc>
          <w:tcPr>
            <w:tcW w:w="64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(29,971)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10,434</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income</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3,977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treasury stock</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employee stock</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Net issuance of treasury</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stock for restricted stock</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unit vesting and related</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tax benefit</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common</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at $0.17 per share</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Stock dividend equivalents</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restricted stock units at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$0.17 per share</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employee</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2016</w:t>
            </w: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29</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591,076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(184,792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(29,366</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383,264</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gridSpan w:val="3"/>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gridSpan w:val="12"/>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ind w:left="23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gridSpan w:val="12"/>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60" w:type="dxa"/>
            <w:vAlign w:val="bottom"/>
            <w:gridSpan w:val="12"/>
          </w:tcPr>
          <w:p>
            <w:pPr>
              <w:jc w:val="center"/>
              <w:ind w:right="125"/>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gridSpan w:val="12"/>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gridSpan w:val="12"/>
          </w:tcPr>
          <w:p>
            <w:pPr>
              <w:ind w:left="20"/>
              <w:spacing w:after="0"/>
              <w:rPr>
                <w:sz w:val="20"/>
                <w:szCs w:val="20"/>
                <w:color w:val="auto"/>
              </w:rPr>
            </w:pPr>
            <w:r>
              <w:rPr>
                <w:rFonts w:ascii="Arial" w:cs="Arial" w:eastAsia="Arial" w:hAnsi="Arial"/>
                <w:sz w:val="18"/>
                <w:szCs w:val="18"/>
                <w:b w:val="1"/>
                <w:bCs w:val="1"/>
                <w:color w:val="auto"/>
                <w:w w:val="96"/>
              </w:rPr>
              <w:t>For the Three Months Ended March 31, 2016 and 2015</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4"/>
          </w:tcPr>
          <w:p>
            <w:pPr>
              <w:jc w:val="center"/>
              <w:ind w:right="125"/>
              <w:spacing w:after="0"/>
              <w:rPr>
                <w:sz w:val="20"/>
                <w:szCs w:val="20"/>
                <w:color w:val="auto"/>
              </w:rPr>
            </w:pPr>
            <w:r>
              <w:rPr>
                <w:rFonts w:ascii="Arial" w:cs="Arial" w:eastAsia="Arial" w:hAnsi="Arial"/>
                <w:sz w:val="18"/>
                <w:szCs w:val="18"/>
                <w:b w:val="1"/>
                <w:bCs w:val="1"/>
                <w:color w:val="auto"/>
                <w:w w:val="93"/>
              </w:rPr>
              <w:t>(Unaudited)</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gridSpan w:val="5"/>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5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10,434</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w w:val="91"/>
              </w:rPr>
              <w:t>Adjustments to reconcile net income to net cash provided by operating activities: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w w:val="96"/>
              </w:rPr>
              <w:t>Stock-based and non-cash compensation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tcPr>
          <w:p>
            <w:pPr>
              <w:ind w:left="340"/>
              <w:spacing w:after="0"/>
              <w:rPr>
                <w:sz w:val="20"/>
                <w:szCs w:val="20"/>
                <w:color w:val="auto"/>
              </w:rPr>
            </w:pPr>
            <w:r>
              <w:rPr>
                <w:rFonts w:ascii="Arial" w:cs="Arial" w:eastAsia="Arial" w:hAnsi="Arial"/>
                <w:sz w:val="18"/>
                <w:szCs w:val="18"/>
                <w:color w:val="auto"/>
                <w:w w:val="95"/>
              </w:rPr>
              <w:t>Amortization of intangible assets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Provision for loan losses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rPr>
              <w:t>Provision for deferred income taxes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1,398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w w:val="99"/>
              </w:rPr>
              <w:t>Amortization of security premiums and discounts,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tcPr>
          <w:p>
            <w:pPr>
              <w:ind w:left="340"/>
              <w:spacing w:after="0"/>
              <w:rPr>
                <w:sz w:val="20"/>
                <w:szCs w:val="20"/>
                <w:color w:val="auto"/>
              </w:rPr>
            </w:pPr>
            <w:r>
              <w:rPr>
                <w:rFonts w:ascii="Arial" w:cs="Arial" w:eastAsia="Arial" w:hAnsi="Arial"/>
                <w:sz w:val="18"/>
                <w:szCs w:val="18"/>
                <w:color w:val="auto"/>
              </w:rPr>
              <w:t>Accretion of premiums and discounts on loans,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190"/>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security gains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(1,067)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340"/>
              <w:spacing w:after="0"/>
              <w:rPr>
                <w:sz w:val="20"/>
                <w:szCs w:val="20"/>
                <w:color w:val="auto"/>
              </w:rPr>
            </w:pPr>
            <w:r>
              <w:rPr>
                <w:rFonts w:ascii="Arial" w:cs="Arial" w:eastAsia="Arial" w:hAnsi="Arial"/>
                <w:sz w:val="18"/>
                <w:szCs w:val="18"/>
                <w:color w:val="auto"/>
                <w:w w:val="90"/>
              </w:rPr>
              <w:t>Gain on sales of loans, net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190"/>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Net gain on disposition of premises and equipment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tcPr>
          <w:p>
            <w:pPr>
              <w:ind w:left="340"/>
              <w:spacing w:after="0"/>
              <w:rPr>
                <w:sz w:val="20"/>
                <w:szCs w:val="20"/>
                <w:color w:val="auto"/>
              </w:rPr>
            </w:pPr>
            <w:r>
              <w:rPr>
                <w:rFonts w:ascii="Arial" w:cs="Arial" w:eastAsia="Arial" w:hAnsi="Arial"/>
                <w:sz w:val="18"/>
                <w:szCs w:val="18"/>
                <w:color w:val="auto"/>
              </w:rPr>
              <w:t>Premises and equipment impairment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w w:val="91"/>
              </w:rPr>
              <w:t>Increase in cash surrender value of bank owned life insurance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tcPr>
          <w:p>
            <w:pPr>
              <w:ind w:left="340"/>
              <w:spacing w:after="0"/>
              <w:rPr>
                <w:sz w:val="20"/>
                <w:szCs w:val="20"/>
                <w:color w:val="auto"/>
              </w:rPr>
            </w:pPr>
            <w:r>
              <w:rPr>
                <w:rFonts w:ascii="Arial" w:cs="Arial" w:eastAsia="Arial" w:hAnsi="Arial"/>
                <w:sz w:val="18"/>
                <w:szCs w:val="18"/>
                <w:color w:val="auto"/>
                <w:w w:val="98"/>
              </w:rPr>
              <w:t>Change in assets and liabilities: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(Increase) decrease in other assets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(1,176)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tcPr>
          <w:p>
            <w:pPr>
              <w:ind w:left="520"/>
              <w:spacing w:after="0"/>
              <w:rPr>
                <w:sz w:val="20"/>
                <w:szCs w:val="20"/>
                <w:color w:val="auto"/>
              </w:rPr>
            </w:pPr>
            <w:r>
              <w:rPr>
                <w:rFonts w:ascii="Arial" w:cs="Arial" w:eastAsia="Arial" w:hAnsi="Arial"/>
                <w:sz w:val="18"/>
                <w:szCs w:val="18"/>
                <w:color w:val="auto"/>
              </w:rPr>
              <w:t>Decrease in other liabilities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190"/>
              <w:spacing w:after="0"/>
              <w:rPr>
                <w:sz w:val="20"/>
                <w:szCs w:val="20"/>
                <w:color w:val="auto"/>
              </w:rPr>
            </w:pPr>
            <w:r>
              <w:rPr>
                <w:rFonts w:ascii="Arial" w:cs="Arial" w:eastAsia="Arial" w:hAnsi="Arial"/>
                <w:sz w:val="18"/>
                <w:szCs w:val="18"/>
                <w:color w:val="auto"/>
              </w:rPr>
              <w:t>(3,022)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Decrease in interest payable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tcPr>
          <w:p>
            <w:pPr>
              <w:ind w:left="520"/>
              <w:spacing w:after="0"/>
              <w:rPr>
                <w:sz w:val="20"/>
                <w:szCs w:val="20"/>
                <w:color w:val="auto"/>
              </w:rPr>
            </w:pPr>
            <w:r>
              <w:rPr>
                <w:rFonts w:ascii="Arial" w:cs="Arial" w:eastAsia="Arial" w:hAnsi="Arial"/>
                <w:sz w:val="18"/>
                <w:szCs w:val="18"/>
                <w:color w:val="auto"/>
              </w:rPr>
              <w:t>(Increase) decrease in income taxes receivable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19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gridSpan w:val="15"/>
            <w:shd w:val="clear" w:color="auto" w:fill="CCEEFF"/>
          </w:tcPr>
          <w:p>
            <w:pPr>
              <w:ind w:left="700"/>
              <w:spacing w:after="0"/>
              <w:rPr>
                <w:sz w:val="20"/>
                <w:szCs w:val="20"/>
                <w:color w:val="auto"/>
              </w:rPr>
            </w:pPr>
            <w:r>
              <w:rPr>
                <w:rFonts w:ascii="Arial" w:cs="Arial" w:eastAsia="Arial" w:hAnsi="Arial"/>
                <w:sz w:val="18"/>
                <w:szCs w:val="18"/>
                <w:b w:val="1"/>
                <w:bCs w:val="1"/>
                <w:color w:val="auto"/>
                <w:w w:val="91"/>
              </w:rPr>
              <w:t>Net cash provided by operating activities before activities for loans originated for sale</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originated for sale</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(35,677)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w w:val="89"/>
              </w:rPr>
              <w:t>Proceeds from sales of loans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32,484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gridSpan w:val="6"/>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89"/>
              </w:rPr>
              <w:t>Cash Flows from Investing Activities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tcPr>
          <w:p>
            <w:pPr>
              <w:ind w:left="180"/>
              <w:spacing w:after="0"/>
              <w:rPr>
                <w:sz w:val="20"/>
                <w:szCs w:val="20"/>
                <w:color w:val="auto"/>
              </w:rPr>
            </w:pPr>
            <w:r>
              <w:rPr>
                <w:rFonts w:ascii="Arial" w:cs="Arial" w:eastAsia="Arial" w:hAnsi="Arial"/>
                <w:sz w:val="18"/>
                <w:szCs w:val="18"/>
                <w:color w:val="auto"/>
                <w:w w:val="89"/>
              </w:rPr>
              <w:t>Proceeds from sales of securities classified available for sale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35,588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w w:val="90"/>
              </w:rPr>
              <w:t>Proceeds from maturities of securities classified available for sale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49,608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8"/>
          </w:tcPr>
          <w:p>
            <w:pPr>
              <w:ind w:left="180"/>
              <w:spacing w:after="0"/>
              <w:rPr>
                <w:sz w:val="20"/>
                <w:szCs w:val="20"/>
                <w:color w:val="auto"/>
              </w:rPr>
            </w:pPr>
            <w:r>
              <w:rPr>
                <w:rFonts w:ascii="Arial" w:cs="Arial" w:eastAsia="Arial" w:hAnsi="Arial"/>
                <w:sz w:val="18"/>
                <w:szCs w:val="18"/>
                <w:color w:val="auto"/>
                <w:w w:val="92"/>
              </w:rPr>
              <w:t>Proceeds from maturities of securities classified held to maturity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503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Purchase of securities classified available for sale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(23,106)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-5558790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-5558790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25"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20" w:type="dxa"/>
            <w:vAlign w:val="bottom"/>
          </w:tcPr>
          <w:p>
            <w:pPr>
              <w:ind w:left="180"/>
              <w:spacing w:after="0"/>
              <w:rPr>
                <w:sz w:val="20"/>
                <w:szCs w:val="20"/>
                <w:color w:val="auto"/>
              </w:rPr>
            </w:pPr>
            <w:r>
              <w:rPr>
                <w:rFonts w:ascii="Arial" w:cs="Arial" w:eastAsia="Arial" w:hAnsi="Arial"/>
                <w:sz w:val="18"/>
                <w:szCs w:val="18"/>
                <w:color w:val="auto"/>
              </w:rPr>
              <w:t>Net decrease in loans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52,060</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44,285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disposition of premises and equipment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80"/>
              <w:spacing w:after="0"/>
              <w:rPr>
                <w:sz w:val="20"/>
                <w:szCs w:val="20"/>
                <w:color w:val="auto"/>
              </w:rPr>
            </w:pPr>
            <w:r>
              <w:rPr>
                <w:rFonts w:ascii="Arial" w:cs="Arial" w:eastAsia="Arial" w:hAnsi="Arial"/>
                <w:sz w:val="18"/>
                <w:szCs w:val="18"/>
                <w:color w:val="auto"/>
              </w:rPr>
              <w:t>Proceeds from sale of other real estate owned (“OREO”) properties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premises and equipment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(1,235)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80"/>
              <w:spacing w:after="0"/>
              <w:rPr>
                <w:sz w:val="20"/>
                <w:szCs w:val="20"/>
                <w:color w:val="auto"/>
              </w:rPr>
            </w:pPr>
            <w:r>
              <w:rPr>
                <w:rFonts w:ascii="Arial" w:cs="Arial" w:eastAsia="Arial" w:hAnsi="Arial"/>
                <w:sz w:val="18"/>
                <w:szCs w:val="18"/>
                <w:color w:val="auto"/>
              </w:rPr>
              <w:t>Net cash received in acquisitions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113,796</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gridSpan w:val="6"/>
          </w:tcPr>
          <w:p>
            <w:pPr>
              <w:spacing w:after="0"/>
              <w:rPr>
                <w:sz w:val="20"/>
                <w:szCs w:val="20"/>
                <w:color w:val="auto"/>
              </w:rPr>
            </w:pPr>
            <w:r>
              <w:rPr>
                <w:rFonts w:ascii="Arial" w:cs="Arial" w:eastAsia="Arial" w:hAnsi="Arial"/>
                <w:sz w:val="18"/>
                <w:szCs w:val="18"/>
                <w:color w:val="auto"/>
                <w:w w:val="91"/>
              </w:rPr>
              <w:t>(continued on next page)</w:t>
            </w:r>
          </w:p>
        </w:tc>
        <w:tc>
          <w:tcPr>
            <w:tcW w:w="0" w:type="dxa"/>
            <w:vAlign w:val="bottom"/>
          </w:tcPr>
          <w:p>
            <w:pPr>
              <w:spacing w:after="0"/>
              <w:rPr>
                <w:sz w:val="1"/>
                <w:szCs w:val="1"/>
                <w:color w:val="auto"/>
              </w:rPr>
            </w:pPr>
          </w:p>
        </w:tc>
      </w:tr>
      <w:tr>
        <w:trPr>
          <w:trHeight w:val="432"/>
        </w:trPr>
        <w:tc>
          <w:tcPr>
            <w:tcW w:w="8040" w:type="dxa"/>
            <w:vAlign w:val="bottom"/>
            <w:gridSpan w:val="2"/>
          </w:tcPr>
          <w:p>
            <w:pPr>
              <w:jc w:val="center"/>
              <w:ind w:left="3290"/>
              <w:spacing w:after="0"/>
              <w:rPr>
                <w:sz w:val="20"/>
                <w:szCs w:val="20"/>
                <w:color w:val="auto"/>
              </w:rPr>
            </w:pPr>
            <w:r>
              <w:rPr>
                <w:rFonts w:ascii="Arial" w:cs="Arial" w:eastAsia="Arial" w:hAnsi="Arial"/>
                <w:sz w:val="18"/>
                <w:szCs w:val="18"/>
                <w:color w:val="auto"/>
                <w:w w:val="99"/>
              </w:rPr>
              <w:t>7</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jc w:val="center"/>
              <w:ind w:left="2710"/>
              <w:spacing w:after="0"/>
              <w:rPr>
                <w:sz w:val="20"/>
                <w:szCs w:val="20"/>
                <w:color w:val="auto"/>
              </w:rPr>
            </w:pPr>
            <w:r>
              <w:rPr>
                <w:rFonts w:ascii="Arial" w:cs="Arial" w:eastAsia="Arial" w:hAnsi="Arial"/>
                <w:sz w:val="18"/>
                <w:szCs w:val="18"/>
                <w:b w:val="1"/>
                <w:bCs w:val="1"/>
                <w:color w:val="auto"/>
                <w:w w:val="97"/>
              </w:rPr>
              <w:t>CONSOLIDATED STATEMENTS OF CASH FLOWS (continued)</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91"/>
              </w:rPr>
              <w:t>For the Three Months Ended March 31, 2016 and 2015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80"/>
              <w:spacing w:after="0"/>
              <w:rPr>
                <w:sz w:val="20"/>
                <w:szCs w:val="20"/>
                <w:color w:val="auto"/>
              </w:rPr>
            </w:pPr>
            <w:r>
              <w:rPr>
                <w:rFonts w:ascii="Arial" w:cs="Arial" w:eastAsia="Arial" w:hAnsi="Arial"/>
                <w:sz w:val="18"/>
                <w:szCs w:val="18"/>
                <w:color w:val="auto"/>
              </w:rPr>
              <w:t>Net decrease in certificates of deposit</w:t>
            </w:r>
          </w:p>
        </w:tc>
        <w:tc>
          <w:tcPr>
            <w:tcW w:w="5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(16,717)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increase in demand, money market and savings deposits</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(90,661)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(4,879)</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shares surrendered upon vesting of restricted stock units to cover tax obligations</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80"/>
              <w:spacing w:after="0"/>
              <w:rPr>
                <w:sz w:val="20"/>
                <w:szCs w:val="20"/>
                <w:color w:val="auto"/>
              </w:rPr>
            </w:pPr>
            <w:r>
              <w:rPr>
                <w:rFonts w:ascii="Arial" w:cs="Arial" w:eastAsia="Arial" w:hAnsi="Arial"/>
                <w:sz w:val="18"/>
                <w:szCs w:val="18"/>
                <w:color w:val="auto"/>
              </w:rPr>
              <w:t>Net decrease in securities sold under agreements to repurchase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(6,831)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(119,098)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360"/>
              <w:spacing w:after="0"/>
              <w:rPr>
                <w:sz w:val="20"/>
                <w:szCs w:val="20"/>
                <w:color w:val="auto"/>
              </w:rPr>
            </w:pPr>
            <w:r>
              <w:rPr>
                <w:rFonts w:ascii="Arial" w:cs="Arial" w:eastAsia="Arial" w:hAnsi="Arial"/>
                <w:sz w:val="18"/>
                <w:szCs w:val="18"/>
                <w:b w:val="1"/>
                <w:bCs w:val="1"/>
                <w:color w:val="auto"/>
              </w:rPr>
              <w:t>Net increase in cash and due from banks</w:t>
            </w:r>
          </w:p>
        </w:tc>
        <w:tc>
          <w:tcPr>
            <w:tcW w:w="260" w:type="dxa"/>
            <w:vAlign w:val="bottom"/>
            <w:gridSpan w:val="2"/>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1,680</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89,498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due from banks, beginning</w:t>
            </w:r>
          </w:p>
        </w:tc>
        <w:tc>
          <w:tcPr>
            <w:tcW w:w="5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319,280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Cash and due from banks, ending</w:t>
            </w:r>
          </w:p>
        </w:tc>
        <w:tc>
          <w:tcPr>
            <w:tcW w:w="260" w:type="dxa"/>
            <w:vAlign w:val="bottom"/>
            <w:gridSpan w:val="2"/>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320,960</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428,936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payments for:</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5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1,591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5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5,200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real estate acquired in settlement of loans</w:t>
            </w:r>
          </w:p>
        </w:tc>
        <w:tc>
          <w:tcPr>
            <w:tcW w:w="5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-3792220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-3792220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accompanying unaudited Consolidated Interim Financial Statements of First Busey Corporation (“First Busey” or the “Company”), a Nevada corporation, have been prepared pursuant to the rules and regulations of the Securities and Exchange Commission (the “SEC”) for Quarterly Reports on Form 10-Q and do not include certain information and footnote disclosures required by U.S. generally accepted accounting principles (“GAAP”) for complete annual financial statements. Accordingly, these financial statements should be read in conjunction with the Company’s Annual Report on Form 10-K for the year ended December 31, 2015.</w:t>
      </w:r>
    </w:p>
    <w:p>
      <w:pPr>
        <w:spacing w:after="0" w:line="18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May 20, 2015, at the Company’s Annual Meeting of Stockholders, the Company’s stockholders approved a resolution to authorize the board of directors to implement a reverse stock split of the Company’s common stock at a ratio of one-for-three (the “Reverse Stock Split”). On August 17, 2015, the board of directors authorized the Reverse Stock Split, which became effective on September 8, 2015. All share and per share information has been restated for all prior periods presented in this Quarterly Report on Form 10-Q to give retroactive effect to the Reverse Stock Split.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accompanying Consolidated Balance Sheet as of December 31, 2015, which has been derived from audited financial statements, and the unaudited Consolidated Interim Financial Statements have been prepared in accordance with GAAP and reflect all adjustments that are, in the opinion of management, necessary for the fair presentation of the financial position and results of operations as of the dates and for the periods presented. All such adjustments are of a normal recurring nature. The results of operations for the three months ended March 31, 2016 are not necessarily indicative of the results that may be expected for the year ending December 31, 2016.</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material intercompany transactions and balances have been eliminated in consolidation. Certain prior-year amounts have been reclassified to conform to the current presentation with no effect on net income or stockholders’ equity.</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preparing the accompanying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which are particularly susceptible to significant change in the near term relate to the fair value of investment securities and the determination of the allowance for loan losses.</w:t>
      </w:r>
    </w:p>
    <w:p>
      <w:pPr>
        <w:sectPr>
          <w:pgSz w:w="11900" w:h="16838" w:orient="portrait"/>
          <w:cols w:equalWidth="0" w:num="1">
            <w:col w:w="11460"/>
          </w:cols>
          <w:pgMar w:left="240" w:top="125" w:right="199" w:bottom="0" w:gutter="0" w:footer="0" w:header="0"/>
        </w:sectPr>
      </w:pPr>
    </w:p>
    <w:bookmarkStart w:id="5" w:name="page6"/>
    <w:bookmarkEnd w:id="5"/>
    <w:p>
      <w:pPr>
        <w:ind w:right="20"/>
        <w:spacing w:after="0" w:line="264" w:lineRule="auto"/>
        <w:rPr>
          <w:sz w:val="20"/>
          <w:szCs w:val="20"/>
          <w:color w:val="auto"/>
        </w:rPr>
      </w:pPr>
      <w:r>
        <w:rPr>
          <w:rFonts w:ascii="Arial" w:cs="Arial" w:eastAsia="Arial" w:hAnsi="Arial"/>
          <w:sz w:val="18"/>
          <w:szCs w:val="18"/>
          <w:color w:val="auto"/>
        </w:rPr>
        <w:t>Effective January 1, 2016, the Company elected to account for all loans held for sale at fair value. Prior to this change, the Company accounted for loans held for sale at the lower of cost or fair value. In the first quarter of 2016, this change did not have a material impact to results. See Note 14 - Fair Value Measurements for further discussion.</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evaluated subsequent events for potential recognition and/or disclosure through the date the Consolidated Financial Statements included in this Quarterly Report on Form 10-Q were issued. On April 30, 2016, First Busey completed the merger with Pulaski Financial Corp., a Missouri corporation (“Pulaski”). The financial results of Pulaski are not recognized in this Form 10-Q. See Note 2 — Acquisitions for further discussion. Other than the completion of the Pulaski merger, there were no significant subsequent events for the quarter ended March 31, 2016 through the issuance date of these Consolidated Financial Statements that warranted adjustment to or disclosure in the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Pulaski Financial Corp.</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April 30, 2016, First Busey completed the acquisition of Pulaski. It is anticipated that Pulaski Bank, National Association, which was Pulaski’s wholly owned bank subsidiary prior to the merger (“Pulaski Bank”), will be merged with and into Busey Bank in the fourth quarter of 2016, subject to regulatory approval. At the time of the bank merger, Pulaski Bank’s branches will become branches of Busey Bank. Pulaski Bank offers a full line of quality retail and commercial banking products through thirteen full-service branch offices in the St. Louis metropolitan area. Pulaski Bank also offers mortgage loan products through loan production offices in the St. Louis, Kansas City, Chicago, and Omaha-Council Bluffs metropolitan areas and other locations across the Midwest.</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terms of the definitive agreement, at the effective time of the merger, each share of Pulaski common stock issued and outstanding as of the effective time was converted into and constituted the right to receive 0.79 shares of Busey common stock and cash in lieu of fractional shares. The market value of the shares of Busey common stock issuable at the effective time of the merger was approximately $193.1 million based on Busey’s closing stock price of $20.44 on April 29, 2016.</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merger with Pulaski allows the Company to significantly expand its geographic presence through a premier St. Louis banking franchise with an almost 100-year history and a strong regional mortgage presence. In addition, this transaction is strategically compelling and financially attractive. This acquisition creates a Midwest community bank with greater scale and operating efficiency, along with geographic and balance sheet diversification. It also provides cross-sale opportunities with our Wealth Management operating segment. Pulaski has a deep and experienced management team to assist in post-merger integration and market expansion, and a similar culture to First Busey which will facilitate a successful integration process. By acquiring organizations with a similar philosophy in markets which complement the Company’s existing customer base, First Busey intends to expand its franchise through balanced, integrated growth strategies that generate value.</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transaction will be accounted for using the acquisition method of accounting and, accordingly, assets acquired, liabilities assumed, and consideration exchanged will be recorded at estimated fair values on the date of acquisition. Fair value assessments are incomplete as of the filing date of this Form 10-Q. Fair values are subject to refinement for up to one year after the closing date of April 30, 2016. This acquisition is a subsequent event and the financial results of Pulaski are not recognized in this Form 10-Q.</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first quarter of 2016, First Busey incurred $0.2 million of acquisition expenses related to the acquisition of Pulaski, comprised primarily of legal and consulting costs. As of March 31, 2016, Pulaski had total consolidated assets of $1.64 billion, total loans of $1.41 billion and total deposits of $1.25 billion.</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table provides the unaudited pro forma information for the results of operations for the three months ended March 31, 2016 and 2015, as if the acquisition had occurred January 1, 2015. The pro forma results combine the historical results of Pulaski into the Company’s Consolidated Statements of Income, including the impact of estimated purchase accounting adjustments including loan discount accretion, intangible assets amortization, deposit, borrowing and trust preferred securities premium accretion and premises accretion, net of taxes. Actual purchase accounting adjustments are incomplete as of the filing date of this Form 10-Q. The pro forma results have been prepared for comparative purposes only and are not necessarily indicative of the results that would have been obtained had the acquisition actually occurred on January 1 of each year. No assumptions have been applied to the pro forma results of operations regarding possible revenue enhancements, expense efficiencies or asset dispositions. Only the merger related expenses that have been recognized are included in net income in the table below.</w:t>
      </w:r>
    </w:p>
    <w:p>
      <w:pPr>
        <w:spacing w:after="0" w:line="171"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Pro Forma</w:t>
      </w:r>
    </w:p>
    <w:p>
      <w:pPr>
        <w:jc w:val="center"/>
        <w:ind w:left="7500"/>
        <w:spacing w:after="0" w:line="236" w:lineRule="auto"/>
        <w:rPr>
          <w:sz w:val="20"/>
          <w:szCs w:val="20"/>
          <w:color w:val="auto"/>
        </w:rPr>
      </w:pPr>
      <w:r>
        <w:rPr>
          <w:rFonts w:ascii="Arial" w:cs="Arial" w:eastAsia="Arial" w:hAnsi="Arial"/>
          <w:sz w:val="14"/>
          <w:szCs w:val="14"/>
          <w:b w:val="1"/>
          <w:bCs w:val="1"/>
          <w:color w:val="auto"/>
        </w:rPr>
        <w:t>Three Months 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63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29"/>
        </w:trPr>
        <w:tc>
          <w:tcPr>
            <w:tcW w:w="5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w w:val="95"/>
              </w:rPr>
              <w:t>(dollars in thousands)</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interest income plus other income)</w:t>
            </w:r>
          </w:p>
        </w:tc>
        <w:tc>
          <w:tcPr>
            <w:tcW w:w="292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61,025</w:t>
            </w:r>
          </w:p>
        </w:tc>
        <w:tc>
          <w:tcPr>
            <w:tcW w:w="6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58,311</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13,400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11,439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Herget Financial Corp.</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2015, First Busey acquired Herget Financial Corp. (“Herget Financial”), headquartered in Pekin, Illinois and its wholly owned bank subsidiary, Herget Bank, National Association (“Herget Bank”). First Busey operated Herget Bank as a separate banking subsidiary from January 9, 2015 until</w:t>
      </w:r>
    </w:p>
    <w:p>
      <w:pPr>
        <w:ind w:right="260"/>
        <w:spacing w:after="0" w:line="255" w:lineRule="auto"/>
        <w:rPr>
          <w:sz w:val="20"/>
          <w:szCs w:val="20"/>
          <w:color w:val="auto"/>
        </w:rPr>
      </w:pPr>
      <w:r>
        <w:rPr>
          <w:rFonts w:ascii="Arial" w:cs="Arial" w:eastAsia="Arial" w:hAnsi="Arial"/>
          <w:sz w:val="18"/>
          <w:szCs w:val="18"/>
          <w:color w:val="auto"/>
        </w:rPr>
        <w:t>March 13, 2015, when it was merged with and into Busey Bank, the Company’s wholly owned bank subsidiary. At that time, Herget Bank’s branches in Pekin, Illinois became branches of Busey Bank. The operating results of Herget Financial are included with the Company’s results of operations since the date of acquisition.</w:t>
      </w:r>
    </w:p>
    <w:p>
      <w:pPr>
        <w:spacing w:after="0" w:line="190"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The acquisition of Herget Financial allowed First Busey to further increase its presence in the Pekin and greater Peoria market. Additionally, Herget Financial held a dominant deposit market position in its community and offered trust, estate and asset management services, as well as competitive commercial loan and mortgage offerings, all of which complement First Busey’s offerings. First Busey acquired 100% of Herget Financial’s outstanding common stock for aggregate cash consideration of $34.1 million, which was funded through internal sources. Each holder of Herget Financial common</w:t>
      </w:r>
    </w:p>
    <w:p>
      <w:pPr>
        <w:sectPr>
          <w:pgSz w:w="11900" w:h="16838" w:orient="portrait"/>
          <w:cols w:equalWidth="0" w:num="1">
            <w:col w:w="11420"/>
          </w:cols>
          <w:pgMar w:left="240" w:top="125" w:right="239" w:bottom="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stock received $588.00 per share in cash.</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Expenses related to the acquisition of Herget Financial for the first quarter of 2016 were insignificant. During the first quarter of 2015, expenses related to the acquisition of Herget Financial totaled $1.0 million. The 2015 expenses were comprised primarily of system conversion, restructuring, legal, consulting, regulatory and marketing costs, all of which are reported as a component of other expense in the accompanying unaudited Consolidated Interim Financial Statements.</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were recorded at estimated fair values on the date of acquisition. Fair values were subject to refinement for up to one year after the closing date of January 8, 2015 as additional information regarding the closing date fair values became available; however, the Company did not make any adjustments.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an assessment of Herget Financial’s assets purchased and liabilities assumed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46,214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Securities</w:t>
            </w:r>
          </w:p>
        </w:tc>
        <w:tc>
          <w:tcPr>
            <w:tcW w:w="3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111,760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Loans</w:t>
            </w:r>
          </w:p>
        </w:tc>
        <w:tc>
          <w:tcPr>
            <w:tcW w:w="3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105,207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Goodwill</w:t>
            </w:r>
          </w:p>
        </w:tc>
        <w:tc>
          <w:tcPr>
            <w:tcW w:w="3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4,824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assets</w:t>
            </w:r>
          </w:p>
        </w:tc>
        <w:tc>
          <w:tcPr>
            <w:tcW w:w="3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2,931</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241,901</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Other liabilities</w:t>
            </w:r>
          </w:p>
        </w:tc>
        <w:tc>
          <w:tcPr>
            <w:tcW w:w="3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2,839</w:t>
            </w:r>
          </w:p>
        </w:tc>
      </w:tr>
    </w:tbl>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The loans acquired in this transaction were recorded at fair value with no carryover of any existing allowance for loan losses. Loans that were not deemed to be credit impaired at acquisition were accounted for under FASB ASC 310-20, </w:t>
      </w:r>
      <w:r>
        <w:rPr>
          <w:rFonts w:ascii="Arial" w:cs="Arial" w:eastAsia="Arial" w:hAnsi="Arial"/>
          <w:sz w:val="17"/>
          <w:szCs w:val="17"/>
          <w:i w:val="1"/>
          <w:iCs w:val="1"/>
          <w:color w:val="auto"/>
        </w:rPr>
        <w:t>Receivables-Nonrefundable Fees and Other Costs</w:t>
      </w:r>
      <w:r>
        <w:rPr>
          <w:rFonts w:ascii="Arial" w:cs="Arial" w:eastAsia="Arial" w:hAnsi="Arial"/>
          <w:sz w:val="17"/>
          <w:szCs w:val="17"/>
          <w:color w:val="auto"/>
        </w:rPr>
        <w:t xml:space="preserve"> and were subsequently considered as part of the Company’s determination for the adequacy of the allowance for loan losses. PCI loans, loans with evidence of credit quality deterioration, were accounted for under FASB ASC 310-30, </w:t>
      </w:r>
      <w:r>
        <w:rPr>
          <w:rFonts w:ascii="Arial" w:cs="Arial" w:eastAsia="Arial" w:hAnsi="Arial"/>
          <w:sz w:val="17"/>
          <w:szCs w:val="17"/>
          <w:i w:val="1"/>
          <w:iCs w:val="1"/>
          <w:color w:val="auto"/>
        </w:rPr>
        <w:t>Receivables — Loans and Debt Securities Acquired with Deteriorated Credit Quality</w:t>
      </w:r>
      <w:r>
        <w:rPr>
          <w:rFonts w:ascii="Arial" w:cs="Arial" w:eastAsia="Arial" w:hAnsi="Arial"/>
          <w:sz w:val="17"/>
          <w:szCs w:val="17"/>
          <w:color w:val="auto"/>
        </w:rPr>
        <w:t>. The fair value of the acquired performing loans totaled $103.7 million and the fair value of the PCI loans totaled $1.5 million. The other intangible assets acquired in this transaction will be amortized using an accelerated method over 10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Accounting Standards Update (“ASU”) 2014-09, “Revenue from Contracts with Customers (Topic 606).” </w:t>
      </w:r>
      <w:r>
        <w:rPr>
          <w:rFonts w:ascii="Arial" w:cs="Arial" w:eastAsia="Arial" w:hAnsi="Arial"/>
          <w:sz w:val="16"/>
          <w:szCs w:val="16"/>
          <w:color w:val="auto"/>
        </w:rPr>
        <w:t>ASU 2014-09 outlines a single model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to use in accounting for revenue 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was originally effective for reporting periods after December 15, 2016. In August 2015, </w:t>
      </w:r>
      <w:r>
        <w:rPr>
          <w:rFonts w:ascii="Arial" w:cs="Arial" w:eastAsia="Arial" w:hAnsi="Arial"/>
          <w:sz w:val="16"/>
          <w:szCs w:val="16"/>
          <w:i w:val="1"/>
          <w:iCs w:val="1"/>
          <w:color w:val="auto"/>
        </w:rPr>
        <w:t>ASU 2015-14, “Revenue from Contracts with Customers (Topic 606)”</w:t>
      </w:r>
      <w:r>
        <w:rPr>
          <w:rFonts w:ascii="Arial" w:cs="Arial" w:eastAsia="Arial" w:hAnsi="Arial"/>
          <w:sz w:val="16"/>
          <w:szCs w:val="16"/>
          <w:color w:val="auto"/>
        </w:rPr>
        <w:t xml:space="preserve"> was issued to delay the effective date of ASU 2014-09 by one year. The Company is evaluating the impact this guidance will have on its Consolidated Financial Statements and related disclosures.</w:t>
      </w:r>
    </w:p>
    <w:p>
      <w:pPr>
        <w:spacing w:after="0" w:line="16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 xml:space="preserve">ASU 2016-01, “Financial Instruments — Overall (Subtopic 825-10): Recognition and Measurement of Financial Assets and Financial Liabilities.” </w:t>
      </w:r>
      <w:r>
        <w:rPr>
          <w:rFonts w:ascii="Arial" w:cs="Arial" w:eastAsia="Arial" w:hAnsi="Arial"/>
          <w:sz w:val="18"/>
          <w:szCs w:val="18"/>
          <w:color w:val="auto"/>
        </w:rPr>
        <w:t>ASU 2016-01 is intended to improve the recognition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measurement of financial instruments by, among other things, requiring: equity investments, with certain exceptions, to be measured at fair value with changes in fair value recognized in net income; public business entities to use the exit price notion when measuring the fair value of financial instruments for disclosure purposes; separate presentation of financial assets and financial liabilities by measurement category and form of financial assets on the balance sheet or the accompanying notes to the financial statements; eliminating the requirement for public business entities to disclose the method and significant assumptions used to estimate the fair value that is to be required to be disclosed for financial instruments measured at amortized cost on the balance sheet; and requiring an entity to present separately in other comprehensive income the portion of the total change in fair value of a liability resulting from the change in the instrument-specific credit risk when the organization has elected to measure the liability at fair value in accordance with the fair value option for financial instruments. ASU 2016-01 will be effective on January 1, 2018 and the Company is evaluating the impact this guidance will have on its Consolidated Financial Statements and related disclosures.</w:t>
      </w:r>
    </w:p>
    <w:p>
      <w:pPr>
        <w:spacing w:after="0" w:line="18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ASU 2016-02, “Leases (Topic 842).” </w:t>
      </w:r>
      <w:r>
        <w:rPr>
          <w:rFonts w:ascii="Arial" w:cs="Arial" w:eastAsia="Arial" w:hAnsi="Arial"/>
          <w:sz w:val="17"/>
          <w:szCs w:val="17"/>
          <w:color w:val="auto"/>
        </w:rPr>
        <w:t>ASU 2016-02 intends to increase transparency and comparability among organizations by recognizing all lease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terms in excess of 12 months) on the balance sheet as a lease liability and a right-of-use asset. The guidance also requires qualitative and quantitative disclosures designed to assess the amount, timing and uncertainty of cash flows arising from leases. This guidance is effective for annual reporting periods beginning after December 15, 2018, including interim periods within those fiscal years. Upon adoption, the lessee will apply the new standard retrospectively to all periods presented or retrospectively using a cumulative effect adjustment in the year of adoption. The Company is evaluating the impact this guidance will have on its Consolidated Financial Statements and related disclosures.</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ASU </w:t>
      </w:r>
      <w:r>
        <w:rPr>
          <w:rFonts w:ascii="Arial" w:cs="Arial" w:eastAsia="Arial" w:hAnsi="Arial"/>
          <w:sz w:val="17"/>
          <w:szCs w:val="17"/>
          <w:i w:val="1"/>
          <w:iCs w:val="1"/>
          <w:color w:val="auto"/>
        </w:rPr>
        <w:t>2016-09, “Compensation -</w:t>
      </w:r>
      <w:r>
        <w:rPr>
          <w:rFonts w:ascii="Arial" w:cs="Arial" w:eastAsia="Arial" w:hAnsi="Arial"/>
          <w:sz w:val="18"/>
          <w:szCs w:val="18"/>
          <w:i w:val="1"/>
          <w:iCs w:val="1"/>
          <w:color w:val="auto"/>
        </w:rPr>
        <w:t xml:space="preserve"> Stock Compensation (Topic 718): Improvements to Employee Share-Based Payment Accounting.” </w:t>
      </w:r>
      <w:r>
        <w:rPr>
          <w:rFonts w:ascii="Arial" w:cs="Arial" w:eastAsia="Arial" w:hAnsi="Arial"/>
          <w:sz w:val="18"/>
          <w:szCs w:val="18"/>
          <w:color w:val="auto"/>
        </w:rPr>
        <w:t>ASU 2016-09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simplify several aspects of the accounting for share-based payment transactions, including the income tax consequences, classification of awards as either equity or liabilities and classification on the statement of cash flows. This guidance is effective for reporting periods after December 15, 2016, and interim periods within those fiscal years. The Company is evaluating the impact this guidance will have on its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Securities are classified as held to maturity when First Busey has the ability and management has the intent to hold those securities to maturity. Accordingly, they are stated at cost, adjusted for amortization of premiums and accretion of discounts. Securities are classified as available for sale when First Busey may</w:t>
      </w:r>
    </w:p>
    <w:p>
      <w:pPr>
        <w:sectPr>
          <w:pgSz w:w="11900" w:h="16935" w:orient="portrait"/>
          <w:cols w:equalWidth="0" w:num="1">
            <w:col w:w="11420"/>
          </w:cols>
          <w:pgMar w:left="240" w:top="584" w:right="239" w:bottom="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decide to sell those securities due to changes in market interest rates, liquidity needs, changes in yields on alternative investments, and for other reasons.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are carried at fair value with unrealized gains and losses, net of taxes, reported in other comprehensive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fair values of securities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right"/>
              <w:ind w:right="10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March 31, 2016:</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64,943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110,103</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274,423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279,462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rPr>
              <w:t>Total debt securities</w:t>
            </w: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765,603</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775,715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768,235</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778,770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Commercial mortgage-backed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73"/>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gridSpan w:val="2"/>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right"/>
              <w:ind w:right="10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December 31, 2015:</w:t>
            </w:r>
          </w:p>
        </w:tc>
        <w:tc>
          <w:tcPr>
            <w:tcW w:w="3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65,003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132,547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304,978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307,549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3"/>
          </w:tcPr>
          <w:p>
            <w:pPr>
              <w:ind w:left="160"/>
              <w:spacing w:after="0"/>
              <w:rPr>
                <w:sz w:val="20"/>
                <w:szCs w:val="20"/>
                <w:color w:val="auto"/>
              </w:rPr>
            </w:pPr>
            <w:r>
              <w:rPr>
                <w:rFonts w:ascii="Arial" w:cs="Arial" w:eastAsia="Arial" w:hAnsi="Arial"/>
                <w:sz w:val="18"/>
                <w:szCs w:val="18"/>
                <w:color w:val="auto"/>
              </w:rPr>
              <w:t>Total debt securities</w:t>
            </w: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829,293</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832,762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830,935</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834,838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Commercial mortgage-backed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-2917190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-2917190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amortized cost and fair value of debt securities as of March 31, 2016, by contractual maturity or pre-refunded date, are shown below. Mutual funds and other equity securities do not have stated maturity dates and therefore are not included in the following maturity summary. Mortgages underlying mortgage-backed securities may be called or prepaid; therefore, actual maturities could differ from the contractual maturities. All mortgage-backed securities were issued by U.S. government agencies and corporations.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ind w:left="760"/>
              <w:spacing w:after="0"/>
              <w:rPr>
                <w:sz w:val="20"/>
                <w:szCs w:val="20"/>
                <w:color w:val="auto"/>
              </w:rPr>
            </w:pPr>
            <w:r>
              <w:rPr>
                <w:rFonts w:ascii="Arial" w:cs="Arial" w:eastAsia="Arial" w:hAnsi="Arial"/>
                <w:sz w:val="14"/>
                <w:szCs w:val="14"/>
                <w:b w:val="1"/>
                <w:bCs w:val="1"/>
                <w:color w:val="auto"/>
              </w:rPr>
              <w:t>Available for sale</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7"/>
          </w:tcPr>
          <w:p>
            <w:pPr>
              <w:jc w:val="center"/>
              <w:ind w:right="920"/>
              <w:spacing w:after="0"/>
              <w:rPr>
                <w:sz w:val="20"/>
                <w:szCs w:val="20"/>
                <w:color w:val="auto"/>
              </w:rPr>
            </w:pPr>
            <w:r>
              <w:rPr>
                <w:rFonts w:ascii="Arial" w:cs="Arial" w:eastAsia="Arial" w:hAnsi="Arial"/>
                <w:sz w:val="14"/>
                <w:szCs w:val="14"/>
                <w:b w:val="1"/>
                <w:bCs w:val="1"/>
                <w:color w:val="auto"/>
                <w:w w:val="97"/>
              </w:rPr>
              <w:t>Held to maturity</w:t>
            </w:r>
          </w:p>
        </w:tc>
      </w:tr>
      <w:tr>
        <w:trPr>
          <w:trHeight w:val="119"/>
        </w:trPr>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Amortized</w:t>
            </w:r>
          </w:p>
        </w:tc>
        <w:tc>
          <w:tcPr>
            <w:tcW w:w="5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482"/>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1640" w:type="dxa"/>
            <w:vAlign w:val="bottom"/>
            <w:tcBorders>
              <w:top w:val="single" w:sz="8" w:color="auto"/>
            </w:tcBorders>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1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11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rPr>
              <w:t>Value</w:t>
            </w:r>
          </w:p>
        </w:tc>
      </w:tr>
      <w:tr>
        <w:trPr>
          <w:trHeight w:val="142"/>
        </w:trPr>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115,587</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116,007</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86"/>
              </w:rPr>
              <w:t>349,857</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353,183</w:t>
            </w:r>
          </w:p>
        </w:tc>
        <w:tc>
          <w:tcPr>
            <w:tcW w:w="54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18,508</w:t>
            </w:r>
          </w:p>
        </w:tc>
        <w:tc>
          <w:tcPr>
            <w:tcW w:w="22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18,730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71,454</w:t>
            </w:r>
          </w:p>
        </w:tc>
        <w:tc>
          <w:tcPr>
            <w:tcW w:w="5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74,005</w:t>
            </w:r>
          </w:p>
        </w:tc>
        <w:tc>
          <w:tcPr>
            <w:tcW w:w="5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25,300</w:t>
            </w: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25,937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Due after ten years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86"/>
              </w:rPr>
              <w:t>228,705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232,520</w:t>
            </w:r>
          </w:p>
        </w:tc>
        <w:tc>
          <w:tcPr>
            <w:tcW w:w="54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3,643</w:t>
            </w: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765,603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775,715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180" w:type="dxa"/>
            <w:vAlign w:val="bottom"/>
            <w:gridSpan w:val="6"/>
          </w:tcPr>
          <w:p>
            <w:pPr>
              <w:spacing w:after="0"/>
              <w:rPr>
                <w:sz w:val="20"/>
                <w:szCs w:val="20"/>
                <w:color w:val="auto"/>
              </w:rPr>
            </w:pPr>
            <w:r>
              <w:rPr>
                <w:rFonts w:ascii="Arial" w:cs="Arial" w:eastAsia="Arial" w:hAnsi="Arial"/>
                <w:sz w:val="18"/>
                <w:szCs w:val="18"/>
                <w:color w:val="auto"/>
                <w:w w:val="89"/>
              </w:rPr>
              <w:t>Realized gains and losses related to sales of securities available for sale are summarized as follows:</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tcBorders>
              <w:bottom w:val="single" w:sz="8" w:color="auto"/>
            </w:tcBorders>
            <w:gridSpan w:val="7"/>
          </w:tcPr>
          <w:p>
            <w:pPr>
              <w:jc w:val="center"/>
              <w:ind w:left="222"/>
              <w:spacing w:after="0"/>
              <w:rPr>
                <w:sz w:val="20"/>
                <w:szCs w:val="20"/>
                <w:color w:val="auto"/>
              </w:rPr>
            </w:pPr>
            <w:r>
              <w:rPr>
                <w:rFonts w:ascii="Arial" w:cs="Arial" w:eastAsia="Arial" w:hAnsi="Arial"/>
                <w:sz w:val="14"/>
                <w:szCs w:val="14"/>
                <w:b w:val="1"/>
                <w:bCs w:val="1"/>
                <w:color w:val="auto"/>
                <w:w w:val="95"/>
              </w:rPr>
              <w:t>Three Months Ended March 31,</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2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Gross security (losses)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34"/>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18"/>
                <w:szCs w:val="18"/>
                <w:color w:val="auto"/>
              </w:rPr>
            </w:pP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6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130" w:gutter="0" w:footer="0" w:header="0"/>
        </w:sectPr>
      </w:pPr>
    </w:p>
    <w:bookmarkStart w:id="8" w:name="page9"/>
    <w:bookmarkEnd w:id="8"/>
    <w:p>
      <w:pPr>
        <w:ind w:right="420"/>
        <w:spacing w:after="0" w:line="277" w:lineRule="auto"/>
        <w:rPr>
          <w:sz w:val="20"/>
          <w:szCs w:val="20"/>
          <w:color w:val="auto"/>
        </w:rPr>
      </w:pPr>
      <w:r>
        <w:rPr>
          <w:rFonts w:ascii="Arial" w:cs="Arial" w:eastAsia="Arial" w:hAnsi="Arial"/>
          <w:sz w:val="18"/>
          <w:szCs w:val="18"/>
          <w:color w:val="auto"/>
        </w:rPr>
        <w:t>The tax provision for the net realized gains and losses was $0.4 million for the three months ended March 31, 2016 and insignificant for the three months ended March 31, 2015.</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Investment securities with carrying amounts of $584.4 million and $627.4 million on March 31, 2016 and December 31, 2015,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pertaining to securities with gross unrealized losses at March 31, 2016 and December 31, 2015 aggregated by investment category and length of time that individual securities have been in a continuous loss position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2"/>
              </w:rPr>
              <w:t>Continuous unrealized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losses existing for</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losses existing for less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greater than 12</w:t>
            </w:r>
          </w:p>
        </w:tc>
        <w:tc>
          <w:tcPr>
            <w:tcW w:w="240" w:type="dxa"/>
            <w:vAlign w:val="bottom"/>
          </w:tcPr>
          <w:p>
            <w:pPr>
              <w:spacing w:after="0"/>
              <w:rPr>
                <w:sz w:val="12"/>
                <w:szCs w:val="12"/>
                <w:color w:val="auto"/>
              </w:rPr>
            </w:pPr>
          </w:p>
        </w:tc>
        <w:tc>
          <w:tcPr>
            <w:tcW w:w="2360" w:type="dxa"/>
            <w:vAlign w:val="bottom"/>
            <w:gridSpan w:val="7"/>
            <w:vMerge w:val="restart"/>
          </w:tcPr>
          <w:p>
            <w:pPr>
              <w:jc w:val="right"/>
              <w:ind w:right="1000"/>
              <w:spacing w:after="0"/>
              <w:rPr>
                <w:sz w:val="20"/>
                <w:szCs w:val="20"/>
                <w:color w:val="auto"/>
              </w:rPr>
            </w:pPr>
            <w:r>
              <w:rPr>
                <w:rFonts w:ascii="Arial" w:cs="Arial" w:eastAsia="Arial" w:hAnsi="Arial"/>
                <w:sz w:val="14"/>
                <w:szCs w:val="14"/>
                <w:b w:val="1"/>
                <w:bCs w:val="1"/>
                <w:color w:val="auto"/>
              </w:rPr>
              <w:t>Total, gross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than 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7"/>
              </w:rPr>
              <w:t>months, gross</w:t>
            </w:r>
          </w:p>
        </w:tc>
        <w:tc>
          <w:tcPr>
            <w:tcW w:w="240" w:type="dxa"/>
            <w:vAlign w:val="bottom"/>
          </w:tcPr>
          <w:p>
            <w:pPr>
              <w:spacing w:after="0"/>
              <w:rPr>
                <w:sz w:val="14"/>
                <w:szCs w:val="14"/>
                <w:color w:val="auto"/>
              </w:rPr>
            </w:pPr>
          </w:p>
        </w:tc>
        <w:tc>
          <w:tcPr>
            <w:tcW w:w="236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5"/>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March 31, 2016:</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5,215</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1,608</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28,896</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2,629</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gridSpan w:val="6"/>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2"/>
              </w:rPr>
              <w:t>Continuous unrealized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losses existing for</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losses existing for less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greater than 12</w:t>
            </w:r>
          </w:p>
        </w:tc>
        <w:tc>
          <w:tcPr>
            <w:tcW w:w="240" w:type="dxa"/>
            <w:vAlign w:val="bottom"/>
          </w:tcPr>
          <w:p>
            <w:pPr>
              <w:spacing w:after="0"/>
              <w:rPr>
                <w:sz w:val="12"/>
                <w:szCs w:val="12"/>
                <w:color w:val="auto"/>
              </w:rPr>
            </w:pPr>
          </w:p>
        </w:tc>
        <w:tc>
          <w:tcPr>
            <w:tcW w:w="2360" w:type="dxa"/>
            <w:vAlign w:val="bottom"/>
            <w:gridSpan w:val="7"/>
            <w:vMerge w:val="restart"/>
          </w:tcPr>
          <w:p>
            <w:pPr>
              <w:jc w:val="right"/>
              <w:ind w:right="1000"/>
              <w:spacing w:after="0"/>
              <w:rPr>
                <w:sz w:val="20"/>
                <w:szCs w:val="20"/>
                <w:color w:val="auto"/>
              </w:rPr>
            </w:pPr>
            <w:r>
              <w:rPr>
                <w:rFonts w:ascii="Arial" w:cs="Arial" w:eastAsia="Arial" w:hAnsi="Arial"/>
                <w:sz w:val="14"/>
                <w:szCs w:val="14"/>
                <w:b w:val="1"/>
                <w:bCs w:val="1"/>
                <w:color w:val="auto"/>
              </w:rPr>
              <w:t>Total, gross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than 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7"/>
              </w:rPr>
              <w:t>months, gross</w:t>
            </w:r>
          </w:p>
        </w:tc>
        <w:tc>
          <w:tcPr>
            <w:tcW w:w="240" w:type="dxa"/>
            <w:vAlign w:val="bottom"/>
          </w:tcPr>
          <w:p>
            <w:pPr>
              <w:spacing w:after="0"/>
              <w:rPr>
                <w:sz w:val="14"/>
                <w:szCs w:val="14"/>
                <w:color w:val="auto"/>
              </w:rPr>
            </w:pPr>
          </w:p>
        </w:tc>
        <w:tc>
          <w:tcPr>
            <w:tcW w:w="236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5"/>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December 31, 2015:</w:t>
            </w:r>
          </w:p>
        </w:tc>
        <w:tc>
          <w:tcPr>
            <w:tcW w:w="1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52,154</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52,154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40,026</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51,445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93,608</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93,608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99,148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285,300</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296,719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gridSpan w:val="2"/>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8,542</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-3200400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-3200400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(1)Unrealized losses existing for greater than 12 months, gross, was less than one thousand dollars.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Securities are periodically evaluated for other-than-temporary impairment (“OTTI”). The total number of securities in the investment portfolio in an unrealized loss position as of March 31, 2016 was 29, and represented a loss of 1.23% of the aggregate carrying value. As of March 31, 2016, the Company does not intend to sell the securities in the table above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OTTI at March 31, 2016.</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had available for sale obligations of state and political subdivisions with a fair value of $169.2 million and $178.6 million as of March 31, 2016 and December 31, 2015, respectively. In addition, the Company had held to maturity obligations of state and political subdivisions with a fair value of $49.0 million and $49.3 million as of March 31, 2016 and December 31, 2015, respectively.</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March 31, 2016, the fair value of the Company’s obligations of state and political subdivisions portfolio was comprised of $184.9 million of general obligation bonds and $33.3 million of revenue bonds issued by 264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15 states, including two states where the aggregate fair value exceeded $5.0 million.</w:t>
      </w:r>
    </w:p>
    <w:p>
      <w:pPr>
        <w:sectPr>
          <w:pgSz w:w="11900" w:h="16838" w:orient="portrait"/>
          <w:cols w:equalWidth="0" w:num="1">
            <w:col w:w="11460"/>
          </w:cols>
          <w:pgMar w:left="240" w:top="125" w:right="199" w:bottom="0" w:gutter="0" w:footer="0" w:header="0"/>
        </w:sectPr>
      </w:pPr>
    </w:p>
    <w:bookmarkStart w:id="9" w:name="page10"/>
    <w:bookmarkEnd w:id="9"/>
    <w:p>
      <w:pPr>
        <w:ind w:right="60"/>
        <w:spacing w:after="0" w:line="257" w:lineRule="auto"/>
        <w:rPr>
          <w:sz w:val="20"/>
          <w:szCs w:val="20"/>
          <w:color w:val="auto"/>
        </w:rPr>
      </w:pPr>
      <w:r>
        <w:rPr>
          <w:rFonts w:ascii="Arial" w:cs="Arial" w:eastAsia="Arial" w:hAnsi="Arial"/>
          <w:sz w:val="18"/>
          <w:szCs w:val="18"/>
          <w:color w:val="auto"/>
        </w:rPr>
        <w:t>As of December 31, 2015, the fair value of the Company’s obligations of state and political subdivisions portfolio was comprised of $193.4 million of general obligation bonds and $34.3 million of revenue bonds issued by 278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17 states, including two states where the aggregate fair value exceeded $5.0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values of the Company’s portfolio of general obligation bonds are summarized in the following tables by the issuers’ state: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auto"/>
                <w:w w:val="90"/>
              </w:rPr>
              <w:t>March 31, 2016:</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13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540" w:type="dxa"/>
            <w:vAlign w:val="bottom"/>
            <w:gridSpan w:val="2"/>
          </w:tcPr>
          <w:p>
            <w:pPr>
              <w:jc w:val="center"/>
              <w:ind w:right="400"/>
              <w:spacing w:after="0" w:line="125" w:lineRule="exact"/>
              <w:rPr>
                <w:sz w:val="20"/>
                <w:szCs w:val="20"/>
                <w:color w:val="auto"/>
              </w:rPr>
            </w:pPr>
            <w:r>
              <w:rPr>
                <w:rFonts w:ascii="Arial" w:cs="Arial" w:eastAsia="Arial" w:hAnsi="Arial"/>
                <w:sz w:val="14"/>
                <w:szCs w:val="14"/>
                <w:b w:val="1"/>
                <w:bCs w:val="1"/>
                <w:color w:val="auto"/>
                <w:w w:val="90"/>
              </w:rPr>
              <w:t>Exposure</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0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gridSpan w:val="5"/>
            <w:vMerge w:val="continue"/>
          </w:tcPr>
          <w:p>
            <w:pPr>
              <w:spacing w:after="0"/>
              <w:rPr>
                <w:sz w:val="14"/>
                <w:szCs w:val="14"/>
                <w:color w:val="auto"/>
              </w:rPr>
            </w:pPr>
          </w:p>
        </w:tc>
        <w:tc>
          <w:tcPr>
            <w:tcW w:w="132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Issuers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Illinois</w:t>
            </w:r>
          </w:p>
        </w:tc>
        <w:tc>
          <w:tcPr>
            <w:tcW w:w="1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62,146</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63,477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Wisconsin</w:t>
            </w:r>
          </w:p>
        </w:tc>
        <w:tc>
          <w:tcPr>
            <w:tcW w:w="1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26,795</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27,081</w:t>
            </w:r>
          </w:p>
        </w:tc>
        <w:tc>
          <w:tcPr>
            <w:tcW w:w="3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Michigan</w:t>
            </w:r>
          </w:p>
        </w:tc>
        <w:tc>
          <w:tcPr>
            <w:tcW w:w="1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27,872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28,446</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Pennsylvania</w:t>
            </w:r>
          </w:p>
        </w:tc>
        <w:tc>
          <w:tcPr>
            <w:tcW w:w="1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12,322</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12,418</w:t>
            </w:r>
          </w:p>
        </w:tc>
        <w:tc>
          <w:tcPr>
            <w:tcW w:w="3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Texas</w:t>
            </w:r>
          </w:p>
        </w:tc>
        <w:tc>
          <w:tcPr>
            <w:tcW w:w="1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11,703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11,867</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Ohio</w:t>
            </w:r>
          </w:p>
        </w:tc>
        <w:tc>
          <w:tcPr>
            <w:tcW w:w="1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10,702</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10,801</w:t>
            </w:r>
          </w:p>
        </w:tc>
        <w:tc>
          <w:tcPr>
            <w:tcW w:w="3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Iowa</w:t>
            </w:r>
          </w:p>
        </w:tc>
        <w:tc>
          <w:tcPr>
            <w:tcW w:w="1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5,588</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24,621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25,218</w:t>
            </w:r>
          </w:p>
        </w:tc>
        <w:tc>
          <w:tcPr>
            <w:tcW w:w="3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40" w:type="dxa"/>
            <w:vAlign w:val="bottom"/>
            <w:gridSpan w:val="4"/>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 general</w:t>
            </w: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0" w:type="dxa"/>
            <w:vAlign w:val="bottom"/>
          </w:tcPr>
          <w:p>
            <w:pPr>
              <w:spacing w:after="0"/>
              <w:rPr>
                <w:sz w:val="15"/>
                <w:szCs w:val="15"/>
                <w:color w:val="auto"/>
              </w:rPr>
            </w:pPr>
          </w:p>
        </w:tc>
        <w:tc>
          <w:tcPr>
            <w:tcW w:w="2040" w:type="dxa"/>
            <w:vAlign w:val="bottom"/>
            <w:gridSpan w:val="4"/>
            <w:vMerge w:val="continue"/>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181,710</w:t>
            </w:r>
          </w:p>
        </w:tc>
        <w:tc>
          <w:tcPr>
            <w:tcW w:w="74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184,896</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2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obligations bonds</w:t>
            </w:r>
          </w:p>
        </w:tc>
        <w:tc>
          <w:tcPr>
            <w:tcW w:w="13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494"/>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gridSpan w:val="2"/>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660" w:type="dxa"/>
            <w:vAlign w:val="bottom"/>
          </w:tcPr>
          <w:p>
            <w:pPr>
              <w:spacing w:after="0"/>
              <w:rPr>
                <w:sz w:val="24"/>
                <w:szCs w:val="2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8"/>
                <w:szCs w:val="18"/>
                <w:color w:val="auto"/>
                <w:w w:val="88"/>
              </w:rPr>
              <w:t>December 31, 2015: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1460" w:type="dxa"/>
            <w:vAlign w:val="bottom"/>
            <w:tcBorders>
              <w:bottom w:val="single" w:sz="8" w:color="auto"/>
            </w:tcBorders>
            <w:gridSpan w:val="2"/>
            <w:vMerge w:val="continue"/>
          </w:tcPr>
          <w:p>
            <w:pPr>
              <w:spacing w:after="0"/>
              <w:rPr>
                <w:sz w:val="11"/>
                <w:szCs w:val="11"/>
                <w:color w:val="auto"/>
              </w:rPr>
            </w:pPr>
          </w:p>
        </w:tc>
        <w:tc>
          <w:tcPr>
            <w:tcW w:w="580" w:type="dxa"/>
            <w:vAlign w:val="bottom"/>
            <w:gridSpan w:val="2"/>
          </w:tcPr>
          <w:p>
            <w:pPr>
              <w:spacing w:after="0"/>
              <w:rPr>
                <w:sz w:val="11"/>
                <w:szCs w:val="11"/>
                <w:color w:val="auto"/>
              </w:rPr>
            </w:pPr>
          </w:p>
        </w:tc>
        <w:tc>
          <w:tcPr>
            <w:tcW w:w="13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540" w:type="dxa"/>
            <w:vAlign w:val="bottom"/>
            <w:gridSpan w:val="2"/>
          </w:tcPr>
          <w:p>
            <w:pPr>
              <w:jc w:val="center"/>
              <w:ind w:right="400"/>
              <w:spacing w:after="0" w:line="125" w:lineRule="exact"/>
              <w:rPr>
                <w:sz w:val="20"/>
                <w:szCs w:val="20"/>
                <w:color w:val="auto"/>
              </w:rPr>
            </w:pPr>
            <w:r>
              <w:rPr>
                <w:rFonts w:ascii="Arial" w:cs="Arial" w:eastAsia="Arial" w:hAnsi="Arial"/>
                <w:sz w:val="14"/>
                <w:szCs w:val="14"/>
                <w:b w:val="1"/>
                <w:bCs w:val="1"/>
                <w:color w:val="auto"/>
                <w:w w:val="90"/>
              </w:rPr>
              <w:t>Exposure</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0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gridSpan w:val="5"/>
            <w:vMerge w:val="continue"/>
          </w:tcPr>
          <w:p>
            <w:pPr>
              <w:spacing w:after="0"/>
              <w:rPr>
                <w:sz w:val="14"/>
                <w:szCs w:val="14"/>
                <w:color w:val="auto"/>
              </w:rPr>
            </w:pPr>
          </w:p>
        </w:tc>
        <w:tc>
          <w:tcPr>
            <w:tcW w:w="132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Issuers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Illinois</w:t>
            </w:r>
          </w:p>
        </w:tc>
        <w:tc>
          <w:tcPr>
            <w:tcW w:w="1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64,455</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65,557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Wisconsin</w:t>
            </w:r>
          </w:p>
        </w:tc>
        <w:tc>
          <w:tcPr>
            <w:tcW w:w="1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30,889</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31,079</w:t>
            </w:r>
          </w:p>
        </w:tc>
        <w:tc>
          <w:tcPr>
            <w:tcW w:w="3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Michigan</w:t>
            </w:r>
          </w:p>
        </w:tc>
        <w:tc>
          <w:tcPr>
            <w:tcW w:w="1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27,923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28,339</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Pennsylvania</w:t>
            </w:r>
          </w:p>
        </w:tc>
        <w:tc>
          <w:tcPr>
            <w:tcW w:w="1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12,601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12,650</w:t>
            </w:r>
          </w:p>
        </w:tc>
        <w:tc>
          <w:tcPr>
            <w:tcW w:w="3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Texas</w:t>
            </w:r>
          </w:p>
        </w:tc>
        <w:tc>
          <w:tcPr>
            <w:tcW w:w="1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12,165</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Ohio</w:t>
            </w:r>
          </w:p>
        </w:tc>
        <w:tc>
          <w:tcPr>
            <w:tcW w:w="1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10,723</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10,705</w:t>
            </w:r>
          </w:p>
        </w:tc>
        <w:tc>
          <w:tcPr>
            <w:tcW w:w="3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Iowa</w:t>
            </w:r>
          </w:p>
        </w:tc>
        <w:tc>
          <w:tcPr>
            <w:tcW w:w="1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5,571</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26,938</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27,375</w:t>
            </w:r>
          </w:p>
        </w:tc>
        <w:tc>
          <w:tcPr>
            <w:tcW w:w="3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40" w:type="dxa"/>
            <w:vAlign w:val="bottom"/>
            <w:gridSpan w:val="4"/>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 general</w:t>
            </w: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0" w:type="dxa"/>
            <w:vAlign w:val="bottom"/>
          </w:tcPr>
          <w:p>
            <w:pPr>
              <w:spacing w:after="0"/>
              <w:rPr>
                <w:sz w:val="15"/>
                <w:szCs w:val="15"/>
                <w:color w:val="auto"/>
              </w:rPr>
            </w:pPr>
          </w:p>
        </w:tc>
        <w:tc>
          <w:tcPr>
            <w:tcW w:w="2040" w:type="dxa"/>
            <w:vAlign w:val="bottom"/>
            <w:gridSpan w:val="4"/>
            <w:vMerge w:val="continue"/>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191,196</w:t>
            </w:r>
          </w:p>
        </w:tc>
        <w:tc>
          <w:tcPr>
            <w:tcW w:w="74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193,441</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2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obligations bonds</w:t>
            </w:r>
          </w:p>
        </w:tc>
        <w:tc>
          <w:tcPr>
            <w:tcW w:w="13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-2256790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-2256790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general obligation bonds are diversified across many issuers, with $3.4 million being the largest exposure to a single issuer at March 31, 2016 and December 31, 2015. Accordingly, as of March 31, 2016 and December 31, 2015, the Company did not hold general obligation bonds of any single issuer, the aggregate book or market value of which exceeded 10% of the Company’s stockholders’ equity. Of the general obligation bonds in the Company’s portfolio, 97.5% had been rated by at least one nationally recognized statistical rating organization and 2.5% were unrated, based on the fair value as of March 31, 2016. Of the general obligation bonds in the Company’s portfolio, 97.6% had been rated by at least one nationally recognized statistical rating organization and 2.4% were unrated, based on the fair value as of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values of the Company’s portfolio of revenue bonds are summarized in the following tables by the issuers’ state: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auto"/>
                <w:w w:val="89"/>
              </w:rPr>
              <w:t>March 31, 2016:</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13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7"/>
              </w:rPr>
              <w:t>Number of</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540" w:type="dxa"/>
            <w:vAlign w:val="bottom"/>
            <w:gridSpan w:val="3"/>
          </w:tcPr>
          <w:p>
            <w:pPr>
              <w:jc w:val="center"/>
              <w:ind w:right="400"/>
              <w:spacing w:after="0" w:line="125"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46"/>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U.S. State</w:t>
            </w:r>
          </w:p>
        </w:tc>
        <w:tc>
          <w:tcPr>
            <w:tcW w:w="13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1360" w:type="dxa"/>
            <w:vAlign w:val="bottom"/>
          </w:tcPr>
          <w:p>
            <w:pPr>
              <w:jc w:val="center"/>
              <w:ind w:left="288"/>
              <w:spacing w:after="0"/>
              <w:rPr>
                <w:sz w:val="20"/>
                <w:szCs w:val="20"/>
                <w:color w:val="auto"/>
              </w:rPr>
            </w:pPr>
            <w:r>
              <w:rPr>
                <w:rFonts w:ascii="Arial" w:cs="Arial" w:eastAsia="Arial" w:hAnsi="Arial"/>
                <w:sz w:val="14"/>
                <w:szCs w:val="14"/>
                <w:b w:val="1"/>
                <w:bCs w:val="1"/>
                <w:color w:val="auto"/>
                <w:w w:val="89"/>
              </w:rPr>
              <w:t>Issuers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Indiana</w:t>
            </w:r>
          </w:p>
        </w:tc>
        <w:tc>
          <w:tcPr>
            <w:tcW w:w="1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9,397</w:t>
            </w:r>
          </w:p>
        </w:tc>
        <w:tc>
          <w:tcPr>
            <w:tcW w:w="74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9,469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Illinois</w:t>
            </w:r>
          </w:p>
        </w:tc>
        <w:tc>
          <w:tcPr>
            <w:tcW w:w="13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8,441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8,564</w:t>
            </w:r>
          </w:p>
        </w:tc>
        <w:tc>
          <w:tcPr>
            <w:tcW w:w="3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15,167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15,285</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Total revenue bonds</w:t>
            </w:r>
          </w:p>
        </w:tc>
        <w:tc>
          <w:tcPr>
            <w:tcW w:w="13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33,318</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w w:val="87"/>
              </w:rPr>
              <w:t>December 31, 2015: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Borders>
              <w:bottom w:val="single" w:sz="8" w:color="auto"/>
            </w:tcBorders>
            <w:gridSpan w:val="2"/>
            <w:vMerge w:val="continue"/>
          </w:tcPr>
          <w:p>
            <w:pPr>
              <w:spacing w:after="0"/>
              <w:rPr>
                <w:sz w:val="11"/>
                <w:szCs w:val="11"/>
                <w:color w:val="auto"/>
              </w:rPr>
            </w:pPr>
          </w:p>
        </w:tc>
        <w:tc>
          <w:tcPr>
            <w:tcW w:w="580" w:type="dxa"/>
            <w:vAlign w:val="bottom"/>
            <w:gridSpan w:val="2"/>
          </w:tcPr>
          <w:p>
            <w:pPr>
              <w:spacing w:after="0"/>
              <w:rPr>
                <w:sz w:val="11"/>
                <w:szCs w:val="11"/>
                <w:color w:val="auto"/>
              </w:rPr>
            </w:pPr>
          </w:p>
        </w:tc>
        <w:tc>
          <w:tcPr>
            <w:tcW w:w="13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7"/>
              </w:rPr>
              <w:t>Number of</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540" w:type="dxa"/>
            <w:vAlign w:val="bottom"/>
            <w:gridSpan w:val="3"/>
          </w:tcPr>
          <w:p>
            <w:pPr>
              <w:jc w:val="center"/>
              <w:ind w:right="400"/>
              <w:spacing w:after="0" w:line="125"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46"/>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U.S. State</w:t>
            </w:r>
          </w:p>
        </w:tc>
        <w:tc>
          <w:tcPr>
            <w:tcW w:w="13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1360" w:type="dxa"/>
            <w:vAlign w:val="bottom"/>
          </w:tcPr>
          <w:p>
            <w:pPr>
              <w:jc w:val="center"/>
              <w:ind w:left="288"/>
              <w:spacing w:after="0"/>
              <w:rPr>
                <w:sz w:val="20"/>
                <w:szCs w:val="20"/>
                <w:color w:val="auto"/>
              </w:rPr>
            </w:pPr>
            <w:r>
              <w:rPr>
                <w:rFonts w:ascii="Arial" w:cs="Arial" w:eastAsia="Arial" w:hAnsi="Arial"/>
                <w:sz w:val="14"/>
                <w:szCs w:val="14"/>
                <w:b w:val="1"/>
                <w:bCs w:val="1"/>
                <w:color w:val="auto"/>
                <w:w w:val="89"/>
              </w:rPr>
              <w:t>Issuers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Indiana</w:t>
            </w:r>
          </w:p>
        </w:tc>
        <w:tc>
          <w:tcPr>
            <w:tcW w:w="1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10,187</w:t>
            </w:r>
          </w:p>
        </w:tc>
        <w:tc>
          <w:tcPr>
            <w:tcW w:w="74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10,173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Illinois</w:t>
            </w:r>
          </w:p>
        </w:tc>
        <w:tc>
          <w:tcPr>
            <w:tcW w:w="13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8,450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8,478</w:t>
            </w:r>
          </w:p>
        </w:tc>
        <w:tc>
          <w:tcPr>
            <w:tcW w:w="3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15,770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Total revenue bonds</w:t>
            </w:r>
          </w:p>
        </w:tc>
        <w:tc>
          <w:tcPr>
            <w:tcW w:w="13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34,421</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revenue bonds are diversified across many issuers and revenue sources with $3.0 million being the largest exposure to a single issuer at each of</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March 31, 2016 and December 31, 2015. Accordingly, as of March 31, 2016 and December 31, 2015, the Company did not hold revenue bonds of any single issuer, the aggregate book or market value of which exceeded 10% of the Company’s stockholders’ equity. All of the revenue bonds in the Company’s portfolio had been rated by at least one nationally recognized statistical rating organization as of March 31, 2016 and December 31, 2015. Some of the primary types of revenue bonds owned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ectPr>
          <w:pgSz w:w="11900" w:h="16838" w:orient="portrait"/>
          <w:cols w:equalWidth="0" w:num="1">
            <w:col w:w="11460"/>
          </w:cols>
          <w:pgMar w:left="240" w:top="125" w:right="199" w:bottom="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Substantially all of the Company’s obligations of state and political subdivision securities are owned by Busey Bank</w:t>
      </w:r>
      <w:r>
        <w:rPr>
          <w:rFonts w:ascii="Arial" w:cs="Arial" w:eastAsia="Arial" w:hAnsi="Arial"/>
          <w:sz w:val="16"/>
          <w:szCs w:val="16"/>
          <w:b w:val="1"/>
          <w:bCs w:val="1"/>
          <w:color w:val="auto"/>
        </w:rPr>
        <w:t>,</w:t>
      </w:r>
      <w:r>
        <w:rPr>
          <w:rFonts w:ascii="Arial" w:cs="Arial" w:eastAsia="Arial" w:hAnsi="Arial"/>
          <w:sz w:val="16"/>
          <w:szCs w:val="16"/>
          <w:color w:val="auto"/>
        </w:rPr>
        <w:t xml:space="preserve"> whose investment policy requires that state and political subdivision securities purchased be investment grade. Busey Bank’s investment policy also limits the amount of rated state and political subdivision securities to an aggregate 100% of the Bank’s Total Capital at the time of purchase and an aggregate 15% of Total Capital for unrated state and political subdivision securities issued by municipalities having taxing authority or located in counties/micropolitan statistical areas/metropolitan statistical areas in which an office of Busey Bank is located. The investment policy states fixed income investments that are not Office of the Comptroller of the Currency Type 1 securities (U.S. Treasuries, agencies, municipal government general obligation and, for well-capitalized institutions, most municipal revenue bonds) should be analyzed prior to acquisition to determine that (1) the security has low risk of default by the obligor, and (2) the full and timely repayment of principal and interest is expected over the expected life of the investment. All securities in Busey Bank’s obligations of state and political subdivision securities portfolio are subject to ongoing review. Factors that may be considered as part of ongoing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loans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536"/>
              <w:spacing w:after="0"/>
              <w:rPr>
                <w:sz w:val="20"/>
                <w:szCs w:val="20"/>
                <w:color w:val="auto"/>
              </w:rPr>
            </w:pPr>
            <w:r>
              <w:rPr>
                <w:rFonts w:ascii="Arial" w:cs="Arial" w:eastAsia="Arial" w:hAnsi="Arial"/>
                <w:sz w:val="14"/>
                <w:szCs w:val="14"/>
                <w:b w:val="1"/>
                <w:bCs w:val="1"/>
                <w:color w:val="auto"/>
                <w:w w:val="94"/>
              </w:rPr>
              <w:t>March 31, 2016</w:t>
            </w: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Indiana</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6"/>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5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576,906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16,722</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25,261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618,889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911,581</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161,098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125,117</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1,197,796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52,514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12,516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39,238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524,069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107,857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18,548</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650,474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13,227</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14,085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 gross loans</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2,078,297</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208,164</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2,585,512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12,943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2,572,569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45,171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2,527,398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760" w:type="dxa"/>
            <w:vAlign w:val="bottom"/>
            <w:gridSpan w:val="2"/>
          </w:tcPr>
          <w:p>
            <w:pPr>
              <w:ind w:left="640"/>
              <w:spacing w:after="0"/>
              <w:rPr>
                <w:sz w:val="20"/>
                <w:szCs w:val="20"/>
                <w:color w:val="auto"/>
              </w:rPr>
            </w:pPr>
            <w:r>
              <w:rPr>
                <w:rFonts w:ascii="Arial" w:cs="Arial" w:eastAsia="Arial" w:hAnsi="Arial"/>
                <w:sz w:val="18"/>
                <w:szCs w:val="18"/>
                <w:color w:val="auto"/>
                <w:w w:val="94"/>
              </w:rPr>
              <w:t>(1)Loans held for sale are included in retail real estate.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gridSpan w:val="4"/>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556"/>
              <w:spacing w:after="0"/>
              <w:rPr>
                <w:sz w:val="20"/>
                <w:szCs w:val="20"/>
                <w:color w:val="auto"/>
              </w:rPr>
            </w:pPr>
            <w:r>
              <w:rPr>
                <w:rFonts w:ascii="Arial" w:cs="Arial" w:eastAsia="Arial" w:hAnsi="Arial"/>
                <w:sz w:val="14"/>
                <w:szCs w:val="14"/>
                <w:b w:val="1"/>
                <w:bCs w:val="1"/>
                <w:color w:val="auto"/>
                <w:w w:val="91"/>
              </w:rPr>
              <w:t>December 31, 2015</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Indiana</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6"/>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5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606,542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16,141</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33,893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656,576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907,628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166,885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133,916</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1,208,429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47,466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34,070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532,001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108,978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19,563</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660,542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14,125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 gross loans</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2,107,762</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221,442</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2,637,090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9,351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47,487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Net loans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2,580,252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-2385695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-2385695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(1)Loans held for sale are included in retail real estate.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deferred loan origination costs included in the tables above were $1.2 million as of March 31, 2016 and $0.9 million as of December 31, 2015.</w:t>
      </w:r>
    </w:p>
    <w:p>
      <w:pPr>
        <w:spacing w:after="0" w:line="23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geographies within 125 miles of its lending offices.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6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Management reviews and approves the Company’s lending policies and procedures on a routine basis. Management routinely (at least quarterly) reviews the Company’s allowance for loan losses and reports related to loan production, loan quality, concentrations of credit, loan delinquencies and non-performing and potential problem loans. The Company’s underwriting standards are designed to encourage relationship banking rather than transactional banking.</w:t>
      </w:r>
    </w:p>
    <w:p>
      <w:pPr>
        <w:sectPr>
          <w:pgSz w:w="11900" w:h="16838" w:orient="portrait"/>
          <w:cols w:equalWidth="0" w:num="1">
            <w:col w:w="11460"/>
          </w:cols>
          <w:pgMar w:left="240" w:top="125" w:right="199" w:bottom="0" w:gutter="0" w:footer="0" w:header="0"/>
        </w:sectPr>
      </w:pPr>
    </w:p>
    <w:bookmarkStart w:id="11" w:name="page12"/>
    <w:bookmarkEnd w:id="11"/>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Relationship banking implies a primary banking relationship with the borrower that includes, at a minimum, an active deposit banking relationship in addition to the lending relationship. The integrity and character of the borrower are significant factors in the Company’s loan underwriting. As a part of underwriting, tangible positive or negative evidence of the borrower’s integrity and character are sought out. Additional significant underwriting factors beyond location, duration, a sound and profitable cash flow basis and the borrower’s character are the quality of the borrower’s financial history, the liquidity of the underlying collateral and the reliability of the valuation of the underlying collateral.</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borrowing relationships, including direct and indirect debt, are generally limited to $20 million, which is significantly less than the Company’s regulatory lending limit. Borrowing relationships exceeding $20 million are reviewed by the Company’s board of directors at least annually and more frequently by management. At no time is a borrower’s total borrowing relationship permitted to exceed the Company’s regulatory lending limit. Loans to related parties, including executive officers and directors of the Company and its subsidiaries, are reviewed for compliance with regulatory guidelines by the Company’s board of directors at least annually.</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Company’s lending can be summarized into five primary areas: commercial loans, commercial real estate loans, real estate construction loans, retail real estate loans, and other retail loans. A description of each of the lending areas can be found in the Company’s Annual Report on Form 10-K for the year ended December 31, 2015. The significant majority of the lending activity occurs in the Company’s Illinois and Indiana markets, with the remainder in the Florida market. Geographic distributions of loans by state is displayed in the table above, while all further loan information is presented on a combined level.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Loans are graded on a scale of 1 through 10 with grades 2, 4 &amp; 5 unused.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the general characteristics of the grades is as follows:</w:t>
      </w:r>
    </w:p>
    <w:p>
      <w:pPr>
        <w:spacing w:after="0" w:line="211" w:lineRule="exact"/>
        <w:rPr>
          <w:sz w:val="20"/>
          <w:szCs w:val="20"/>
          <w:color w:val="auto"/>
        </w:rPr>
      </w:pPr>
    </w:p>
    <w:p>
      <w:pPr>
        <w:ind w:left="680" w:right="20" w:hanging="322"/>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Grades 1, 3, 6- </w:t>
      </w:r>
      <w:r>
        <w:rPr>
          <w:rFonts w:ascii="Arial" w:cs="Arial" w:eastAsia="Arial" w:hAnsi="Arial"/>
          <w:sz w:val="18"/>
          <w:szCs w:val="18"/>
          <w:color w:val="auto"/>
        </w:rPr>
        <w:t>These grades include loans which are all considered strong credits, with grade 1 being investment or near investment grade. A grade</w:t>
      </w:r>
      <w:r>
        <w:rPr>
          <w:rFonts w:ascii="Arial" w:cs="Arial" w:eastAsia="Arial" w:hAnsi="Arial"/>
          <w:sz w:val="18"/>
          <w:szCs w:val="18"/>
          <w:i w:val="1"/>
          <w:iCs w:val="1"/>
          <w:color w:val="auto"/>
        </w:rPr>
        <w:t xml:space="preserve"> </w:t>
      </w:r>
      <w:r>
        <w:rPr>
          <w:rFonts w:ascii="Arial" w:cs="Arial" w:eastAsia="Arial" w:hAnsi="Arial"/>
          <w:sz w:val="18"/>
          <w:szCs w:val="18"/>
          <w:color w:val="auto"/>
        </w:rPr>
        <w:t>3 loan is comprised of borrowers that exhibit credit fundamentals that exceed industry standards and loan policy guidelines. A grade 6 loan is comprised of borrowers that exhibit acceptable credit fundamentals.</w:t>
      </w:r>
    </w:p>
    <w:p>
      <w:pPr>
        <w:spacing w:after="0" w:line="181" w:lineRule="exact"/>
        <w:rPr>
          <w:rFonts w:ascii="Arial" w:cs="Arial" w:eastAsia="Arial" w:hAnsi="Arial"/>
          <w:sz w:val="18"/>
          <w:szCs w:val="18"/>
          <w:color w:val="auto"/>
        </w:rPr>
      </w:pPr>
    </w:p>
    <w:p>
      <w:pPr>
        <w:ind w:left="680" w:right="400" w:hanging="322"/>
        <w:spacing w:after="0" w:line="277"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7- </w:t>
      </w:r>
      <w:r>
        <w:rPr>
          <w:rFonts w:ascii="Arial" w:cs="Arial" w:eastAsia="Arial" w:hAnsi="Arial"/>
          <w:sz w:val="18"/>
          <w:szCs w:val="18"/>
          <w:color w:val="auto"/>
        </w:rPr>
        <w:t>This grade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40" w:hanging="322"/>
        <w:spacing w:after="0" w:line="277"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8- </w:t>
      </w:r>
      <w:r>
        <w:rPr>
          <w:rFonts w:ascii="Arial" w:cs="Arial" w:eastAsia="Arial" w:hAnsi="Arial"/>
          <w:sz w:val="18"/>
          <w:szCs w:val="18"/>
          <w:color w:val="auto"/>
        </w:rPr>
        <w:t>This grade is for “Other Assets Specially Mentioned” loans that have potential weaknesses which may, if not checked or corrected, weaken</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140" w:hanging="322"/>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9- </w:t>
      </w:r>
      <w:r>
        <w:rPr>
          <w:rFonts w:ascii="Arial" w:cs="Arial" w:eastAsia="Arial" w:hAnsi="Arial"/>
          <w:sz w:val="18"/>
          <w:szCs w:val="18"/>
          <w:color w:val="auto"/>
        </w:rPr>
        <w:t>This grade includes “Substandard” loans, in accordance with regulatory guidelines, for which the accrual of interest has not been stopped.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81" w:lineRule="exact"/>
        <w:rPr>
          <w:rFonts w:ascii="Arial" w:cs="Arial" w:eastAsia="Arial" w:hAnsi="Arial"/>
          <w:sz w:val="18"/>
          <w:szCs w:val="18"/>
          <w:color w:val="auto"/>
        </w:rPr>
      </w:pPr>
    </w:p>
    <w:p>
      <w:pPr>
        <w:ind w:left="680" w:right="100" w:hanging="322"/>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10- </w:t>
      </w:r>
      <w:r>
        <w:rPr>
          <w:rFonts w:ascii="Arial" w:cs="Arial" w:eastAsia="Arial" w:hAnsi="Arial"/>
          <w:sz w:val="18"/>
          <w:szCs w:val="18"/>
          <w:color w:val="auto"/>
        </w:rPr>
        <w:t>This grade includes “Doubtful” loans that have all the characteristics of a “Substandard” loan with additional factors that make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in full highly questionable and improbable. Such loans are placed on non-accrual status and may be dependent on collateral having a value that is difficult to determine.</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loans are graded at the inception of the loan.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Commercial loans greater than $1.0 million receive a portfolio review at least annually. Commercial loans greater than $1.0 million that have a grading of 8 or worse receive a portfolio review on a quarterly basis. Interim grade reviews may take place if circumstances of the borrower warrant a more timely review.</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Loans in the highest grades, represented by grades 1, 3, 6 and 7, totaled $2.41 billion at March 31, 2016, compared to $2.46 billion at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Loans in the lowest grades, represented by grades 8, 9 and 10, totaled $161.7 million at March 31, 2016, compared to $166.8 million at December 31, 2015.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weighted average risk grades segregated by category of loans (excluding held for sale, loan accretion, non-posted and clearings):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6"/>
              </w:rPr>
              <w:t>March 31, 2016</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260" w:type="dxa"/>
            <w:vAlign w:val="bottom"/>
          </w:tcPr>
          <w:p>
            <w:pPr>
              <w:jc w:val="center"/>
              <w:ind w:right="41"/>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Grades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Grade</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8"/>
              </w:rPr>
              <w:t>Grade</w:t>
            </w:r>
          </w:p>
        </w:tc>
        <w:tc>
          <w:tcPr>
            <w:tcW w:w="240" w:type="dxa"/>
            <w:vAlign w:val="bottom"/>
          </w:tcPr>
          <w:p>
            <w:pPr>
              <w:spacing w:after="0"/>
              <w:rPr>
                <w:sz w:val="10"/>
                <w:szCs w:val="10"/>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Grade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Avg. Risk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2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Grade</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1,3,6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rPr>
              <w:t>8</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6"/>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5.41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495,589</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78,861</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13,149</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60" w:type="dxa"/>
            <w:vAlign w:val="bottom"/>
          </w:tcPr>
          <w:p>
            <w:pPr>
              <w:jc w:val="right"/>
              <w:ind w:right="41"/>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1,044,179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70,024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53,759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28,408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Retail real estate</w:t>
            </w:r>
          </w:p>
        </w:tc>
        <w:tc>
          <w:tcPr>
            <w:tcW w:w="1260" w:type="dxa"/>
            <w:vAlign w:val="bottom"/>
          </w:tcPr>
          <w:p>
            <w:pPr>
              <w:jc w:val="right"/>
              <w:ind w:right="41"/>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594,869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13,568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7"/>
              </w:rPr>
              <w:t>2,206,408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97,786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3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260" w:type="dxa"/>
            <w:vAlign w:val="bottom"/>
          </w:tcPr>
          <w:p>
            <w:pPr>
              <w:jc w:val="center"/>
              <w:ind w:right="41"/>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Grades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Grade</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8"/>
              </w:rPr>
              <w:t>Grade</w:t>
            </w:r>
          </w:p>
        </w:tc>
        <w:tc>
          <w:tcPr>
            <w:tcW w:w="240" w:type="dxa"/>
            <w:vAlign w:val="bottom"/>
          </w:tcPr>
          <w:p>
            <w:pPr>
              <w:spacing w:after="0"/>
              <w:rPr>
                <w:sz w:val="10"/>
                <w:szCs w:val="10"/>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Grade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Avg. Risk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2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Grade</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1, 3, 6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rPr>
              <w:t>8</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6"/>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2" w:name="page13"/>
    <w:bookmarkEnd w:id="12"/>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553,294</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57,703</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27,142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10,966</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7,617</w:t>
            </w:r>
          </w:p>
        </w:tc>
        <w:tc>
          <w:tcPr>
            <w:tcW w:w="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1,068,568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58,238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51,418</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29,781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1,496</w:t>
            </w: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14,755</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Retail real estate</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607,398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21,637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13,974</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4,204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3,139</w:t>
            </w: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107,933</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may be returned to accrual status when all the principal and interest amounts contractually due are brought current and future payments are reasonably assured.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 age analysis of past due loans still accruing and non-accrual loans is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0"/>
              </w:rPr>
              <w:t>Loans past due, still accruing</w:t>
            </w: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06"/>
        </w:trPr>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30-59 Days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0"/>
              </w:rPr>
              <w:t>60-89 Days</w:t>
            </w:r>
          </w:p>
        </w:tc>
        <w:tc>
          <w:tcPr>
            <w:tcW w:w="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90+Days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accrual</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06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0"/>
              </w:rPr>
              <w:t>Loans past due, still accruing</w:t>
            </w: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06"/>
        </w:trPr>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30-59 Days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0"/>
              </w:rPr>
              <w:t>60-89 Days</w:t>
            </w:r>
          </w:p>
        </w:tc>
        <w:tc>
          <w:tcPr>
            <w:tcW w:w="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90+Days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accrual</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5"/>
          </w:tcPr>
          <w:p>
            <w:pPr>
              <w:jc w:val="center"/>
              <w:ind w:left="1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48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1,278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12,748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loan is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8 over $0.35 million and loans graded 9 or 10 are assessed for impairment by the Company.</w:t>
      </w:r>
    </w:p>
    <w:p>
      <w:pPr>
        <w:spacing w:after="0" w:line="17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Impairment is measured on a loan-by-loan basis for commercial and construction loans by either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disclosures unless such loans are the subject of a restructuring agreement.</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gross interest income that would have been recorded in the three months ended March 31, 2016 if impaired loans had been current in accordance with their original terms was $0.2 million. The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of interest collected on those loans and recognized on a cash basis that was included in interest income was insignificant for the three months ended March 31, 2016.</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Company’s loan portfolio includes certain loans that have been modified in a troubled debt restructuring (“TDR”), where concessions have been granted to borrowers who have experienced financial difficulties. The Company will restructure loans for its customers who appear to be able to meet the terms of their loan over the long term, but who may be unable to meet the terms of the loan in the near term due to individual circumstances.</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considers the customer’s past performance, previous and current credit history, the individual circumstances surrounding the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has gone 90+ days past due or is placed on non-accrual status, it is included in the non-performing loan totals. A summary of restructured loans as of March 31, 2016 and December 31, 2015 is as follows:</w:t>
      </w:r>
    </w:p>
    <w:p>
      <w:pPr>
        <w:sectPr>
          <w:pgSz w:w="11900" w:h="16900" w:orient="portrait"/>
          <w:cols w:equalWidth="0" w:num="1">
            <w:col w:w="11420"/>
          </w:cols>
          <w:pgMar w:left="240" w:top="140" w:right="239" w:bottom="0" w:gutter="0" w:footer="0" w:header="0"/>
        </w:sectPr>
      </w:pPr>
    </w:p>
    <w:bookmarkStart w:id="13" w:name="page14"/>
    <w:bookmarkEnd w:id="13"/>
    <w:tbl>
      <w:tblPr>
        <w:tblLayout w:type="fixed"/>
        <w:tblInd w:w="112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16"/>
              <w:spacing w:after="0"/>
              <w:rPr>
                <w:sz w:val="20"/>
                <w:szCs w:val="20"/>
                <w:color w:val="auto"/>
              </w:rPr>
            </w:pPr>
            <w:r>
              <w:rPr>
                <w:rFonts w:ascii="Arial" w:cs="Arial" w:eastAsia="Arial" w:hAnsi="Arial"/>
                <w:sz w:val="14"/>
                <w:szCs w:val="14"/>
                <w:b w:val="1"/>
                <w:bCs w:val="1"/>
                <w:color w:val="auto"/>
                <w:w w:val="98"/>
              </w:rPr>
              <w:t>March 31, 2016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2015</w:t>
            </w:r>
          </w:p>
        </w:tc>
      </w:tr>
      <w:tr>
        <w:trPr>
          <w:trHeight w:val="142"/>
        </w:trPr>
        <w:tc>
          <w:tcPr>
            <w:tcW w:w="4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4"/>
          </w:tcPr>
          <w:p>
            <w:pPr>
              <w:jc w:val="right"/>
              <w:ind w:right="75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Restructured loans: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In compliance with modified terms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8,743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8,770</w:t>
            </w:r>
          </w:p>
        </w:tc>
        <w:tc>
          <w:tcPr>
            <w:tcW w:w="12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 89 days past due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Included in non-performing loans</w:t>
            </w:r>
          </w:p>
        </w:tc>
        <w:tc>
          <w:tcPr>
            <w:tcW w:w="1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tcPr>
          <w:p>
            <w:pPr>
              <w:spacing w:after="0"/>
              <w:rPr>
                <w:sz w:val="18"/>
                <w:szCs w:val="18"/>
                <w:color w:val="auto"/>
              </w:rPr>
            </w:pPr>
          </w:p>
        </w:tc>
      </w:tr>
      <w:tr>
        <w:trPr>
          <w:trHeight w:val="210"/>
        </w:trPr>
        <w:tc>
          <w:tcPr>
            <w:tcW w:w="4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Performing loans classified as TDRs during the three months ended March 31, 2016 included three commercial real estate modifications for short-term principal payment relief, with a recorded investment of $0.3 million and two retail real estate modifications for short-term principal payment relief, with a recorded investment of $0.3 million.</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Performing loans classified as TDRs during the three months ended March 31, 2015 included four retail real estate modifications for short-term principal payment relief, with a recorded investment of $0.4 million.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gross interest income that would have been recorded in the three months ended March 31, 2016 and 2015 if performing TDRs had been in accordance with their original terms instead of modified terms was insignificant.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TDRs that were entered into during the last twelve months that subsequently were classified as non-performing and had payment defaults (a default occurs when a loan is 90 days or more past due or transferred to non-accrual) during the three months ended March 31, 2016 consisted of one retail real estate modification totaling $0.1 million and one insignificant retail other modification.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TDRs that were entered into during the prior twelve months that subsequently were classified as non-performing and had payment defaults during the three months ended March 31, 2015 consisted of one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commercial modification totaling $1.0 million.</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tables provide details of impaired loans,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6"/>
              </w:rPr>
              <w:t>March 31, 2016</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7,061</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3,365</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6,715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6,507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12,278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11,500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38,026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3,304</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5,865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5,381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12,378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11,560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29,638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Management’s opinion as to the ultimate collectability of loans is subject to estimates regarding future cash flows from operations and the value of property, real and personal, pledged as collateral.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estimates are affected by changing economic conditions and the economic prospects of borrowers.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ectPr>
          <w:pgSz w:w="11900" w:h="16838" w:orient="portrait"/>
          <w:cols w:equalWidth="0" w:num="1">
            <w:col w:w="11420"/>
          </w:cols>
          <w:pgMar w:left="240" w:top="333" w:right="239" w:bottom="0" w:gutter="0" w:footer="0" w:header="0"/>
        </w:sectPr>
      </w:pPr>
    </w:p>
    <w:bookmarkStart w:id="14" w:name="page15"/>
    <w:bookmarkEnd w:id="14"/>
    <w:p>
      <w:pPr>
        <w:ind w:right="80"/>
        <w:spacing w:after="0" w:line="255" w:lineRule="auto"/>
        <w:rPr>
          <w:sz w:val="20"/>
          <w:szCs w:val="20"/>
          <w:color w:val="auto"/>
        </w:rPr>
      </w:pPr>
      <w:r>
        <w:rPr>
          <w:rFonts w:ascii="Arial" w:cs="Arial" w:eastAsia="Arial" w:hAnsi="Arial"/>
          <w:sz w:val="18"/>
          <w:szCs w:val="18"/>
          <w:color w:val="auto"/>
        </w:rPr>
        <w:t>The allowance for loan losses represents an estimate of the amount of losses believed inherent in the Company’s loan portfolio at the balance sheet date. The allowance for loan losses is evaluated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March 31, 2016 and December 31, 2015.</w:t>
      </w:r>
    </w:p>
    <w:p>
      <w:pPr>
        <w:spacing w:after="0" w:line="19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component for adversely graded loans attempts to quantify the additional risk of loss inherent in the grade 8 and grade 9 portfolios. The grade 9 portfolio has an additional allocation of 3.00% placed on those loans, which is an estimate of the additional loss inherent in these loan grades based upon a review of overall historical charge-offs. As of March 31, 2016, the Company believed this reserve remained adequate. Grade 8 loans have an additional allocation of 1.00% placed on them, which is an estimate of the additional loss inherent in these loan grades. As of March 31, 2016, the Company believed this reserve remained adequate.</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specific portion of the Company’s allowance relates to loans that are impaired, which includes non-performing loans, TDRs and other loans determined to be impaired. The impaired loans are subtracted from the general loans and are allocated specific reserves as discussed above.</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holds acquired loans from business combinations with uncollected principal balances. These loans are carried net of a fair value adjustment for credit and interest rate and are only included in the allowance calculation to the extent that the reserve requirement exceeds the fair value adjustment.</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general quantitative allocation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 (vi) Impact of Competition, Legal &amp; Regulatory Issues; (vii) Nature and Volume of Loan Portfolio;</w:t>
      </w:r>
    </w:p>
    <w:p>
      <w:pPr>
        <w:spacing w:after="0" w:line="2" w:lineRule="exact"/>
        <w:rPr>
          <w:sz w:val="20"/>
          <w:szCs w:val="20"/>
          <w:color w:val="auto"/>
        </w:rPr>
      </w:pPr>
    </w:p>
    <w:p>
      <w:pPr>
        <w:ind w:right="280" w:firstLine="8"/>
        <w:spacing w:after="0" w:line="255"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Concentrations of Credit; (ix) Net Charge-Off Trend; and (x) Non-Accrual, Past Due and Classified Trend. Management evaluates the degree of risk that each one of these components has on the quality of the loan portfolio on a quarterly basis. Based on each component’s risk factor, a qualitative adjustment to the reserve may be applied to the appropriate loan categories.</w:t>
      </w:r>
    </w:p>
    <w:p>
      <w:pPr>
        <w:spacing w:after="0" w:line="1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first quarter of 2016, the Company did not make adjustments to any qualitative factors. The Company will continue to monitor its qualitative factors on a quarterly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table details activity on the allowance for loan losses. Allocation of a portion of the allowance to one category does not preclude its availability to absorb losses in other categories.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17"/>
          </w:tcPr>
          <w:p>
            <w:pPr>
              <w:jc w:val="right"/>
              <w:ind w:right="10"/>
              <w:spacing w:after="0"/>
              <w:rPr>
                <w:sz w:val="20"/>
                <w:szCs w:val="20"/>
                <w:color w:val="auto"/>
              </w:rPr>
            </w:pPr>
            <w:r>
              <w:rPr>
                <w:rFonts w:ascii="Arial" w:cs="Arial" w:eastAsia="Arial" w:hAnsi="Arial"/>
                <w:sz w:val="14"/>
                <w:szCs w:val="14"/>
                <w:b w:val="1"/>
                <w:bCs w:val="1"/>
                <w:color w:val="auto"/>
              </w:rPr>
              <w:t>As of and for the Three Months Ended March 31, 2016</w:t>
            </w: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Real</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Retail</w:t>
            </w:r>
          </w:p>
        </w:tc>
        <w:tc>
          <w:tcPr>
            <w:tcW w:w="28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Retail</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Estate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Real</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Estate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Construction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Estate</w:t>
            </w:r>
          </w:p>
        </w:tc>
        <w:tc>
          <w:tcPr>
            <w:tcW w:w="28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9"/>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13,115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18,604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1,763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13,714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47,487</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3,411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5"/>
          </w:tcPr>
          <w:p>
            <w:pPr>
              <w:jc w:val="right"/>
              <w:ind w:right="45"/>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(2,102)</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(3,552)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7"/>
          </w:tcPr>
          <w:p>
            <w:pPr>
              <w:jc w:val="right"/>
              <w:ind w:right="90"/>
              <w:spacing w:after="0"/>
              <w:rPr>
                <w:sz w:val="20"/>
                <w:szCs w:val="20"/>
                <w:color w:val="auto"/>
              </w:rPr>
            </w:pPr>
            <w:r>
              <w:rPr>
                <w:rFonts w:ascii="Arial" w:cs="Arial" w:eastAsia="Arial" w:hAnsi="Arial"/>
                <w:sz w:val="14"/>
                <w:szCs w:val="14"/>
                <w:b w:val="1"/>
                <w:bCs w:val="1"/>
                <w:color w:val="auto"/>
              </w:rPr>
              <w:t>As of and for the Three Months Ended March 31, 2015</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4"/>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Real</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Retail</w:t>
            </w:r>
          </w:p>
        </w:tc>
        <w:tc>
          <w:tcPr>
            <w:tcW w:w="28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Retail</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Real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Estate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Real</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Estate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Construction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0"/>
              </w:rPr>
              <w:t>Estate</w:t>
            </w:r>
          </w:p>
        </w:tc>
        <w:tc>
          <w:tcPr>
            <w:tcW w:w="28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9"/>
          </w:tcPr>
          <w:p>
            <w:pPr>
              <w:jc w:val="right"/>
              <w:ind w:right="9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20,639</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2,795</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13,662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allowance for loan losses and recorded investments in loans, excluding loans held for sale, by category: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As of March 31, 2016</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jc w:val="center"/>
              <w:ind w:right="185"/>
              <w:spacing w:after="0" w:line="119" w:lineRule="exact"/>
              <w:rPr>
                <w:sz w:val="20"/>
                <w:szCs w:val="20"/>
                <w:color w:val="auto"/>
              </w:rPr>
            </w:pPr>
            <w:r>
              <w:rPr>
                <w:rFonts w:ascii="Arial" w:cs="Arial" w:eastAsia="Arial" w:hAnsi="Arial"/>
                <w:sz w:val="13"/>
                <w:szCs w:val="13"/>
                <w:b w:val="1"/>
                <w:bCs w:val="1"/>
                <w:color w:val="auto"/>
              </w:rPr>
              <w:t>Commercial</w:t>
            </w:r>
          </w:p>
        </w:tc>
        <w:tc>
          <w:tcPr>
            <w:tcW w:w="240" w:type="dxa"/>
            <w:vAlign w:val="bottom"/>
          </w:tcPr>
          <w:p>
            <w:pPr>
              <w:spacing w:after="0"/>
              <w:rPr>
                <w:sz w:val="10"/>
                <w:szCs w:val="10"/>
                <w:color w:val="auto"/>
              </w:rPr>
            </w:pPr>
          </w:p>
        </w:tc>
        <w:tc>
          <w:tcPr>
            <w:tcW w:w="1120" w:type="dxa"/>
            <w:vAlign w:val="bottom"/>
          </w:tcPr>
          <w:p>
            <w:pPr>
              <w:jc w:val="center"/>
              <w:ind w:right="166"/>
              <w:spacing w:after="0" w:line="119" w:lineRule="exact"/>
              <w:rPr>
                <w:sz w:val="20"/>
                <w:szCs w:val="20"/>
                <w:color w:val="auto"/>
              </w:rPr>
            </w:pPr>
            <w:r>
              <w:rPr>
                <w:rFonts w:ascii="Arial" w:cs="Arial" w:eastAsia="Arial" w:hAnsi="Arial"/>
                <w:sz w:val="13"/>
                <w:szCs w:val="13"/>
                <w:b w:val="1"/>
                <w:bCs w:val="1"/>
                <w:color w:val="auto"/>
              </w:rPr>
              <w:t>Real</w:t>
            </w:r>
          </w:p>
        </w:tc>
        <w:tc>
          <w:tcPr>
            <w:tcW w:w="340" w:type="dxa"/>
            <w:vAlign w:val="bottom"/>
          </w:tcPr>
          <w:p>
            <w:pPr>
              <w:spacing w:after="0"/>
              <w:rPr>
                <w:sz w:val="10"/>
                <w:szCs w:val="10"/>
                <w:color w:val="auto"/>
              </w:rPr>
            </w:pPr>
          </w:p>
        </w:tc>
        <w:tc>
          <w:tcPr>
            <w:tcW w:w="1020" w:type="dxa"/>
            <w:vAlign w:val="bottom"/>
          </w:tcPr>
          <w:p>
            <w:pPr>
              <w:jc w:val="center"/>
              <w:ind w:right="265"/>
              <w:spacing w:after="0" w:line="119" w:lineRule="exact"/>
              <w:rPr>
                <w:sz w:val="20"/>
                <w:szCs w:val="20"/>
                <w:color w:val="auto"/>
              </w:rPr>
            </w:pPr>
            <w:r>
              <w:rPr>
                <w:rFonts w:ascii="Arial" w:cs="Arial" w:eastAsia="Arial" w:hAnsi="Arial"/>
                <w:sz w:val="13"/>
                <w:szCs w:val="13"/>
                <w:b w:val="1"/>
                <w:bCs w:val="1"/>
                <w:color w:val="auto"/>
              </w:rPr>
              <w:t>Retail</w:t>
            </w:r>
          </w:p>
        </w:tc>
        <w:tc>
          <w:tcPr>
            <w:tcW w:w="340" w:type="dxa"/>
            <w:vAlign w:val="bottom"/>
          </w:tcPr>
          <w:p>
            <w:pPr>
              <w:spacing w:after="0"/>
              <w:rPr>
                <w:sz w:val="10"/>
                <w:szCs w:val="10"/>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Retail</w:t>
            </w: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w w:val="97"/>
              </w:rPr>
              <w:t>Commercial</w:t>
            </w:r>
          </w:p>
        </w:tc>
        <w:tc>
          <w:tcPr>
            <w:tcW w:w="260" w:type="dxa"/>
            <w:vAlign w:val="bottom"/>
          </w:tcPr>
          <w:p>
            <w:pPr>
              <w:spacing w:after="0"/>
              <w:rPr>
                <w:sz w:val="12"/>
                <w:szCs w:val="12"/>
                <w:color w:val="auto"/>
              </w:rPr>
            </w:pPr>
          </w:p>
        </w:tc>
        <w:tc>
          <w:tcPr>
            <w:tcW w:w="1140" w:type="dxa"/>
            <w:vAlign w:val="bottom"/>
          </w:tcPr>
          <w:p>
            <w:pPr>
              <w:jc w:val="center"/>
              <w:ind w:right="185"/>
              <w:spacing w:after="0" w:line="149" w:lineRule="exact"/>
              <w:rPr>
                <w:sz w:val="20"/>
                <w:szCs w:val="20"/>
                <w:color w:val="auto"/>
              </w:rPr>
            </w:pPr>
            <w:r>
              <w:rPr>
                <w:rFonts w:ascii="Arial" w:cs="Arial" w:eastAsia="Arial" w:hAnsi="Arial"/>
                <w:sz w:val="14"/>
                <w:szCs w:val="14"/>
                <w:b w:val="1"/>
                <w:bCs w:val="1"/>
                <w:color w:val="auto"/>
                <w:w w:val="94"/>
              </w:rPr>
              <w:t>Real</w:t>
            </w:r>
          </w:p>
        </w:tc>
        <w:tc>
          <w:tcPr>
            <w:tcW w:w="240" w:type="dxa"/>
            <w:vAlign w:val="bottom"/>
          </w:tcPr>
          <w:p>
            <w:pPr>
              <w:spacing w:after="0"/>
              <w:rPr>
                <w:sz w:val="12"/>
                <w:szCs w:val="12"/>
                <w:color w:val="auto"/>
              </w:rPr>
            </w:pPr>
          </w:p>
        </w:tc>
        <w:tc>
          <w:tcPr>
            <w:tcW w:w="112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90"/>
              </w:rPr>
              <w:t>Estate</w:t>
            </w:r>
          </w:p>
        </w:tc>
        <w:tc>
          <w:tcPr>
            <w:tcW w:w="340" w:type="dxa"/>
            <w:vAlign w:val="bottom"/>
          </w:tcPr>
          <w:p>
            <w:pPr>
              <w:spacing w:after="0"/>
              <w:rPr>
                <w:sz w:val="12"/>
                <w:szCs w:val="12"/>
                <w:color w:val="auto"/>
              </w:rPr>
            </w:pPr>
          </w:p>
        </w:tc>
        <w:tc>
          <w:tcPr>
            <w:tcW w:w="1020" w:type="dxa"/>
            <w:vAlign w:val="bottom"/>
          </w:tcPr>
          <w:p>
            <w:pPr>
              <w:jc w:val="center"/>
              <w:ind w:right="265"/>
              <w:spacing w:after="0" w:line="149" w:lineRule="exact"/>
              <w:rPr>
                <w:sz w:val="20"/>
                <w:szCs w:val="20"/>
                <w:color w:val="auto"/>
              </w:rPr>
            </w:pPr>
            <w:r>
              <w:rPr>
                <w:rFonts w:ascii="Arial" w:cs="Arial" w:eastAsia="Arial" w:hAnsi="Arial"/>
                <w:sz w:val="14"/>
                <w:szCs w:val="14"/>
                <w:b w:val="1"/>
                <w:bCs w:val="1"/>
                <w:color w:val="auto"/>
                <w:w w:val="94"/>
              </w:rPr>
              <w:t>Real</w:t>
            </w:r>
          </w:p>
        </w:tc>
        <w:tc>
          <w:tcPr>
            <w:tcW w:w="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65"/>
              <w:spacing w:after="0"/>
              <w:rPr>
                <w:sz w:val="20"/>
                <w:szCs w:val="20"/>
                <w:color w:val="auto"/>
              </w:rPr>
            </w:pPr>
            <w:r>
              <w:rPr>
                <w:rFonts w:ascii="Arial" w:cs="Arial" w:eastAsia="Arial" w:hAnsi="Arial"/>
                <w:sz w:val="14"/>
                <w:szCs w:val="14"/>
                <w:b w:val="1"/>
                <w:bCs w:val="1"/>
                <w:color w:val="auto"/>
                <w:w w:val="90"/>
              </w:rPr>
              <w:t>Estate</w:t>
            </w:r>
          </w:p>
        </w:tc>
        <w:tc>
          <w:tcPr>
            <w:tcW w:w="240" w:type="dxa"/>
            <w:vAlign w:val="bottom"/>
          </w:tcPr>
          <w:p>
            <w:pPr>
              <w:spacing w:after="0"/>
              <w:rPr>
                <w:sz w:val="14"/>
                <w:szCs w:val="14"/>
                <w:color w:val="auto"/>
              </w:rPr>
            </w:pPr>
          </w:p>
        </w:tc>
        <w:tc>
          <w:tcPr>
            <w:tcW w:w="1120" w:type="dxa"/>
            <w:vAlign w:val="bottom"/>
          </w:tcPr>
          <w:p>
            <w:pPr>
              <w:jc w:val="center"/>
              <w:ind w:right="146"/>
              <w:spacing w:after="0"/>
              <w:rPr>
                <w:sz w:val="20"/>
                <w:szCs w:val="20"/>
                <w:color w:val="auto"/>
              </w:rPr>
            </w:pPr>
            <w:r>
              <w:rPr>
                <w:rFonts w:ascii="Arial" w:cs="Arial" w:eastAsia="Arial" w:hAnsi="Arial"/>
                <w:sz w:val="14"/>
                <w:szCs w:val="14"/>
                <w:b w:val="1"/>
                <w:bCs w:val="1"/>
                <w:color w:val="auto"/>
                <w:w w:val="94"/>
              </w:rPr>
              <w:t>Construction</w:t>
            </w:r>
          </w:p>
        </w:tc>
        <w:tc>
          <w:tcPr>
            <w:tcW w:w="340" w:type="dxa"/>
            <w:vAlign w:val="bottom"/>
          </w:tcPr>
          <w:p>
            <w:pPr>
              <w:spacing w:after="0"/>
              <w:rPr>
                <w:sz w:val="14"/>
                <w:szCs w:val="14"/>
                <w:color w:val="auto"/>
              </w:rPr>
            </w:pPr>
          </w:p>
        </w:tc>
        <w:tc>
          <w:tcPr>
            <w:tcW w:w="1020" w:type="dxa"/>
            <w:vAlign w:val="bottom"/>
          </w:tcPr>
          <w:p>
            <w:pPr>
              <w:jc w:val="center"/>
              <w:ind w:right="245"/>
              <w:spacing w:after="0"/>
              <w:rPr>
                <w:sz w:val="20"/>
                <w:szCs w:val="20"/>
                <w:color w:val="auto"/>
              </w:rPr>
            </w:pPr>
            <w:r>
              <w:rPr>
                <w:rFonts w:ascii="Arial" w:cs="Arial" w:eastAsia="Arial" w:hAnsi="Arial"/>
                <w:sz w:val="14"/>
                <w:szCs w:val="14"/>
                <w:b w:val="1"/>
                <w:bCs w:val="1"/>
                <w:color w:val="auto"/>
                <w:w w:val="90"/>
              </w:rPr>
              <w:t>Estate</w:t>
            </w:r>
          </w:p>
        </w:tc>
        <w:tc>
          <w:tcPr>
            <w:tcW w:w="34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Amount allocated to:</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Loans individually evaluated for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3,365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
              <w:spacing w:after="0"/>
              <w:rPr>
                <w:sz w:val="20"/>
                <w:szCs w:val="20"/>
                <w:color w:val="auto"/>
              </w:rPr>
            </w:pPr>
            <w:r>
              <w:rPr>
                <w:rFonts w:ascii="Arial" w:cs="Arial" w:eastAsia="Arial" w:hAnsi="Arial"/>
                <w:sz w:val="18"/>
                <w:szCs w:val="18"/>
                <w:color w:val="auto"/>
              </w:rPr>
              <w:t>921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6"/>
              <w:spacing w:after="0"/>
              <w:rPr>
                <w:sz w:val="20"/>
                <w:szCs w:val="20"/>
                <w:color w:val="auto"/>
              </w:rPr>
            </w:pPr>
            <w:r>
              <w:rPr>
                <w:rFonts w:ascii="Arial" w:cs="Arial" w:eastAsia="Arial" w:hAnsi="Arial"/>
                <w:sz w:val="18"/>
                <w:szCs w:val="18"/>
                <w:color w:val="auto"/>
              </w:rPr>
              <w:t>25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
              <w:spacing w:after="0"/>
              <w:rPr>
                <w:sz w:val="20"/>
                <w:szCs w:val="20"/>
                <w:color w:val="auto"/>
              </w:rPr>
            </w:pPr>
            <w:r>
              <w:rPr>
                <w:rFonts w:ascii="Arial" w:cs="Arial" w:eastAsia="Arial" w:hAnsi="Arial"/>
                <w:sz w:val="18"/>
                <w:szCs w:val="18"/>
                <w:color w:val="auto"/>
              </w:rPr>
              <w:t>149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11,338</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13,323</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606,811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1,191,290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103,413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626,031</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2,541,446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618,889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637,531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2,572,569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2"/>
              </w:rPr>
              <w:t>As of December 31, 2015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Real</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Retail</w:t>
            </w:r>
          </w:p>
        </w:tc>
        <w:tc>
          <w:tcPr>
            <w:tcW w:w="240" w:type="dxa"/>
            <w:vAlign w:val="bottom"/>
          </w:tcPr>
          <w:p>
            <w:pPr>
              <w:spacing w:after="0"/>
              <w:rPr>
                <w:sz w:val="10"/>
                <w:szCs w:val="10"/>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Real</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Estate</w:t>
            </w:r>
          </w:p>
        </w:tc>
        <w:tc>
          <w:tcPr>
            <w:tcW w:w="24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Amount allocated to: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9,811</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13,562</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13,115</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47,487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644,976</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1,203,048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95,709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639,631</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2,598,101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656,576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1,208,429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651,191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2,627,739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OREO</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Property is evaluated regularly to ensure the recorded amount is supported by its current fair value, and valuation allowances to reduce the carrying amount to fair value less estimated costs to dispose are recorded as necessary. Revenue, expense, gains and losses from the operations of foreclosed assets are included in operations. At March 31, 2016, the Company held $0.4 million in commercial OREO, $0.1 million in residential OREO and an insignificant amount of other repossessed assets. At December 31, 2015, the Company held $0.5 million in commercial OREO, $0.3 million in residential OREO and an insignificant amount of other repossessed assets. At March 31, 2016 the Company had $0.8 million of residential real estate in the process of foreclosure.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OREO:</w:t>
      </w:r>
    </w:p>
    <w:p>
      <w:pPr>
        <w:spacing w:after="0" w:line="20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4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4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gridSpan w:val="5"/>
          </w:tcPr>
          <w:p>
            <w:pPr>
              <w:jc w:val="right"/>
              <w:ind w:right="75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783</w:t>
            </w:r>
          </w:p>
        </w:tc>
        <w:tc>
          <w:tcPr>
            <w:tcW w:w="26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transfers from loans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Additions, fair value from Herget Financial acquisition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OREO</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w:t>
            </w: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Gain on sales of OREO</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 for OREO</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90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7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Securities Sold Under Agreements to Repurchase</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Securities sold under agreements to repurchase, which are classified as secured borrowings, generally mature either daily or within one year from the transaction date. Securities sold under agreements to repurchase are reflected at the amount of cash received in connection with the transaction. The underlying securities are held by the Company’s safekeeping agent. The Company may be required to provide additional collateral based on the fair value of the underlying securities. The following table sets forth the distribution of securities sold under agreements to repurchase and weighted average interest rates:</w:t>
      </w:r>
    </w:p>
    <w:p>
      <w:pPr>
        <w:spacing w:after="0" w:line="146"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275"/>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2015</w:t>
            </w:r>
          </w:p>
        </w:tc>
      </w:tr>
      <w:tr>
        <w:trPr>
          <w:trHeight w:val="142"/>
        </w:trPr>
        <w:tc>
          <w:tcPr>
            <w:tcW w:w="5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3"/>
          </w:tcPr>
          <w:p>
            <w:pPr>
              <w:jc w:val="center"/>
              <w:ind w:right="53"/>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6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166,141</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172,972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0.18%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171,848</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202,376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163,328</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179,662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r>
    </w:tbl>
    <w:p>
      <w:pPr>
        <w:sectPr>
          <w:pgSz w:w="11900" w:h="16838" w:orient="portrait"/>
          <w:cols w:equalWidth="0" w:num="1">
            <w:col w:w="11460"/>
          </w:cols>
          <w:pgMar w:left="240" w:top="125" w:right="199" w:bottom="0" w:gutter="0" w:footer="0" w:header="0"/>
        </w:sectPr>
      </w:pPr>
    </w:p>
    <w:bookmarkStart w:id="16" w:name="page17"/>
    <w:bookmarkEnd w:id="16"/>
    <w:p>
      <w:pPr>
        <w:jc w:val="center"/>
        <w:ind w:right="1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t>(1)The weighted average interest rate is computed by dividing total annualized interest for the year-to-date period by the average daily balance outstanding.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 adjusted to reflect the Reverse Stock Split, have been computed as follows:</w:t>
      </w:r>
    </w:p>
    <w:p>
      <w:pPr>
        <w:spacing w:after="0" w:line="217"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Three Months Ended</w:t>
      </w:r>
    </w:p>
    <w:p>
      <w:pPr>
        <w:jc w:val="center"/>
        <w:ind w:left="55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480" w:type="dxa"/>
            <w:vAlign w:val="bottom"/>
            <w:gridSpan w:val="5"/>
          </w:tcPr>
          <w:p>
            <w:pPr>
              <w:jc w:val="right"/>
              <w:ind w:right="200"/>
              <w:spacing w:after="0" w:line="119" w:lineRule="exact"/>
              <w:rPr>
                <w:sz w:val="20"/>
                <w:szCs w:val="20"/>
                <w:color w:val="auto"/>
              </w:rPr>
            </w:pPr>
            <w:r>
              <w:rPr>
                <w:rFonts w:ascii="Arial" w:cs="Arial" w:eastAsia="Arial" w:hAnsi="Arial"/>
                <w:sz w:val="13"/>
                <w:szCs w:val="13"/>
                <w:b w:val="1"/>
                <w:bCs w:val="1"/>
                <w:color w:val="auto"/>
              </w:rPr>
              <w:t>(in thousands, except per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share data)</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84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10,434</w:t>
            </w:r>
          </w:p>
        </w:tc>
        <w:tc>
          <w:tcPr>
            <w:tcW w:w="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0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28,739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28,986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outstanding options, warrants and restricted stock units as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determined by the application of the treasury stock method</w:t>
            </w:r>
          </w:p>
        </w:tc>
        <w:tc>
          <w:tcPr>
            <w:tcW w:w="8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common shares outstanding, as adjusted for diluted earnings</w:t>
            </w:r>
          </w:p>
        </w:tc>
        <w:tc>
          <w:tcPr>
            <w:tcW w:w="84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0"/>
              </w:rPr>
              <w:t>28,929</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0"/>
              </w:rPr>
              <w:t>29,169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 calculation</w:t>
            </w:r>
          </w:p>
        </w:tc>
        <w:tc>
          <w:tcPr>
            <w:tcW w:w="8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4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4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Diluted earnings per common share is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March 31, 2016, 10,850 outstanding options and 191,278 warrants were anti-dilutive and excluded from the calculation of common stock equivalents. At March 31, 2015, 87,102 outstanding options and 191,278 warrants were anti-dilutive and excluded from the calculation of common stock equivalents.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a requisite service period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vesting and prior to delivery, these units will continue to earn dividend equivalents. </w:t>
      </w:r>
      <w:r>
        <w:rPr>
          <w:rFonts w:ascii="Arial" w:cs="Arial" w:eastAsia="Arial" w:hAnsi="Arial"/>
          <w:sz w:val="15"/>
          <w:szCs w:val="15"/>
          <w:color w:val="auto"/>
        </w:rPr>
        <w:t>The Company also has outstanding stock options granted prior to 2011.</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terms of the Company’s 2010 Equity Incentive Plan, the Company is allowed, but not required, to source stock option exercises and grants of RSUs and DSUs from its inventory of treasury stock. As of March 31, 2016, the Company held 723,402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that was originally approved in 2008. During the third quarter of 2015, the Company purchased 333,333 shares under this repurchase plan. Repurchases were executed in contemplation of maintaining levels of treasury stock appropriate to satisfy compensation awards, in addition to favorable pricing opportunities that were broadly manifest in the market for bank stocks during the third quarter of 2015. At March 31, 2016 the Company had 333,334 shares that may yet be purchased under the plan.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The Company’s 2010 Equity Incentive Plan is designed to encourage ownership of its common stock by its employees and directors, to provide additional incentive for them to promote the success of its business, and to attract and retain talented personnel. All of the Company’s employees and directors, and those of its subsidiaries, are eligible to receive awards under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changes in the Company’s stock option awards for the three months ended March 31, 2016 follows:</w:t>
      </w:r>
    </w:p>
    <w:p>
      <w:pPr>
        <w:spacing w:after="0" w:line="204" w:lineRule="exact"/>
        <w:rPr>
          <w:sz w:val="20"/>
          <w:szCs w:val="20"/>
          <w:color w:val="auto"/>
        </w:rPr>
      </w:pPr>
    </w:p>
    <w:tbl>
      <w:tblPr>
        <w:tblLayout w:type="fixed"/>
        <w:tblInd w:w="55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58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Weighted-</w:t>
            </w:r>
          </w:p>
        </w:tc>
        <w:tc>
          <w:tcPr>
            <w:tcW w:w="152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5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15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Exercise</w:t>
            </w:r>
          </w:p>
        </w:tc>
        <w:tc>
          <w:tcPr>
            <w:tcW w:w="15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980" w:type="dxa"/>
            <w:vAlign w:val="bottom"/>
            <w:vMerge w:val="continue"/>
          </w:tcPr>
          <w:p>
            <w:pPr>
              <w:spacing w:after="0"/>
              <w:rPr>
                <w:sz w:val="14"/>
                <w:szCs w:val="14"/>
                <w:color w:val="auto"/>
              </w:rPr>
            </w:pPr>
          </w:p>
        </w:tc>
        <w:tc>
          <w:tcPr>
            <w:tcW w:w="158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Price</w:t>
            </w:r>
          </w:p>
        </w:tc>
        <w:tc>
          <w:tcPr>
            <w:tcW w:w="1520" w:type="dxa"/>
            <w:vAlign w:val="bottom"/>
          </w:tcPr>
          <w:p>
            <w:pPr>
              <w:jc w:val="center"/>
              <w:ind w:left="328"/>
              <w:spacing w:after="0"/>
              <w:rPr>
                <w:sz w:val="20"/>
                <w:szCs w:val="20"/>
                <w:color w:val="auto"/>
              </w:rPr>
            </w:pPr>
            <w:r>
              <w:rPr>
                <w:rFonts w:ascii="Arial" w:cs="Arial" w:eastAsia="Arial" w:hAnsi="Arial"/>
                <w:sz w:val="14"/>
                <w:szCs w:val="14"/>
                <w:b w:val="1"/>
                <w:bCs w:val="1"/>
                <w:color w:val="auto"/>
                <w:w w:val="96"/>
              </w:rPr>
              <w:t>Contractual Term</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247" w:right="259" w:bottom="0" w:gutter="0" w:footer="0" w:header="0"/>
        </w:sectPr>
      </w:pPr>
    </w:p>
    <w:tbl>
      <w:tblPr>
        <w:tblLayout w:type="fixed"/>
        <w:tblInd w:w="1120" w:type="dxa"/>
        <w:tblCellMar>
          <w:top w:w="0" w:type="dxa"/>
          <w:left w:w="0" w:type="dxa"/>
          <w:bottom w:w="0" w:type="dxa"/>
          <w:right w:w="0" w:type="dxa"/>
        </w:tblCellMar>
      </w:tblP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2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40" w:type="dxa"/>
            <w:vAlign w:val="bottom"/>
            <w:gridSpan w:val="4"/>
          </w:tcPr>
          <w:p>
            <w:pPr>
              <w:jc w:val="right"/>
              <w:ind w:right="18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jc w:val="right"/>
              <w:ind w:right="18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00"/>
          </w:cols>
          <w:pgMar w:left="240" w:top="247" w:right="259" w:bottom="0" w:gutter="0" w:footer="0" w:header="0"/>
          <w:type w:val="continuous"/>
        </w:sectPr>
      </w:pPr>
    </w:p>
    <w:bookmarkStart w:id="17" w:name="page18"/>
    <w:bookmarkEnd w:id="17"/>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50,718</w:t>
            </w:r>
          </w:p>
        </w:tc>
        <w:tc>
          <w:tcPr>
            <w:tcW w:w="2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0"/>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45,850</w:t>
            </w:r>
          </w:p>
        </w:tc>
        <w:tc>
          <w:tcPr>
            <w:tcW w:w="2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tcPr>
          <w:p>
            <w:pPr>
              <w:spacing w:after="0"/>
              <w:rPr>
                <w:sz w:val="21"/>
                <w:szCs w:val="21"/>
                <w:color w:val="auto"/>
              </w:rPr>
            </w:pPr>
          </w:p>
        </w:tc>
      </w:tr>
      <w:tr>
        <w:trPr>
          <w:trHeight w:val="197"/>
        </w:trPr>
        <w:tc>
          <w:tcPr>
            <w:tcW w:w="39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Exercisable at end of period</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45,850</w:t>
            </w: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27.50</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record any stock option compensation expense for the three months ended March 31, 2016 or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three months ended March 31, 2016, is as follows:</w:t>
      </w:r>
    </w:p>
    <w:p>
      <w:pPr>
        <w:spacing w:after="0" w:line="204"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Director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Grant</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Deferred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Date</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Equivalents Earned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14.02</w:t>
            </w:r>
          </w:p>
        </w:tc>
        <w:tc>
          <w:tcPr>
            <w:tcW w:w="2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424,188</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Outstanding at end of period</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424,188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17.11</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69,087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recognized $0.4 million and $0.3 million of compensation expense related to non-vested stock units for the three months ended March 31, 2016 and 2015. As of March 31, 2016, there was $4.0 million of total unrecognized compensation cost related to these non-vested stock units. This cost is expected to be recognized over a period of 3.4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2016, the Company was not under examination by any tax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pacing w:after="0" w:line="166"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standby letters of credit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259"/>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r>
      <w:tr>
        <w:trPr>
          <w:trHeight w:val="142"/>
        </w:trPr>
        <w:tc>
          <w:tcPr>
            <w:tcW w:w="6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120" w:type="dxa"/>
            <w:vAlign w:val="bottom"/>
            <w:tcBorders>
              <w:top w:val="single" w:sz="8" w:color="auto"/>
            </w:tcBorders>
            <w:gridSpan w:val="3"/>
          </w:tcPr>
          <w:p>
            <w:pPr>
              <w:jc w:val="right"/>
              <w:ind w:right="89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Commitments to extend credit</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631,281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618,551</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Standby letters of credit</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15,437</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15,325</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customer’s obligation to a third 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w:t>
      </w:r>
    </w:p>
    <w:p>
      <w:pPr>
        <w:sectPr>
          <w:pgSz w:w="11900" w:h="16838" w:orient="portrait"/>
          <w:cols w:equalWidth="0" w:num="1">
            <w:col w:w="11420"/>
          </w:cols>
          <w:pgMar w:left="240" w:top="125" w:right="239" w:bottom="0" w:gutter="0" w:footer="0" w:header="0"/>
        </w:sectPr>
      </w:pPr>
    </w:p>
    <w:bookmarkStart w:id="18" w:name="page19"/>
    <w:bookmarkEnd w:id="18"/>
    <w:p>
      <w:pPr>
        <w:ind w:right="80"/>
        <w:spacing w:after="0" w:line="255" w:lineRule="auto"/>
        <w:rPr>
          <w:sz w:val="20"/>
          <w:szCs w:val="20"/>
          <w:color w:val="auto"/>
        </w:rPr>
      </w:pPr>
      <w:r>
        <w:rPr>
          <w:rFonts w:ascii="Arial" w:cs="Arial" w:eastAsia="Arial" w:hAnsi="Arial"/>
          <w:sz w:val="18"/>
          <w:szCs w:val="18"/>
          <w:color w:val="auto"/>
        </w:rPr>
        <w:t>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 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March 31, 2016 and December 31, 2015, no amounts were recorded as liabilities for the Company’s potential obligations under these guarantees.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will sign contracts for construction projects relating to the Company’s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ability of the Company to pay cash dividends to its stockholders and to service its debt historically was dependent on the receipt of cash dividends from its subsidiaries. Under applicable regulatory requirements, an Illinois state-chartered bank such as Busey Bank may not pay dividends in excess of its net profits. Because Busey Bank has been in a retained earnings deficit position since 2009, it has not been able to pay dividends since that time.</w:t>
      </w:r>
    </w:p>
    <w:p>
      <w:pPr>
        <w:spacing w:after="0" w:line="14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$60.0 million on December 8, 2015. The Company will continue to evaluate the appropriateness of future capital distributions.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and Busey Bank are subject to regulatory capital requirements administered by federal and state banking agencies that involve the quantitative measure of their assets, liabilities, and certain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off-balance-sheet items, as calculated under regulatory accounting practices. Quantitative measures established by regulations to ensure capital adequacy require the Company and Busey Bank to maintain minimum amounts and ratios (set forth in the table below) of total, Tier 1 capital and Common Equity Tier 1 capital (as defined in the regulations) to risk-weighted assets (as defined in the regulations), and, for the Bank, Tier 1 capital (as defined in the regulations) to average assets (as defined in the regulations). Failure to meet minimum capital requirements may cause regulatory bodies to initiate certain discretionary and/or mandatory actions that, if undertaken, may have a direct material effect on our financial statements. The Company, as a financial holding company, is required to be “well capitalized” in the capital categories shown in the table below. As of March 31, 2016, the Company and Busey Bank met all capital adequacy requirements to which they were subject, including the guidelines to be considered “well capitalized.”</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July 21, 2010, President Obama signed the Dodd-Frank Wall Street Reform and Consumer Protection Act (the “Dodd-Frank Act”) into law, which required the Board of Governors of the Federal Reserve System to establish minimum capital levels for bank holding companies on a consolidated basis that are as stringent as those required for insured depository institutions. The components of Tier 1 capital were restricted to capital instruments that at the time of signing were considered to be Tier 1 capital for insured depository institutions. As a result, the proceeds of trust preferred securities are excluded from Tier 1 capital unless such securities were issued prior to May 19, 2010 by bank holding companies with less than $15.0 billion of assets. As the Company has assets of less than $15.0 billion, it is able to maintain its trust preferred proceeds as Tier 1 capital but it will have to comply with new capital mandates in other respects, and it will not be able to raise Tier 1 capital through the issuance of trust preferred securities in the future.</w:t>
      </w:r>
    </w:p>
    <w:p>
      <w:pPr>
        <w:spacing w:after="0" w:line="16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July 2013, the U.S. federal banking authorities approved the implementation of the Basel III regulatory capital reforms and issued rules effecting certain changes required by the Dodd-Frank Act (the “Basel III Rules”). The Basel III Rules are applicable to all U.S. banks that are subject to minimum capital requirements, as well as to bank and savings and loan holding companies other than “small bank holding companies” (generally non-public bank holding companies with consolidated assets of less than $1 billion). The Basel III Rules not only increased most of the required minimum regulatory capital ratios, but they also introduced a new Common Equity Tier 1 Capital ratio and the concept of a capital conservation buffer. The Basel III Rules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no longer qualify, or their qualifications changed, as the Basel III Rules are being fully implemented.</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Basel III Rules also permitted banking organizations with less than $15.0 billion in assets to retain, through a one-time election, the past treatment for accumulated other comprehensive income, which did not affect regulatory capital. First Busey and the Bank made this election in the first quarter of 2015 to avoid variations in the level of their capital depending on fluctuations in the fair value of their securities portfolio. The Basel III Rules maintained the 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is being phased-in over three years beginning in 2016. The table below includes the 0.625% increase for 2016 in the minimum capital requirement ratios. The capital buffer requirement effectively raises the minimum required Common Equity Tier 1 Capital ratio to 7.0%, the Tier 1 Capital ratio to 8.5%, and the Total Capital ratio to 10.5% on a fully phased-in basis on January 1, 2019. As of March 31, 2016, the Company and the Bank were in compliance with the current phase Basel III Rules and management believes that the Company and the Bank would meet all capital adequacy requirements under the Basel III Rules on a fully phased-in basis as if such requirements had been in effect.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1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7"/>
              </w:rPr>
              <w:t>Minimum</w:t>
            </w:r>
          </w:p>
        </w:tc>
        <w:tc>
          <w:tcPr>
            <w:tcW w:w="22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Minimum To Be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Actual</w:t>
            </w:r>
          </w:p>
        </w:tc>
        <w:tc>
          <w:tcPr>
            <w:tcW w:w="24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Capital Requirement</w:t>
            </w:r>
          </w:p>
        </w:tc>
        <w:tc>
          <w:tcPr>
            <w:tcW w:w="2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with Capital Buffer</w:t>
            </w:r>
          </w:p>
        </w:tc>
        <w:tc>
          <w:tcPr>
            <w:tcW w:w="2220" w:type="dxa"/>
            <w:vAlign w:val="bottom"/>
            <w:gridSpan w:val="2"/>
          </w:tcPr>
          <w:p>
            <w:pPr>
              <w:ind w:left="60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86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Amount</w:t>
            </w:r>
          </w:p>
        </w:tc>
        <w:tc>
          <w:tcPr>
            <w:tcW w:w="1440" w:type="dxa"/>
            <w:vAlign w:val="bottom"/>
            <w:tcBorders>
              <w:top w:val="single" w:sz="8" w:color="auto"/>
              <w:bottom w:val="single" w:sz="8" w:color="auto"/>
            </w:tcBorders>
          </w:tcPr>
          <w:p>
            <w:pPr>
              <w:ind w:left="740"/>
              <w:spacing w:after="0" w:line="142" w:lineRule="exact"/>
              <w:rPr>
                <w:sz w:val="20"/>
                <w:szCs w:val="20"/>
                <w:color w:val="auto"/>
              </w:rPr>
            </w:pPr>
            <w:r>
              <w:rPr>
                <w:rFonts w:ascii="Arial" w:cs="Arial" w:eastAsia="Arial" w:hAnsi="Arial"/>
                <w:sz w:val="14"/>
                <w:szCs w:val="14"/>
                <w:b w:val="1"/>
                <w:bCs w:val="1"/>
                <w:color w:val="auto"/>
              </w:rPr>
              <w:t>Ratio</w:t>
            </w:r>
          </w:p>
        </w:tc>
        <w:tc>
          <w:tcPr>
            <w:tcW w:w="20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94"/>
              </w:rPr>
              <w:t>Amount</w:t>
            </w:r>
          </w:p>
        </w:tc>
        <w:tc>
          <w:tcPr>
            <w:tcW w:w="1460" w:type="dxa"/>
            <w:vAlign w:val="bottom"/>
            <w:tcBorders>
              <w:top w:val="single" w:sz="8" w:color="auto"/>
              <w:bottom w:val="single" w:sz="8" w:color="auto"/>
            </w:tcBorders>
          </w:tcPr>
          <w:p>
            <w:pPr>
              <w:ind w:left="78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gridSpan w:val="3"/>
          </w:tcPr>
          <w:p>
            <w:pPr>
              <w:jc w:val="center"/>
              <w:ind w:right="280"/>
              <w:spacing w:after="0" w:line="144" w:lineRule="exact"/>
              <w:rPr>
                <w:sz w:val="20"/>
                <w:szCs w:val="20"/>
                <w:color w:val="auto"/>
              </w:rPr>
            </w:pPr>
            <w:r>
              <w:rPr>
                <w:rFonts w:ascii="Arial" w:cs="Arial" w:eastAsia="Arial" w:hAnsi="Arial"/>
                <w:sz w:val="14"/>
                <w:szCs w:val="14"/>
                <w:b w:val="1"/>
                <w:bCs w:val="1"/>
                <w:color w:val="auto"/>
                <w:w w:val="91"/>
              </w:rPr>
              <w:t>(dollars in thousands)</w:t>
            </w: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622617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ind w:left="660"/>
        <w:spacing w:after="0"/>
        <w:rPr>
          <w:sz w:val="20"/>
          <w:szCs w:val="20"/>
          <w:color w:val="auto"/>
        </w:rPr>
      </w:pPr>
      <w:r>
        <w:rPr>
          <w:rFonts w:ascii="Arial" w:cs="Arial" w:eastAsia="Arial" w:hAnsi="Arial"/>
          <w:sz w:val="16"/>
          <w:szCs w:val="16"/>
          <w:b w:val="1"/>
          <w:bCs w:val="1"/>
          <w:color w:val="auto"/>
        </w:rPr>
        <w:t>As of March 31, 2016:</w:t>
      </w:r>
    </w:p>
    <w:p>
      <w:pPr>
        <w:sectPr>
          <w:pgSz w:w="11900" w:h="16838" w:orient="portrait"/>
          <w:cols w:equalWidth="0" w:num="1">
            <w:col w:w="11400"/>
          </w:cols>
          <w:pgMar w:left="240" w:top="125" w:right="259" w:bottom="0" w:gutter="0" w:footer="0" w:header="0"/>
          <w:type w:val="continuous"/>
        </w:sectPr>
      </w:pPr>
    </w:p>
    <w:bookmarkStart w:id="19" w:name="page20"/>
    <w:bookmarkEnd w:id="19"/>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60" w:type="dxa"/>
            <w:vAlign w:val="bottom"/>
            <w:gridSpan w:val="10"/>
          </w:tcPr>
          <w:p>
            <w:pPr>
              <w:spacing w:after="0"/>
              <w:rPr>
                <w:sz w:val="20"/>
                <w:szCs w:val="20"/>
                <w:color w:val="auto"/>
              </w:rPr>
            </w:pPr>
            <w:r>
              <w:rPr>
                <w:rFonts w:ascii="Arial" w:cs="Arial" w:eastAsia="Arial" w:hAnsi="Arial"/>
                <w:sz w:val="18"/>
                <w:szCs w:val="18"/>
                <w:color w:val="auto"/>
              </w:rPr>
              <w:t>Total Capital (to Risk</w:t>
            </w: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4"/>
              </w:rPr>
              <w:t>Weighted Assets)</w:t>
            </w:r>
          </w:p>
        </w:tc>
        <w:tc>
          <w:tcPr>
            <w:tcW w:w="72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437,374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251,218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291,267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406,618</w:t>
            </w:r>
          </w:p>
        </w:tc>
        <w:tc>
          <w:tcPr>
            <w:tcW w:w="1020" w:type="dxa"/>
            <w:vAlign w:val="bottom"/>
          </w:tcPr>
          <w:p>
            <w:pPr>
              <w:jc w:val="right"/>
              <w:spacing w:after="0"/>
              <w:rPr>
                <w:sz w:val="20"/>
                <w:szCs w:val="20"/>
                <w:color w:val="auto"/>
              </w:rPr>
            </w:pPr>
            <w:r>
              <w:rPr>
                <w:rFonts w:ascii="Arial" w:cs="Arial" w:eastAsia="Arial" w:hAnsi="Arial"/>
                <w:sz w:val="18"/>
                <w:szCs w:val="18"/>
                <w:color w:val="auto"/>
              </w:rPr>
              <w:t>14.07%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249,298</w:t>
            </w:r>
          </w:p>
        </w:tc>
        <w:tc>
          <w:tcPr>
            <w:tcW w:w="1000" w:type="dxa"/>
            <w:vAlign w:val="bottom"/>
          </w:tcPr>
          <w:p>
            <w:pPr>
              <w:jc w:val="right"/>
              <w:spacing w:after="0"/>
              <w:rPr>
                <w:sz w:val="20"/>
                <w:szCs w:val="20"/>
                <w:color w:val="auto"/>
              </w:rPr>
            </w:pPr>
            <w:r>
              <w:rPr>
                <w:rFonts w:ascii="Arial" w:cs="Arial" w:eastAsia="Arial" w:hAnsi="Arial"/>
                <w:sz w:val="18"/>
                <w:szCs w:val="18"/>
                <w:color w:val="auto"/>
              </w:rPr>
              <w:t>8.625%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289,041</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40" w:type="dxa"/>
            <w:vAlign w:val="bottom"/>
            <w:gridSpan w:val="9"/>
          </w:tcPr>
          <w:p>
            <w:pPr>
              <w:spacing w:after="0" w:line="176" w:lineRule="exact"/>
              <w:rPr>
                <w:sz w:val="20"/>
                <w:szCs w:val="20"/>
                <w:color w:val="auto"/>
              </w:rPr>
            </w:pPr>
            <w:r>
              <w:rPr>
                <w:rFonts w:ascii="Arial" w:cs="Arial" w:eastAsia="Arial" w:hAnsi="Arial"/>
                <w:sz w:val="18"/>
                <w:szCs w:val="18"/>
                <w:color w:val="auto"/>
              </w:rPr>
              <w:t>Tier 1 Capital (to Risk</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99"/>
              </w:rPr>
              <w:t>Weighted Assets)</w:t>
            </w:r>
          </w:p>
        </w:tc>
        <w:tc>
          <w:tcPr>
            <w:tcW w:w="6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400,651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192,965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233,014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370,165</w:t>
            </w:r>
          </w:p>
        </w:tc>
        <w:tc>
          <w:tcPr>
            <w:tcW w:w="1020" w:type="dxa"/>
            <w:vAlign w:val="bottom"/>
          </w:tcPr>
          <w:p>
            <w:pPr>
              <w:jc w:val="right"/>
              <w:spacing w:after="0"/>
              <w:rPr>
                <w:sz w:val="20"/>
                <w:szCs w:val="20"/>
                <w:color w:val="auto"/>
              </w:rPr>
            </w:pPr>
            <w:r>
              <w:rPr>
                <w:rFonts w:ascii="Arial" w:cs="Arial" w:eastAsia="Arial" w:hAnsi="Arial"/>
                <w:sz w:val="18"/>
                <w:szCs w:val="18"/>
                <w:color w:val="auto"/>
              </w:rPr>
              <w:t>12.81%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191,490</w:t>
            </w:r>
          </w:p>
        </w:tc>
        <w:tc>
          <w:tcPr>
            <w:tcW w:w="1000" w:type="dxa"/>
            <w:vAlign w:val="bottom"/>
          </w:tcPr>
          <w:p>
            <w:pPr>
              <w:jc w:val="right"/>
              <w:spacing w:after="0"/>
              <w:rPr>
                <w:sz w:val="20"/>
                <w:szCs w:val="20"/>
                <w:color w:val="auto"/>
              </w:rPr>
            </w:pPr>
            <w:r>
              <w:rPr>
                <w:rFonts w:ascii="Arial" w:cs="Arial" w:eastAsia="Arial" w:hAnsi="Arial"/>
                <w:sz w:val="18"/>
                <w:szCs w:val="18"/>
                <w:color w:val="auto"/>
              </w:rPr>
              <w:t>6.625%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231,233</w:t>
            </w: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40" w:type="dxa"/>
            <w:vAlign w:val="bottom"/>
            <w:gridSpan w:val="9"/>
          </w:tcPr>
          <w:p>
            <w:pPr>
              <w:spacing w:after="0" w:line="176" w:lineRule="exact"/>
              <w:rPr>
                <w:sz w:val="20"/>
                <w:szCs w:val="20"/>
                <w:color w:val="auto"/>
              </w:rPr>
            </w:pPr>
            <w:r>
              <w:rPr>
                <w:rFonts w:ascii="Arial" w:cs="Arial" w:eastAsia="Arial" w:hAnsi="Arial"/>
                <w:sz w:val="18"/>
                <w:szCs w:val="18"/>
                <w:color w:val="auto"/>
              </w:rPr>
              <w:t>Common Equity Tier 1</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8"/>
          </w:tcPr>
          <w:p>
            <w:pPr>
              <w:spacing w:after="0" w:line="196" w:lineRule="exact"/>
              <w:rPr>
                <w:sz w:val="20"/>
                <w:szCs w:val="20"/>
                <w:color w:val="auto"/>
              </w:rPr>
            </w:pPr>
            <w:r>
              <w:rPr>
                <w:rFonts w:ascii="Arial" w:cs="Arial" w:eastAsia="Arial" w:hAnsi="Arial"/>
                <w:sz w:val="18"/>
                <w:szCs w:val="18"/>
                <w:color w:val="auto"/>
              </w:rPr>
              <w:t>Capital (to Risk Weighted</w:t>
            </w: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347,006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149,275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189,324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370,165</w:t>
            </w:r>
          </w:p>
        </w:tc>
        <w:tc>
          <w:tcPr>
            <w:tcW w:w="1020" w:type="dxa"/>
            <w:vAlign w:val="bottom"/>
          </w:tcPr>
          <w:p>
            <w:pPr>
              <w:jc w:val="right"/>
              <w:spacing w:after="0"/>
              <w:rPr>
                <w:sz w:val="20"/>
                <w:szCs w:val="20"/>
                <w:color w:val="auto"/>
              </w:rPr>
            </w:pPr>
            <w:r>
              <w:rPr>
                <w:rFonts w:ascii="Arial" w:cs="Arial" w:eastAsia="Arial" w:hAnsi="Arial"/>
                <w:sz w:val="18"/>
                <w:szCs w:val="18"/>
                <w:color w:val="auto"/>
              </w:rPr>
              <w:t>12.81%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148,134</w:t>
            </w:r>
          </w:p>
        </w:tc>
        <w:tc>
          <w:tcPr>
            <w:tcW w:w="1000" w:type="dxa"/>
            <w:vAlign w:val="bottom"/>
          </w:tcPr>
          <w:p>
            <w:pPr>
              <w:jc w:val="right"/>
              <w:spacing w:after="0"/>
              <w:rPr>
                <w:sz w:val="20"/>
                <w:szCs w:val="20"/>
                <w:color w:val="auto"/>
              </w:rPr>
            </w:pPr>
            <w:r>
              <w:rPr>
                <w:rFonts w:ascii="Arial" w:cs="Arial" w:eastAsia="Arial" w:hAnsi="Arial"/>
                <w:sz w:val="18"/>
                <w:szCs w:val="18"/>
                <w:color w:val="auto"/>
              </w:rPr>
              <w:t>5.125%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187,877</w:t>
            </w:r>
          </w:p>
        </w:tc>
        <w:tc>
          <w:tcPr>
            <w:tcW w:w="98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60" w:type="dxa"/>
            <w:vAlign w:val="bottom"/>
            <w:tcBorders>
              <w:bottom w:val="single" w:sz="8" w:color="auto"/>
            </w:tcBorders>
            <w:gridSpan w:val="7"/>
          </w:tcPr>
          <w:p>
            <w:pPr>
              <w:spacing w:after="0" w:line="176" w:lineRule="exact"/>
              <w:rPr>
                <w:sz w:val="20"/>
                <w:szCs w:val="20"/>
                <w:color w:val="auto"/>
              </w:rPr>
            </w:pPr>
            <w:r>
              <w:rPr>
                <w:rFonts w:ascii="Arial" w:cs="Arial" w:eastAsia="Arial" w:hAnsi="Arial"/>
                <w:sz w:val="18"/>
                <w:szCs w:val="18"/>
                <w:color w:val="auto"/>
                <w:w w:val="89"/>
              </w:rPr>
              <w:t>Tier 1 Capital (to Average</w:t>
            </w:r>
          </w:p>
        </w:tc>
        <w:tc>
          <w:tcPr>
            <w:tcW w:w="38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8"/>
          </w:tcPr>
          <w:p>
            <w:pPr>
              <w:spacing w:after="0" w:line="196" w:lineRule="exact"/>
              <w:rPr>
                <w:sz w:val="20"/>
                <w:szCs w:val="20"/>
                <w:color w:val="auto"/>
              </w:rPr>
            </w:pPr>
            <w:r>
              <w:rPr>
                <w:rFonts w:ascii="Arial" w:cs="Arial" w:eastAsia="Arial" w:hAnsi="Arial"/>
                <w:sz w:val="18"/>
                <w:szCs w:val="18"/>
                <w:color w:val="auto"/>
              </w:rPr>
              <w:t>Assets)</w:t>
            </w: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400,651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154,733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370,165</w:t>
            </w:r>
          </w:p>
        </w:tc>
        <w:tc>
          <w:tcPr>
            <w:tcW w:w="1020" w:type="dxa"/>
            <w:vAlign w:val="bottom"/>
          </w:tcPr>
          <w:p>
            <w:pPr>
              <w:jc w:val="right"/>
              <w:spacing w:after="0"/>
              <w:rPr>
                <w:sz w:val="20"/>
                <w:szCs w:val="20"/>
                <w:color w:val="auto"/>
              </w:rPr>
            </w:pPr>
            <w:r>
              <w:rPr>
                <w:rFonts w:ascii="Arial" w:cs="Arial" w:eastAsia="Arial" w:hAnsi="Arial"/>
                <w:sz w:val="18"/>
                <w:szCs w:val="18"/>
                <w:color w:val="auto"/>
              </w:rPr>
              <w:t>9.63%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153,829</w:t>
            </w: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192,286</w:t>
            </w: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Operating Segments and Related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three reportable operating segments, Banking, Remittance Processing and Wealth Management. The Banking operating segment provides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full range of banking services to individual and corporate customers through its branch network in downstate Illinois, through its branch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Indianapolis, Indiana, and through its branch network in southwest Florida. The Remittance Processing operating segment provides for online bill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lockbox and walk-in payments. The Wealth Management operating segment provides a full range of asset management, investment and fiduciary services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individuals, businesses and foundations, tax preparation, philanthropic advisory services and farm and brokerage services.</w:t>
      </w:r>
    </w:p>
    <w:p>
      <w:pPr>
        <w:spacing w:after="0" w:line="21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Effective for the year ended December 31, 2015, the Company realigned its operating segments. Results for the operating segments were revised for prior periods to reflect the impact of this realignment.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operating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Goodwill</w:t>
            </w:r>
          </w:p>
        </w:tc>
        <w:tc>
          <w:tcPr>
            <w:tcW w:w="1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120" w:type="dxa"/>
            <w:vAlign w:val="bottom"/>
          </w:tcPr>
          <w:p>
            <w:pPr>
              <w:jc w:val="right"/>
              <w:ind w:right="316"/>
              <w:spacing w:after="0" w:line="119" w:lineRule="exact"/>
              <w:rPr>
                <w:sz w:val="20"/>
                <w:szCs w:val="20"/>
                <w:color w:val="auto"/>
              </w:rPr>
            </w:pPr>
            <w:r>
              <w:rPr>
                <w:rFonts w:ascii="Arial" w:cs="Arial" w:eastAsia="Arial" w:hAnsi="Arial"/>
                <w:sz w:val="13"/>
                <w:szCs w:val="13"/>
                <w:b w:val="1"/>
                <w:bCs w:val="1"/>
                <w:color w:val="auto"/>
              </w:rPr>
              <w:t>December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080" w:type="dxa"/>
            <w:vAlign w:val="bottom"/>
          </w:tcPr>
          <w:p>
            <w:pPr>
              <w:jc w:val="right"/>
              <w:ind w:right="296"/>
              <w:spacing w:after="0" w:line="119" w:lineRule="exact"/>
              <w:rPr>
                <w:sz w:val="20"/>
                <w:szCs w:val="20"/>
                <w:color w:val="auto"/>
              </w:rPr>
            </w:pPr>
            <w:r>
              <w:rPr>
                <w:rFonts w:ascii="Arial" w:cs="Arial" w:eastAsia="Arial" w:hAnsi="Arial"/>
                <w:sz w:val="13"/>
                <w:szCs w:val="13"/>
                <w:b w:val="1"/>
                <w:bCs w:val="1"/>
                <w:color w:val="auto"/>
              </w:rPr>
              <w:t>December</w:t>
            </w:r>
          </w:p>
        </w:tc>
        <w:tc>
          <w:tcPr>
            <w:tcW w:w="10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31, 2015</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31, 2015</w:t>
            </w:r>
          </w:p>
        </w:tc>
        <w:tc>
          <w:tcPr>
            <w:tcW w:w="10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Banking</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3,837,178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3,944,031</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Remittance Processing</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8,992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30,773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30,231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27,729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(5,050)</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(2,937)</w:t>
            </w:r>
          </w:p>
        </w:tc>
      </w:tr>
      <w:tr>
        <w:trPr>
          <w:trHeight w:val="210"/>
        </w:trPr>
        <w:tc>
          <w:tcPr>
            <w:tcW w:w="5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3,890,630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88"/>
              </w:rPr>
              <w:t>Net interest income:</w:t>
            </w:r>
          </w:p>
        </w:tc>
        <w:tc>
          <w:tcPr>
            <w:tcW w:w="2960" w:type="dxa"/>
            <w:vAlign w:val="bottom"/>
            <w:tcBorders>
              <w:top w:val="single" w:sz="8" w:color="CCEEFF"/>
              <w:bottom w:val="single" w:sz="8" w:color="CCEEFF"/>
            </w:tcBorders>
            <w:shd w:val="clear" w:color="auto" w:fill="CCEEFF"/>
          </w:tcPr>
          <w:p>
            <w:pPr>
              <w:spacing w:after="0"/>
              <w:rPr>
                <w:sz w:val="15"/>
                <w:szCs w:val="15"/>
                <w:color w:val="auto"/>
              </w:rPr>
            </w:pPr>
          </w:p>
        </w:tc>
        <w:tc>
          <w:tcPr>
            <w:tcW w:w="22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ind w:left="160"/>
              <w:spacing w:after="0"/>
              <w:rPr>
                <w:sz w:val="20"/>
                <w:szCs w:val="20"/>
                <w:color w:val="auto"/>
              </w:rPr>
            </w:pPr>
            <w:r>
              <w:rPr>
                <w:rFonts w:ascii="Arial" w:cs="Arial" w:eastAsia="Arial" w:hAnsi="Arial"/>
                <w:sz w:val="18"/>
                <w:szCs w:val="18"/>
                <w:color w:val="auto"/>
              </w:rPr>
              <w:t>Banking</w:t>
            </w:r>
          </w:p>
        </w:tc>
        <w:tc>
          <w:tcPr>
            <w:tcW w:w="314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28,212</w:t>
            </w:r>
          </w:p>
        </w:tc>
        <w:tc>
          <w:tcPr>
            <w:tcW w:w="98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26,880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Remittance Processing</w:t>
            </w:r>
          </w:p>
        </w:tc>
        <w:tc>
          <w:tcPr>
            <w:tcW w:w="2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ind w:left="160"/>
              <w:spacing w:after="0"/>
              <w:rPr>
                <w:sz w:val="20"/>
                <w:szCs w:val="20"/>
                <w:color w:val="auto"/>
              </w:rPr>
            </w:pPr>
            <w:r>
              <w:rPr>
                <w:rFonts w:ascii="Arial" w:cs="Arial" w:eastAsia="Arial" w:hAnsi="Arial"/>
                <w:sz w:val="18"/>
                <w:szCs w:val="18"/>
                <w:color w:val="auto"/>
              </w:rPr>
              <w:t>Wealth Management</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Total net interest income</w:t>
            </w:r>
          </w:p>
        </w:tc>
        <w:tc>
          <w:tcPr>
            <w:tcW w:w="22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27,942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26,670</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0" w:type="dxa"/>
            <w:vAlign w:val="bottom"/>
            <w:gridSpan w:val="4"/>
          </w:tcPr>
          <w:p>
            <w:pPr>
              <w:spacing w:after="0" w:line="176" w:lineRule="exact"/>
              <w:rPr>
                <w:sz w:val="20"/>
                <w:szCs w:val="20"/>
                <w:color w:val="auto"/>
              </w:rPr>
            </w:pPr>
            <w:r>
              <w:rPr>
                <w:rFonts w:ascii="Arial" w:cs="Arial" w:eastAsia="Arial" w:hAnsi="Arial"/>
                <w:sz w:val="18"/>
                <w:szCs w:val="18"/>
                <w:color w:val="auto"/>
              </w:rPr>
              <w:t>Other income:</w:t>
            </w: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Banking</w:t>
            </w:r>
          </w:p>
        </w:tc>
        <w:tc>
          <w:tcPr>
            <w:tcW w:w="314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ind w:left="160"/>
              <w:spacing w:after="0"/>
              <w:rPr>
                <w:sz w:val="20"/>
                <w:szCs w:val="20"/>
                <w:color w:val="auto"/>
              </w:rPr>
            </w:pPr>
            <w:r>
              <w:rPr>
                <w:rFonts w:ascii="Arial" w:cs="Arial" w:eastAsia="Arial" w:hAnsi="Arial"/>
                <w:sz w:val="18"/>
                <w:szCs w:val="18"/>
                <w:color w:val="auto"/>
              </w:rPr>
              <w:t>Remittance Processing</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Wealth Management</w:t>
            </w:r>
          </w:p>
        </w:tc>
        <w:tc>
          <w:tcPr>
            <w:tcW w:w="2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other income</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15,965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Other expense:</w:t>
            </w:r>
          </w:p>
        </w:tc>
        <w:tc>
          <w:tcPr>
            <w:tcW w:w="2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Banking</w:t>
            </w:r>
          </w:p>
        </w:tc>
        <w:tc>
          <w:tcPr>
            <w:tcW w:w="3340" w:type="dxa"/>
            <w:vAlign w:val="bottom"/>
            <w:tcBorders>
              <w:top w:val="single" w:sz="8" w:color="CCEEFF"/>
            </w:tcBorders>
            <w:gridSpan w:val="2"/>
          </w:tcPr>
          <w:p>
            <w:pPr>
              <w:spacing w:after="0"/>
              <w:rPr>
                <w:sz w:val="18"/>
                <w:szCs w:val="18"/>
                <w:color w:val="auto"/>
              </w:rPr>
            </w:pPr>
          </w:p>
        </w:tc>
        <w:tc>
          <w:tcPr>
            <w:tcW w:w="3140" w:type="dxa"/>
            <w:vAlign w:val="bottom"/>
            <w:tcBorders>
              <w:top w:val="single" w:sz="8" w:color="CCEEFF"/>
            </w:tcBorders>
            <w:gridSpan w:val="2"/>
          </w:tcPr>
          <w:p>
            <w:pPr>
              <w:jc w:val="right"/>
              <w:ind w:right="707"/>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90"/>
              </w:rPr>
              <w:t>19,976</w:t>
            </w:r>
          </w:p>
        </w:tc>
        <w:tc>
          <w:tcPr>
            <w:tcW w:w="980" w:type="dxa"/>
            <w:vAlign w:val="bottom"/>
            <w:tcBorders>
              <w:top w:val="single" w:sz="8" w:color="CCEEFF"/>
            </w:tcBorders>
            <w:gridSpan w:val="2"/>
          </w:tcPr>
          <w:p>
            <w:pPr>
              <w:jc w:val="right"/>
              <w:ind w:right="705"/>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0"/>
              </w:rPr>
              <w:t>23,407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8"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2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tcPr>
          <w:p>
            <w:pPr>
              <w:ind w:left="180"/>
              <w:spacing w:after="0"/>
              <w:rPr>
                <w:sz w:val="20"/>
                <w:szCs w:val="20"/>
                <w:color w:val="auto"/>
              </w:rPr>
            </w:pPr>
            <w:r>
              <w:rPr>
                <w:rFonts w:ascii="Arial" w:cs="Arial" w:eastAsia="Arial" w:hAnsi="Arial"/>
                <w:sz w:val="18"/>
                <w:szCs w:val="18"/>
                <w:color w:val="auto"/>
              </w:rPr>
              <w:t>Wealth Management</w:t>
            </w:r>
          </w:p>
        </w:tc>
        <w:tc>
          <w:tcPr>
            <w:tcW w:w="2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88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other expense</w:t>
            </w:r>
          </w:p>
        </w:tc>
        <w:tc>
          <w:tcPr>
            <w:tcW w:w="28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27,688</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30,547</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 w:type="dxa"/>
            <w:vAlign w:val="bottom"/>
            <w:vMerge w:val="continue"/>
          </w:tcPr>
          <w:p>
            <w:pPr>
              <w:spacing w:after="0"/>
              <w:rPr>
                <w:sz w:val="15"/>
                <w:szCs w:val="15"/>
                <w:color w:val="auto"/>
              </w:rPr>
            </w:pPr>
          </w:p>
        </w:tc>
        <w:tc>
          <w:tcPr>
            <w:tcW w:w="3880" w:type="dxa"/>
            <w:vAlign w:val="bottom"/>
            <w:gridSpan w:val="3"/>
          </w:tcPr>
          <w:p>
            <w:pPr>
              <w:spacing w:after="0" w:line="176" w:lineRule="exact"/>
              <w:rPr>
                <w:sz w:val="20"/>
                <w:szCs w:val="20"/>
                <w:color w:val="auto"/>
              </w:rPr>
            </w:pPr>
            <w:r>
              <w:rPr>
                <w:rFonts w:ascii="Arial" w:cs="Arial" w:eastAsia="Arial" w:hAnsi="Arial"/>
                <w:sz w:val="18"/>
                <w:szCs w:val="18"/>
                <w:color w:val="auto"/>
              </w:rPr>
              <w:t>Income before income taxes:</w:t>
            </w:r>
          </w:p>
        </w:tc>
        <w:tc>
          <w:tcPr>
            <w:tcW w:w="2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33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15,026</w:t>
            </w:r>
          </w:p>
        </w:tc>
        <w:tc>
          <w:tcPr>
            <w:tcW w:w="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tcPr>
          <w:p>
            <w:pPr>
              <w:ind w:left="180"/>
              <w:spacing w:after="0"/>
              <w:rPr>
                <w:sz w:val="20"/>
                <w:szCs w:val="20"/>
                <w:color w:val="auto"/>
              </w:rPr>
            </w:pPr>
            <w:r>
              <w:rPr>
                <w:rFonts w:ascii="Arial" w:cs="Arial" w:eastAsia="Arial" w:hAnsi="Arial"/>
                <w:sz w:val="18"/>
                <w:szCs w:val="18"/>
                <w:color w:val="auto"/>
              </w:rPr>
              <w:t>Remittance Processing</w:t>
            </w:r>
          </w:p>
        </w:tc>
        <w:tc>
          <w:tcPr>
            <w:tcW w:w="2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2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income before income taxes</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3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Net income:</w:t>
            </w:r>
          </w:p>
        </w:tc>
        <w:tc>
          <w:tcPr>
            <w:tcW w:w="2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Banking</w:t>
            </w:r>
          </w:p>
        </w:tc>
        <w:tc>
          <w:tcPr>
            <w:tcW w:w="3000" w:type="dxa"/>
            <w:vAlign w:val="bottom"/>
            <w:tcBorders>
              <w:top w:val="single" w:sz="8" w:color="CCEEFF"/>
            </w:tcBorders>
            <w:gridSpan w:val="2"/>
          </w:tcPr>
          <w:p>
            <w:pPr>
              <w:spacing w:after="0"/>
              <w:rPr>
                <w:sz w:val="18"/>
                <w:szCs w:val="18"/>
                <w:color w:val="auto"/>
              </w:rPr>
            </w:pPr>
          </w:p>
        </w:tc>
        <w:tc>
          <w:tcPr>
            <w:tcW w:w="3300" w:type="dxa"/>
            <w:vAlign w:val="bottom"/>
            <w:tcBorders>
              <w:top w:val="single" w:sz="8" w:color="CCEEFF"/>
            </w:tcBorders>
            <w:gridSpan w:val="2"/>
          </w:tcPr>
          <w:p>
            <w:pPr>
              <w:jc w:val="right"/>
              <w:ind w:right="325"/>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9,703</w:t>
            </w: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6,645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2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tcPr>
          <w:p>
            <w:pPr>
              <w:ind w:left="180"/>
              <w:spacing w:after="0"/>
              <w:rPr>
                <w:sz w:val="20"/>
                <w:szCs w:val="20"/>
                <w:color w:val="auto"/>
              </w:rPr>
            </w:pPr>
            <w:r>
              <w:rPr>
                <w:rFonts w:ascii="Arial" w:cs="Arial" w:eastAsia="Arial" w:hAnsi="Arial"/>
                <w:sz w:val="18"/>
                <w:szCs w:val="18"/>
                <w:color w:val="auto"/>
              </w:rPr>
              <w:t>Wealth Management</w:t>
            </w:r>
          </w:p>
        </w:tc>
        <w:tc>
          <w:tcPr>
            <w:tcW w:w="2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80" w:type="dxa"/>
            <w:vAlign w:val="bottom"/>
            <w:gridSpan w:val="3"/>
          </w:tcPr>
          <w:p>
            <w:pPr>
              <w:ind w:left="360"/>
              <w:spacing w:after="0"/>
              <w:rPr>
                <w:sz w:val="20"/>
                <w:szCs w:val="20"/>
                <w:color w:val="auto"/>
              </w:rPr>
            </w:pPr>
            <w:r>
              <w:rPr>
                <w:rFonts w:ascii="Arial" w:cs="Arial" w:eastAsia="Arial" w:hAnsi="Arial"/>
                <w:sz w:val="18"/>
                <w:szCs w:val="18"/>
                <w:color w:val="auto"/>
              </w:rPr>
              <w:t>Total net income</w:t>
            </w:r>
          </w:p>
        </w:tc>
        <w:tc>
          <w:tcPr>
            <w:tcW w:w="28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20" w:type="dxa"/>
            <w:vAlign w:val="bottom"/>
            <w:vMerge w:val="restart"/>
          </w:tcPr>
          <w:p>
            <w:pPr>
              <w:jc w:val="right"/>
              <w:ind w:right="1470"/>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FASB ASC Topic 820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March 31, 2016.</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determine the fair value of certain financial instruments could result in a different estimate of fair value at the reporting date. Furthermore, the reported fair value amounts have not been comprehensively revalued since the presentation dates and, therefore, estimates of fair value after the balance sheet date may differ significantly from the amounts presented herein.</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Securities Available for Sale</w:t>
      </w:r>
      <w:r>
        <w:rPr>
          <w:rFonts w:ascii="Arial" w:cs="Arial" w:eastAsia="Arial" w:hAnsi="Arial"/>
          <w:sz w:val="17"/>
          <w:szCs w:val="17"/>
          <w:color w:val="auto"/>
        </w:rPr>
        <w:t>. Securities classified as available for sale are reported at fair value utilizing level 1 and level 2 measurements. For mutual funds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equity securities, unadjusted quoted prices in active markets for identical assets are utilized to determine fair value at the measurement date and have been classified as level 1 in the ASC 820 fair value hierarchy. For all other securities, the Company obtains fair value measurements from an independent pricing service. The independent pricing service evaluations are based on market data.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as appropriate through processes such as benchmark curves, benchmarking of like securities, sector groupings, and matrix pricing, to prepare evaluations. In addition, 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ectPr>
          <w:pgSz w:w="11900" w:h="16838" w:orient="portrait"/>
          <w:cols w:equalWidth="0" w:num="1">
            <w:col w:w="11460"/>
          </w:cols>
          <w:pgMar w:left="240" w:top="140" w:right="199" w:bottom="0" w:gutter="0" w:footer="0" w:header="0"/>
        </w:sectPr>
      </w:pPr>
    </w:p>
    <w:bookmarkStart w:id="21" w:name="page22"/>
    <w:bookmarkEnd w:id="21"/>
    <w:p>
      <w:pPr>
        <w:spacing w:after="0" w:line="255" w:lineRule="auto"/>
        <w:rPr>
          <w:sz w:val="20"/>
          <w:szCs w:val="20"/>
          <w:color w:val="auto"/>
        </w:rPr>
      </w:pPr>
      <w:r>
        <w:rPr>
          <w:rFonts w:ascii="Arial" w:cs="Arial" w:eastAsia="Arial" w:hAnsi="Arial"/>
          <w:sz w:val="18"/>
          <w:szCs w:val="18"/>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the ASC 820 fair value hierarchy.</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Loans held for sale. </w:t>
      </w:r>
      <w:r>
        <w:rPr>
          <w:rFonts w:ascii="Arial" w:cs="Arial" w:eastAsia="Arial" w:hAnsi="Arial"/>
          <w:sz w:val="17"/>
          <w:szCs w:val="17"/>
          <w:color w:val="auto"/>
        </w:rPr>
        <w:t>Beginning on January 1, 2016, the Company elected to adopt the fair value option for all residential mortgage loans held for sale and 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for such loans at their fair values with changes in fair value recognized in earnings, consistent with the provisions in ASC 820. The Company accounted for held for sale loans that were originated prior to January 1, 2016 under the lower of cost or fair value option, with any corresponding adjustments recorded as a valuation adjustment, if necessary. Such fair value adjustments are recorded as a component of gain on sale of loans in the accompanying unaudited Consolidated Interim Financial Statements. The fair value of the mortgage loans held for sale are measured using observable quoted market or contract prices or market price equivalents and are classified as level 2 in the ASC 820 fair value hierarchy.</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Derivative Assets and Derivative Liabilities. </w:t>
      </w:r>
      <w:r>
        <w:rPr>
          <w:rFonts w:ascii="Arial" w:cs="Arial" w:eastAsia="Arial" w:hAnsi="Arial"/>
          <w:sz w:val="18"/>
          <w:szCs w:val="18"/>
          <w:color w:val="auto"/>
        </w:rPr>
        <w:t>Derivative assets and derivative liabilities are reported at fair value utilizing level 2 measurements.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positive fair values are reported as an asset and derivative instruments with negative fair value are reported as liabilities. The fair value of derivative assets and liabilities is determined based on prices obtained from a third party. Values of derivative assets and liabilities are primarily based on observable inputs and are classified as level 2 in the ASC 820 fair value hierarchy.</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The following table summarizes financial assets and financial liabilities measured at fair value on a recurring basis as of March 31, 2016 and December 31, 2015, segregated by the level of the valuation inputs within the fair value hierarchy utilized to measure fair value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March 31, 2016</w:t>
            </w:r>
          </w:p>
        </w:tc>
        <w:tc>
          <w:tcPr>
            <w:tcW w:w="34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65,502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110,643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169,242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279,462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150,866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3,055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12,943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December 31, 2015</w:t>
            </w:r>
          </w:p>
        </w:tc>
        <w:tc>
          <w:tcPr>
            <w:tcW w:w="4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65,191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132,605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178,612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307,549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148,805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2,076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Impaired Loans</w:t>
      </w:r>
      <w:r>
        <w:rPr>
          <w:rFonts w:ascii="Arial" w:cs="Arial" w:eastAsia="Arial" w:hAnsi="Arial"/>
          <w:sz w:val="18"/>
          <w:szCs w:val="18"/>
          <w:color w:val="auto"/>
        </w:rPr>
        <w:t>. The Company does not record loans at fair value on a recurring basis. However, periodically, a loan is considered impaired and is reported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inputs, including recent appraisals, and unobservable inputs based on customized discounting criteria. Due to the significance of the unobservable inputs, all impaired loan fair values have been classified as level 3 in the ASC 820 fair value hierarchy.</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the ASC 820 fair value hierarchy.</w:t>
      </w:r>
    </w:p>
    <w:p>
      <w:pPr>
        <w:sectPr>
          <w:pgSz w:w="11900" w:h="16838" w:orient="portrait"/>
          <w:cols w:equalWidth="0" w:num="1">
            <w:col w:w="11420"/>
          </w:cols>
          <w:pgMar w:left="240" w:top="125" w:right="239" w:bottom="8" w:gutter="0" w:footer="0" w:header="0"/>
        </w:sectPr>
      </w:pPr>
    </w:p>
    <w:bookmarkStart w:id="22" w:name="page23"/>
    <w:bookmarkEnd w:id="22"/>
    <w:p>
      <w:pPr>
        <w:ind w:right="780"/>
        <w:spacing w:after="0" w:line="308" w:lineRule="auto"/>
        <w:rPr>
          <w:sz w:val="20"/>
          <w:szCs w:val="20"/>
          <w:color w:val="auto"/>
        </w:rPr>
      </w:pPr>
      <w:r>
        <w:rPr>
          <w:rFonts w:ascii="Arial" w:cs="Arial" w:eastAsia="Arial" w:hAnsi="Arial"/>
          <w:sz w:val="17"/>
          <w:szCs w:val="17"/>
          <w:color w:val="auto"/>
        </w:rPr>
        <w:t xml:space="preserve">The following table summarizes assets and liabilities measured at fair value on a non-recurring basis as of March 31, 2016 and December 31, 2015,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0"/>
              </w:rPr>
              <w:t>March 31 2016</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5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Impaired loans</w:t>
            </w:r>
          </w:p>
        </w:tc>
        <w:tc>
          <w:tcPr>
            <w:tcW w:w="45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5,298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OREO</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2015</w:t>
            </w:r>
          </w:p>
        </w:tc>
        <w:tc>
          <w:tcPr>
            <w:tcW w:w="3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Impaired loans</w:t>
            </w:r>
          </w:p>
        </w:tc>
        <w:tc>
          <w:tcPr>
            <w:tcW w:w="458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tcBorders>
              <w:top w:val="single" w:sz="8" w:color="CCEEFF"/>
            </w:tcBorders>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3"/>
              </w:rPr>
              <w:t>6,138</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OREO(1)</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5"/>
              </w:rPr>
              <w:t>Quantitative Information about Level 3 Fair Value Measurements</w:t>
            </w:r>
          </w:p>
        </w:tc>
        <w:tc>
          <w:tcPr>
            <w:tcW w:w="2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Valuation</w:t>
            </w:r>
          </w:p>
        </w:tc>
        <w:tc>
          <w:tcPr>
            <w:tcW w:w="26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0"/>
              </w:rPr>
              <w:t>Unobservable</w:t>
            </w:r>
          </w:p>
        </w:tc>
        <w:tc>
          <w:tcPr>
            <w:tcW w:w="2460" w:type="dxa"/>
            <w:vAlign w:val="bottom"/>
          </w:tcPr>
          <w:p>
            <w:pPr>
              <w:jc w:val="center"/>
              <w:ind w:right="198"/>
              <w:spacing w:after="0" w:line="119" w:lineRule="exact"/>
              <w:rPr>
                <w:sz w:val="20"/>
                <w:szCs w:val="20"/>
                <w:color w:val="auto"/>
              </w:rPr>
            </w:pPr>
            <w:r>
              <w:rPr>
                <w:rFonts w:ascii="Arial" w:cs="Arial" w:eastAsia="Arial" w:hAnsi="Arial"/>
                <w:sz w:val="13"/>
                <w:szCs w:val="13"/>
                <w:b w:val="1"/>
                <w:bCs w:val="1"/>
                <w:color w:val="auto"/>
                <w:w w:val="95"/>
              </w:rPr>
              <w:t>Range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620" w:type="dxa"/>
            <w:vAlign w:val="bottom"/>
            <w:gridSpan w:val="3"/>
            <w:vMerge w:val="continue"/>
          </w:tcPr>
          <w:p>
            <w:pPr>
              <w:spacing w:after="0"/>
              <w:rPr>
                <w:sz w:val="12"/>
                <w:szCs w:val="12"/>
                <w:color w:val="auto"/>
              </w:rPr>
            </w:pPr>
          </w:p>
        </w:tc>
        <w:tc>
          <w:tcPr>
            <w:tcW w:w="2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Estimate</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Techniques</w:t>
            </w:r>
          </w:p>
        </w:tc>
        <w:tc>
          <w:tcPr>
            <w:tcW w:w="26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9"/>
              </w:rPr>
              <w:t>Input</w:t>
            </w:r>
          </w:p>
        </w:tc>
        <w:tc>
          <w:tcPr>
            <w:tcW w:w="2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0"/>
              </w:rPr>
              <w:t>March 31, 2016</w:t>
            </w:r>
          </w:p>
        </w:tc>
        <w:tc>
          <w:tcPr>
            <w:tcW w:w="10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0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2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Impaired loans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5,298</w:t>
            </w:r>
          </w:p>
        </w:tc>
        <w:tc>
          <w:tcPr>
            <w:tcW w:w="2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Appraisal of collateral</w:t>
            </w:r>
          </w:p>
        </w:tc>
        <w:tc>
          <w:tcPr>
            <w:tcW w:w="2620" w:type="dxa"/>
            <w:vAlign w:val="bottom"/>
            <w:gridSpan w:val="3"/>
          </w:tcPr>
          <w:p>
            <w:pPr>
              <w:jc w:val="center"/>
              <w:ind w:right="540"/>
              <w:spacing w:after="0"/>
              <w:rPr>
                <w:sz w:val="20"/>
                <w:szCs w:val="20"/>
                <w:color w:val="auto"/>
              </w:rPr>
            </w:pPr>
            <w:r>
              <w:rPr>
                <w:rFonts w:ascii="Arial" w:cs="Arial" w:eastAsia="Arial" w:hAnsi="Arial"/>
                <w:sz w:val="18"/>
                <w:szCs w:val="18"/>
                <w:color w:val="auto"/>
                <w:w w:val="90"/>
              </w:rPr>
              <w:t>Appraisal adjustments</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-3.4% to -100.0% (-37.4)%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OREO</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3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Appraisal of collateral</w:t>
            </w:r>
          </w:p>
        </w:tc>
        <w:tc>
          <w:tcPr>
            <w:tcW w:w="262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0"/>
              </w:rPr>
              <w:t>Appraisal adjustments</w:t>
            </w:r>
          </w:p>
        </w:tc>
        <w:tc>
          <w:tcPr>
            <w:tcW w:w="25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-87.8% to -100.0% (-99.7)%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December 31, 2015</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6,138</w:t>
            </w:r>
          </w:p>
        </w:tc>
        <w:tc>
          <w:tcPr>
            <w:tcW w:w="23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Appraisal of collateral</w:t>
            </w:r>
          </w:p>
        </w:tc>
        <w:tc>
          <w:tcPr>
            <w:tcW w:w="262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0"/>
              </w:rPr>
              <w:t>Appraisal adjustments</w:t>
            </w:r>
          </w:p>
        </w:tc>
        <w:tc>
          <w:tcPr>
            <w:tcW w:w="25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-4.3% to -100.0% (-30.9)%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OREO(1)</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Appraisal of collateral</w:t>
            </w:r>
          </w:p>
        </w:tc>
        <w:tc>
          <w:tcPr>
            <w:tcW w:w="2620" w:type="dxa"/>
            <w:vAlign w:val="bottom"/>
            <w:gridSpan w:val="3"/>
          </w:tcPr>
          <w:p>
            <w:pPr>
              <w:jc w:val="center"/>
              <w:ind w:right="540"/>
              <w:spacing w:after="0"/>
              <w:rPr>
                <w:sz w:val="20"/>
                <w:szCs w:val="20"/>
                <w:color w:val="auto"/>
              </w:rPr>
            </w:pPr>
            <w:r>
              <w:rPr>
                <w:rFonts w:ascii="Arial" w:cs="Arial" w:eastAsia="Arial" w:hAnsi="Arial"/>
                <w:sz w:val="18"/>
                <w:szCs w:val="18"/>
                <w:color w:val="auto"/>
                <w:w w:val="90"/>
              </w:rPr>
              <w:t>Appraisal adjustments</w:t>
            </w:r>
          </w:p>
        </w:tc>
        <w:tc>
          <w:tcPr>
            <w:tcW w:w="2460" w:type="dxa"/>
            <w:vAlign w:val="bottom"/>
          </w:tcPr>
          <w:p>
            <w:pPr>
              <w:jc w:val="center"/>
              <w:ind w:right="198"/>
              <w:spacing w:after="0"/>
              <w:rPr>
                <w:sz w:val="20"/>
                <w:szCs w:val="20"/>
                <w:color w:val="auto"/>
              </w:rPr>
            </w:pPr>
            <w:r>
              <w:rPr>
                <w:rFonts w:ascii="Arial" w:cs="Arial" w:eastAsia="Arial" w:hAnsi="Arial"/>
                <w:sz w:val="18"/>
                <w:szCs w:val="18"/>
                <w:color w:val="auto"/>
                <w:w w:val="91"/>
              </w:rPr>
              <w:t>-100.0% (-100.0)%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estimated fair values of financial instruments that are reported at amortized cost in the Company’s Consolidated Balance Sheets, segregated by the level of the valuation inputs within the fair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March 31, 2016</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 2015</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Carrying</w:t>
            </w:r>
          </w:p>
        </w:tc>
        <w:tc>
          <w:tcPr>
            <w:tcW w:w="400" w:type="dxa"/>
            <w:vAlign w:val="bottom"/>
          </w:tcPr>
          <w:p>
            <w:pPr>
              <w:spacing w:after="0"/>
              <w:rPr>
                <w:sz w:val="10"/>
                <w:szCs w:val="10"/>
                <w:color w:val="auto"/>
              </w:rPr>
            </w:pPr>
          </w:p>
        </w:tc>
        <w:tc>
          <w:tcPr>
            <w:tcW w:w="940" w:type="dxa"/>
            <w:vAlign w:val="bottom"/>
          </w:tcPr>
          <w:p>
            <w:pPr>
              <w:jc w:val="right"/>
              <w:ind w:right="453"/>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jc w:val="center"/>
              <w:ind w:right="413"/>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r>
      <w:tr>
        <w:trPr>
          <w:trHeight w:val="171"/>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Level 1 inputs: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320,960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320,960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319,280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319,280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Level 2 inputs: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held to maturity</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49,082</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49,832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50,271</w:t>
            </w: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Loans held for sale(2)</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9,492</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12,461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12,122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Level 3 inputs: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net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2,527,398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2,537,679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2,580,252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2,583,458</w:t>
            </w: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3,199</w:t>
            </w:r>
          </w:p>
        </w:tc>
        <w:tc>
          <w:tcPr>
            <w:tcW w:w="4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5,896</w:t>
            </w:r>
          </w:p>
        </w:tc>
      </w:tr>
      <w:tr>
        <w:trPr>
          <w:trHeight w:val="216"/>
        </w:trPr>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Financial liabilities: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3,181,728</w:t>
            </w:r>
          </w:p>
        </w:tc>
        <w:tc>
          <w:tcPr>
            <w:tcW w:w="30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3,181,066</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3,289,106</w:t>
            </w:r>
          </w:p>
        </w:tc>
        <w:tc>
          <w:tcPr>
            <w:tcW w:w="14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3,286,677</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166,141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166,141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172,972</w:t>
            </w: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80,000</w:t>
            </w:r>
          </w:p>
        </w:tc>
        <w:tc>
          <w:tcPr>
            <w:tcW w:w="4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80,000</w:t>
            </w:r>
          </w:p>
        </w:tc>
      </w:tr>
      <w:tr>
        <w:trPr>
          <w:trHeight w:val="202"/>
        </w:trPr>
        <w:tc>
          <w:tcPr>
            <w:tcW w:w="4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Junior subordinated debt owed to unconsolidated</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trusts</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55,000</w:t>
            </w:r>
          </w:p>
        </w:tc>
        <w:tc>
          <w:tcPr>
            <w:tcW w:w="4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55,000</w:t>
            </w: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423</w:t>
            </w:r>
          </w:p>
        </w:tc>
        <w:tc>
          <w:tcPr>
            <w:tcW w:w="4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(2)Effective January 1, 2016, measured at fair value on a recurring basis.</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FASB 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fair value of loans, net reflects general changes in the interest rate curve used to calculate fair values based on cash flows. </w:t>
      </w:r>
      <w:r>
        <w:rPr>
          <w:rFonts w:ascii="Arial" w:cs="Arial" w:eastAsia="Arial" w:hAnsi="Arial"/>
          <w:sz w:val="15"/>
          <w:szCs w:val="15"/>
          <w:color w:val="auto"/>
        </w:rPr>
        <w:t>The fair value of mortgage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servicing rights is estimated by discounting the future cash flows and classified as level 3 in the ASC 820 fair value hierarchy.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ectPr>
          <w:pgSz w:w="11900" w:h="16838" w:orient="portrait"/>
          <w:cols w:equalWidth="0" w:num="1">
            <w:col w:w="11420"/>
          </w:cols>
          <w:pgMar w:left="240" w:top="125" w:right="239" w:bottom="0" w:gutter="0" w:footer="0" w:header="0"/>
        </w:sectPr>
      </w:pPr>
    </w:p>
    <w:bookmarkStart w:id="23" w:name="page24"/>
    <w:bookmarkEnd w:id="23"/>
    <w:p>
      <w:pPr>
        <w:spacing w:after="0" w:line="1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is management’s discussion and analysis of the financial condition of First Busey Corporation and its subsidiaries at March 31, 2016 (unaudited), as compared with December 31, 2015 and March 31, 2015 (unaudited), and the results of operations for the three months ended March 31, 2016 (unaudited), as compared to the three months ended March 31 and December 31, 2015 (unaudited). Management’s discussion and analysis should be read in conjunction with the Company’s Consolidated Financial Statements and notes thereto appearing elsewhere in this Quarterly Report, as well as the Company’s Annual Report on Form 10-K for the year ended December 31,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recently announced, on May 2, 2016, First Busey completed its acquisition of Pulaski, a strategically compelling and financially attractive acquisition for the Company. This acquisition creates a Midwest community bank with greater scale and operating efficiency, along with geographic and balance sheet diversification. It also provides cross-sale opportunities with our Wealth Management operating segment. Pulaski has a deep and experienced management team to assist in post-merger integration and market expansion,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and a similar culture to First Busey which will facilitate a successful integration process. It is anticipated that Pulaski Bank will be merged with and into Busey Bank in the fourth quarter of 2016, subject to regulatory approval. This acquisition is a subsequent event and the financial results of Pulaski are not recognized in this Form 10-Q. One time charges relating to the integration of Pulaski may have a negative impact on expenses for the remainder of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First Busey’s net income and net income available to common stockholders for the first quarter of 2016 was $10.4 million, or $0.36 per fully diluted common share. The Company reported net income of $10.7 million and net income available to common stockholders of $10.5 million, or $0.36 per fully-diluted common share for the fourth quarter of 2015 and net income of $7.8 million and net income available to common stockholders of $7.6 million, or $0.26 per fully-diluted common share for the first quarter of 2015. On January 8, 2015, First Busey completed its acquisition of Herget Financial. The Company incurred $1.0 million of one-time expenses in the first quarter of 2015 related to this acquisition, consisting primarily of restructuring, legal, consulting, and marketing costs, in addition to $0.7 million of fixed asset impairments and $0.3 million of other corporate restructuring costs. Excluding the acquisition and non-recurring expenses noted above, net income in the first quarter of 2015 would have increased $1.2 million after tax, resulting in net income available to common stockholders of $8.8 million, or $0.30 per fully-diluted common share.</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Sound asset quality management supported continued balance sheet strength in the first quarter of 2016. Average gross loans decreased seasonally to $2.59 billion as of March 31, 2016 compared to $2.60 billion as of December 31, 2015 but increased from $2.49 billion as of March 31, 2015. Average non-interest bearing deposits of $768.3 million for the three months ended March 31, 2016 increased from $730.7 million for the three months ended December 31, 2015 and $703.5 million for the three months ended March 31, 2015. Average total deposit balances for the three months ended March 31, 2016 were $3.20 billion compared to $3.17 billion for the three months ended December 31, 2015 and $3.15 billion for the three months ended March 31, 2015. The Company remains strongly core deposit funded with total average deposits for the first quarter of 2016 representing 90.7% of total average liabilities, with solid liquidity and significant market share in the communities it serves.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Beginning on January 1, 2016, the Company elected to adopt the fair value option for all residential mortgage loans originated for sale to investors. Prior to this change, the Company accounted for mortgage loans held for sale under the lower of cost or fair value. The fair value option was elected for consistency with reporting related to the acquisition of Pulaski, as mortgage volume is expected to increase significantly under the combined mortgage operations. In the first quarter of 2016, this change did not have a material impact to results. In addition, the Company adopted a conforming approach to the accounting for loan fees and costs for mortgage loans held for sale, which reclassifies $0.4 million of related compensation expense from salary and wages to gain on sales of loans for the first quarter of 2016. Loans held for sale increased to $12.9 million in the first quarter of 2016 compared to $9.4 million in the fourth quarter of 2015 and $18.7 million in the first quarter of 2015, based on normal changes in production.</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Revenues from trust fees, commissions and brokers’ fees, and remittance processing activities represented 54.3% of the Company’s non-interest income for the quarter ended March 31, 2016, providing a balance to revenue from traditional banking activities. Furthermore, the Company believes the boutique services offered to ultra-high net worth clients by Trevett Capital Partners within its suite of wealth services broadens the Company’s business base and enhances its ability to further develop revenue sources. In addition, our professional farm management and brokerage services are entrusted to care and maximize value for landowners of prime farmland in Illinois.</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Trust fees and commissions and brokers’ fees increased to $6.2 million for the first quarter of 2016 compared to $5.7 million for the fourth quarter of 2015, but decreased slightly from $6.5 million for the first quarter of 2015. Remittance processing revenue grew to $2.9 million for the first quarter of 2016 compared to $2.7 million for the fourth quarter of 2015 and $2.5 million for the first quarter of 2015.</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With an active growth plan, our strong capital position, an attractive core funding base, and a sound credit foundation, we feel confident that we are well positioned moving forward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much internal focus has been directed toward growth, the Company remains committed to credit quality. As of March 31, 2016, the Company reported non-performing loans of $17.8 million compared to $12.8 million as of December 31, 2015 and $10.4 million as of March 31, 2015. Asset quality metrics can be generally influenced by market-specific economic conditions beyond the control of the Company, and specific measures may fluctuate from quarter to quarter.</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recorded net charge-offs of $3.3 million for the first quarter of 2016 compared to $0.7 million for the fourth quarter of 2015 and $0.3 million for the first quarter of 2015. Charge-offs during the first quarter of 2016 were primarily attributable to a few specific commercial borrowers in agricultural</w:t>
      </w:r>
    </w:p>
    <w:p>
      <w:pPr>
        <w:sectPr>
          <w:pgSz w:w="11900" w:h="16975" w:orient="portrait"/>
          <w:cols w:equalWidth="0" w:num="1">
            <w:col w:w="11400"/>
          </w:cols>
          <w:pgMar w:left="240" w:top="125" w:right="259" w:bottom="0" w:gutter="0" w:footer="0" w:header="0"/>
        </w:sectPr>
      </w:pPr>
    </w:p>
    <w:bookmarkStart w:id="24" w:name="page25"/>
    <w:bookmarkEnd w:id="24"/>
    <w:p>
      <w:pPr>
        <w:jc w:val="both"/>
        <w:ind w:right="340"/>
        <w:spacing w:after="0" w:line="312" w:lineRule="auto"/>
        <w:rPr>
          <w:sz w:val="20"/>
          <w:szCs w:val="20"/>
          <w:color w:val="auto"/>
        </w:rPr>
      </w:pPr>
      <w:r>
        <w:rPr>
          <w:rFonts w:ascii="Arial" w:cs="Arial" w:eastAsia="Arial" w:hAnsi="Arial"/>
          <w:sz w:val="16"/>
          <w:szCs w:val="16"/>
          <w:color w:val="auto"/>
        </w:rPr>
        <w:t>and energy, rather than a broader shift in trends. The Company has limited exposure to borrowers in the agricultural and energy industries. The Company recorded a provision for loan losses of $1.0 million in the first quarter of 2016 and fourth quarter of 2015, compared to $0.5 million in the first quarter of 2015. The Company continues to manage its balance sheet through a well-positioned allowance and proactively addressing credit matters.</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allowance for loan losses as a percentage of loans decreased slightly to 1.7% at March 31, 2016 compared to 1.8% at December 31, 2015 and 1.9% at March 31, 2015. The Company is holding acquired loans from the Herget acquisition with uncollected principal balances. These loans are carried net of a fair value adjustment for credit and interest rate and are only included in the allowance calculation to the extent that the reserve requirement exceeds the fair value adjustment.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key metrics are as follows </w:t>
      </w:r>
      <w:r>
        <w:rPr>
          <w:rFonts w:ascii="Arial" w:cs="Arial" w:eastAsia="Arial" w:hAnsi="Arial"/>
          <w:sz w:val="18"/>
          <w:szCs w:val="18"/>
          <w:i w:val="1"/>
          <w:iCs w:val="1"/>
          <w:color w:val="auto"/>
        </w:rPr>
        <w:t>(dollars in thousands):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and for the Three Months Ended</w:t>
            </w: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11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loans(1)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2,585,512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2,637,090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2,484,851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Commercial loans(2)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1,920,953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1,961,573</w:t>
            </w: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1,815,183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45,171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47,487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47,652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Non-performing loans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Non-accrual loans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17,368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12,748</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Loans 90+ days past due</w:t>
            </w:r>
          </w:p>
        </w:tc>
        <w:tc>
          <w:tcPr>
            <w:tcW w:w="2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3,282</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non-performing assets</w:t>
            </w:r>
          </w:p>
        </w:tc>
        <w:tc>
          <w:tcPr>
            <w:tcW w:w="2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783</w:t>
            </w: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loans and non-</w:t>
            </w:r>
          </w:p>
        </w:tc>
        <w:tc>
          <w:tcPr>
            <w:tcW w:w="2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performing assets</w:t>
            </w:r>
          </w:p>
        </w:tc>
        <w:tc>
          <w:tcPr>
            <w:tcW w:w="24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372.1%</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loans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(1)Includes loans held for 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(2)Includes loans categorized as commercial, commercial real estate and real estate construction.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markets, which are generally in micro-urban communities in downstate Illinois, are distinct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the smaller rural populations of Illinois and have strong industrial, academic or healthcare employment bases. Our primary downstate Illinois markets of Champaign, Macon, McLean and Peoria counties are anchored by several strong, familiar and stable organizations.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twenty-eight banking centers serving Illinois. Champaign County is home to the University of Illinois — Urbana/Champaign (“U of I”), the University’s primary campus. U of I has in excess of 44,000 students. Additionally, Champaign County healthcare providers serve a significant area of downstate Illinois and western Indiana. Macon County is home to the North American headquarters for Archer Daniels 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 University and Illinois Wesleyan University. State Farm, a Fortune 100 company, is the largest employer in McLean County, and Country Financial and the universities provide additional stability to a growing area of downstate Illinois. Peoria County is home to Caterpillar, a Fortune 100 company, and Bradley University, in addition to a large healthcare presence serving much of the western portion of downstate Illinois. Caterpillar announced significant restructuring and cost cutting initiatives that began in the third quarter of 2015 and, while no substantial direct exposure exists, we will continue to monitor the potential impact to the surrounding community and our customers. The institutions noted above, coupled with a large agricultural sector, anchor the communities in which they are located, and have provided a comparatively stable foundation for housing, employment and small business.</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State of Illinois, where the largest portion of the Company’s customer base is located, continues to be one of the most troubled of any state in the United States with pension under-funding, a current budget impasse, continued budget deficits and a declining credit outlook. Additionally, the Company is located in markets with significant universities and healthcare companies, which rely heavily on state funding and contracts. A temporary income tax increase passed in 2011 began phasing out in 2015, which may affect the State’s revenue. Payment lapses by the State of Illinois to its vendors and government sponsored entities may have negative effects on our primary market areas.</w:t>
      </w:r>
    </w:p>
    <w:p>
      <w:pPr>
        <w:spacing w:after="0" w:line="18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has one banking center in the Indianapolis, Indiana area, which is the most populous city of Indiana with a diverse economy. Many large corporations are headquartered in Indianapolis and it is the host to numerous conventions and sporting events annually.</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six banking centers in southwest Florida. Southwest Florida has shown continuing signs of improvement in areas such as job growth and the housing market over the last few years.</w:t>
      </w:r>
    </w:p>
    <w:p>
      <w:pPr>
        <w:spacing w:after="0" w:line="170"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 xml:space="preserve">The recently announced acquisition of Pulaski expands our presence into the St. Louis, Missouri metropolitan area. </w:t>
      </w:r>
      <w:r>
        <w:rPr>
          <w:rFonts w:ascii="Arial" w:cs="Arial" w:eastAsia="Arial" w:hAnsi="Arial"/>
          <w:sz w:val="17"/>
          <w:szCs w:val="17"/>
          <w:color w:val="auto"/>
        </w:rPr>
        <w:t>Pulaski Bank has thirteen full-service</w:t>
      </w:r>
      <w:r>
        <w:rPr>
          <w:rFonts w:ascii="Arial" w:cs="Arial" w:eastAsia="Arial" w:hAnsi="Arial"/>
          <w:sz w:val="18"/>
          <w:szCs w:val="18"/>
          <w:color w:val="auto"/>
        </w:rPr>
        <w:t xml:space="preserve"> </w:t>
      </w:r>
      <w:r>
        <w:rPr>
          <w:rFonts w:ascii="Arial" w:cs="Arial" w:eastAsia="Arial" w:hAnsi="Arial"/>
          <w:sz w:val="17"/>
          <w:szCs w:val="17"/>
          <w:color w:val="auto"/>
        </w:rPr>
        <w:t>branch offices in the St. Louis metropolitan area. Pulaski Bank also offers mortgage loan products through loan production offices in the St. Louis, Kansas City, Chicago, and Omaha-Council Bluffs metropolitan areas and other locations across the Midwest.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ectPr>
          <w:pgSz w:w="11900" w:h="16838" w:orient="portrait"/>
          <w:cols w:equalWidth="0" w:num="1">
            <w:col w:w="11420"/>
          </w:cols>
          <w:pgMar w:left="240" w:top="125" w:right="239" w:bottom="0" w:gutter="0" w:footer="0" w:header="0"/>
          <w:type w:val="continuous"/>
        </w:sectPr>
      </w:pPr>
    </w:p>
    <w:bookmarkStart w:id="25" w:name="page26"/>
    <w:bookmarkEnd w:id="25"/>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All average information is provided on a daily average basis.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 AND 2015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Change in income/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5"/>
              </w:rPr>
              <w:t>expense due to(1)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Income/</w:t>
            </w:r>
          </w:p>
        </w:tc>
        <w:tc>
          <w:tcPr>
            <w:tcW w:w="640" w:type="dxa"/>
            <w:vAlign w:val="bottom"/>
          </w:tcPr>
          <w:p>
            <w:pPr>
              <w:jc w:val="right"/>
              <w:ind w:right="69"/>
              <w:spacing w:after="0" w:line="119" w:lineRule="exact"/>
              <w:rPr>
                <w:sz w:val="20"/>
                <w:szCs w:val="20"/>
                <w:color w:val="auto"/>
              </w:rPr>
            </w:pPr>
            <w:r>
              <w:rPr>
                <w:rFonts w:ascii="Arial" w:cs="Arial" w:eastAsia="Arial" w:hAnsi="Arial"/>
                <w:sz w:val="13"/>
                <w:szCs w:val="13"/>
                <w:b w:val="1"/>
                <w:bCs w:val="1"/>
                <w:color w:val="auto"/>
              </w:rPr>
              <w:t>Yield/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Income/</w:t>
            </w:r>
          </w:p>
        </w:tc>
        <w:tc>
          <w:tcPr>
            <w:tcW w:w="62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rPr>
              <w:t>Yield/</w:t>
            </w:r>
          </w:p>
        </w:tc>
        <w:tc>
          <w:tcPr>
            <w:tcW w:w="260" w:type="dxa"/>
            <w:vAlign w:val="bottom"/>
          </w:tcPr>
          <w:p>
            <w:pPr>
              <w:spacing w:after="0"/>
              <w:rPr>
                <w:sz w:val="10"/>
                <w:szCs w:val="10"/>
                <w:color w:val="auto"/>
              </w:rPr>
            </w:pPr>
          </w:p>
        </w:tc>
        <w:tc>
          <w:tcPr>
            <w:tcW w:w="72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Average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Rate(3)</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Volume</w:t>
            </w:r>
          </w:p>
        </w:tc>
        <w:tc>
          <w:tcPr>
            <w:tcW w:w="36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Yield/Rate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5"/>
          </w:tcPr>
          <w:p>
            <w:pPr>
              <w:ind w:left="3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Interest-bearing bank deposits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241,250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0.50%</w:t>
            </w: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298,837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192</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151</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340"/>
              <w:spacing w:after="0" w:line="149" w:lineRule="exact"/>
              <w:rPr>
                <w:sz w:val="20"/>
                <w:szCs w:val="20"/>
                <w:color w:val="auto"/>
              </w:rPr>
            </w:pPr>
            <w:r>
              <w:rPr>
                <w:rFonts w:ascii="Arial" w:cs="Arial" w:eastAsia="Arial" w:hAnsi="Arial"/>
                <w:sz w:val="14"/>
                <w:szCs w:val="14"/>
                <w:color w:val="auto"/>
              </w:rPr>
              <w:t>U.S. Government obligations</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193,258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227,283</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656</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Obligations of states and political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540"/>
              <w:spacing w:after="0" w:line="149" w:lineRule="exact"/>
              <w:rPr>
                <w:sz w:val="20"/>
                <w:szCs w:val="20"/>
                <w:color w:val="auto"/>
              </w:rPr>
            </w:pPr>
            <w:r>
              <w:rPr>
                <w:rFonts w:ascii="Arial" w:cs="Arial" w:eastAsia="Arial" w:hAnsi="Arial"/>
                <w:sz w:val="14"/>
                <w:szCs w:val="14"/>
                <w:color w:val="auto"/>
              </w:rPr>
              <w:t>subdivisions(1)</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219,927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1,535</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246,982</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1,660</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2.73%</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Other securities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447,164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2,410</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387,669</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2,033</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Loans(1) (2)</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2,589,830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25,267</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2,486,569</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24,260</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3.96%</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top w:val="single" w:sz="8" w:color="CCEEFF"/>
              <w:bottom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Total interest-earning assets(1)</w:t>
            </w:r>
          </w:p>
        </w:tc>
        <w:tc>
          <w:tcPr>
            <w:tcW w:w="14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3,691,429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30,061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3.28%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3,647,340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28,801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3.20%</w:t>
            </w:r>
          </w:p>
        </w:tc>
        <w:tc>
          <w:tcPr>
            <w:tcW w:w="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Cash and due from banks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59,420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93,493</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Premises and equipment</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63,243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65,855</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Allowance for loan losses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(47,602)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(48,149)</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140,349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142,659</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3,906,839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3,901,198</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8"/>
              </w:rPr>
              <w:t>Interest-bearing transaction, savings and</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money market deposits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1,985,041</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0.11%</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1,908,337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449,796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546</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533,267</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725</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0.55%</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Short-term borrowings: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360"/>
              <w:spacing w:after="0" w:line="149" w:lineRule="exact"/>
              <w:rPr>
                <w:sz w:val="20"/>
                <w:szCs w:val="20"/>
                <w:color w:val="auto"/>
              </w:rPr>
            </w:pPr>
            <w:r>
              <w:rPr>
                <w:rFonts w:ascii="Arial" w:cs="Arial" w:eastAsia="Arial" w:hAnsi="Arial"/>
                <w:sz w:val="14"/>
                <w:szCs w:val="14"/>
                <w:color w:val="auto"/>
              </w:rPr>
              <w:t>Federal funds purchased</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Repurchase agreements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163,328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186,663</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360"/>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Long-term debt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50,367</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80" w:type="dxa"/>
            <w:vAlign w:val="bottom"/>
          </w:tcPr>
          <w:p>
            <w:pPr>
              <w:ind w:left="160"/>
              <w:spacing w:after="0" w:line="130" w:lineRule="exact"/>
              <w:rPr>
                <w:sz w:val="20"/>
                <w:szCs w:val="20"/>
                <w:color w:val="auto"/>
              </w:rPr>
            </w:pPr>
            <w:r>
              <w:rPr>
                <w:rFonts w:ascii="Arial" w:cs="Arial" w:eastAsia="Arial" w:hAnsi="Arial"/>
                <w:sz w:val="14"/>
                <w:szCs w:val="14"/>
                <w:color w:val="auto"/>
              </w:rPr>
              <w:t>Junior subordinated debt owed to</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80" w:type="dxa"/>
            <w:vAlign w:val="bottom"/>
          </w:tcPr>
          <w:p>
            <w:pPr>
              <w:ind w:left="340"/>
              <w:spacing w:after="0"/>
              <w:rPr>
                <w:sz w:val="20"/>
                <w:szCs w:val="20"/>
                <w:color w:val="auto"/>
              </w:rPr>
            </w:pPr>
            <w:r>
              <w:rPr>
                <w:rFonts w:ascii="Arial" w:cs="Arial" w:eastAsia="Arial" w:hAnsi="Arial"/>
                <w:sz w:val="14"/>
                <w:szCs w:val="14"/>
                <w:color w:val="auto"/>
              </w:rPr>
              <w:t>unconsolidated trusts</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55,000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337</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55,000</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293</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top w:val="single" w:sz="8" w:color="CCEEFF"/>
              <w:bottom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Total interest-bearing liabilities</w:t>
            </w:r>
          </w:p>
        </w:tc>
        <w:tc>
          <w:tcPr>
            <w:tcW w:w="14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2,733,551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0.23%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2,733,634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0.24%</w:t>
            </w:r>
          </w:p>
        </w:tc>
        <w:tc>
          <w:tcPr>
            <w:tcW w:w="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interest spread(1)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Noninterest-bearing deposits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768,271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703,505</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28,306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28,026</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376,711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436,033</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3,906,839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3,901,198</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 earning assets(1)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3,691,429</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30,061</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3.28%</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3,647,340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28,801</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3,691,429</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1,582</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0.18%</w:t>
            </w: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3,647,340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1,593</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0.17%</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Net interest margin(1)</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28,479</w:t>
            </w:r>
          </w:p>
        </w:tc>
        <w:tc>
          <w:tcPr>
            <w:tcW w:w="840" w:type="dxa"/>
            <w:vAlign w:val="bottom"/>
            <w:gridSpan w:val="2"/>
          </w:tcPr>
          <w:p>
            <w:pPr>
              <w:jc w:val="right"/>
              <w:ind w:right="80"/>
              <w:spacing w:after="0" w:line="176" w:lineRule="exact"/>
              <w:rPr>
                <w:sz w:val="20"/>
                <w:szCs w:val="20"/>
                <w:color w:val="auto"/>
              </w:rPr>
            </w:pPr>
            <w:r>
              <w:rPr>
                <w:rFonts w:ascii="Arial" w:cs="Arial" w:eastAsia="Arial" w:hAnsi="Arial"/>
                <w:sz w:val="12"/>
                <w:szCs w:val="12"/>
                <w:color w:val="auto"/>
              </w:rPr>
              <w:t>3.10</w:t>
            </w:r>
            <w:r>
              <w:rPr>
                <w:rFonts w:ascii="Arial" w:cs="Arial" w:eastAsia="Arial" w:hAnsi="Arial"/>
                <w:sz w:val="20"/>
                <w:szCs w:val="20"/>
                <w:color w:val="auto"/>
                <w:vertAlign w:val="superscript"/>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27,208</w:t>
            </w:r>
          </w:p>
        </w:tc>
        <w:tc>
          <w:tcPr>
            <w:tcW w:w="880" w:type="dxa"/>
            <w:vAlign w:val="bottom"/>
            <w:gridSpan w:val="2"/>
          </w:tcPr>
          <w:p>
            <w:pPr>
              <w:jc w:val="right"/>
              <w:ind w:right="140"/>
              <w:spacing w:after="0" w:line="176" w:lineRule="exact"/>
              <w:rPr>
                <w:sz w:val="20"/>
                <w:szCs w:val="20"/>
                <w:color w:val="auto"/>
              </w:rPr>
            </w:pPr>
            <w:r>
              <w:rPr>
                <w:rFonts w:ascii="Arial" w:cs="Arial" w:eastAsia="Arial" w:hAnsi="Arial"/>
                <w:sz w:val="12"/>
                <w:szCs w:val="12"/>
                <w:color w:val="auto"/>
              </w:rPr>
              <w:t>3.03</w:t>
            </w:r>
            <w:r>
              <w:rPr>
                <w:rFonts w:ascii="Arial" w:cs="Arial" w:eastAsia="Arial" w:hAnsi="Arial"/>
                <w:sz w:val="20"/>
                <w:szCs w:val="20"/>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1,277</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76" w:lineRule="exact"/>
              <w:rPr>
                <w:sz w:val="20"/>
                <w:szCs w:val="20"/>
                <w:color w:val="auto"/>
              </w:rPr>
            </w:pPr>
            <w:r>
              <w:rPr>
                <w:rFonts w:ascii="Arial" w:cs="Arial" w:eastAsia="Arial" w:hAnsi="Arial"/>
                <w:sz w:val="12"/>
                <w:szCs w:val="12"/>
                <w:color w:val="auto"/>
              </w:rPr>
              <w:t>(6</w:t>
            </w:r>
            <w:r>
              <w:rPr>
                <w:rFonts w:ascii="Arial" w:cs="Arial" w:eastAsia="Arial" w:hAnsi="Arial"/>
                <w:sz w:val="20"/>
                <w:szCs w:val="20"/>
                <w:color w:val="auto"/>
                <w:vertAlign w:val="superscript"/>
              </w:rPr>
              <w:t>)</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1,271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(1)On a tax-equivalent basis assuming a federal income tax rate of 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(2)Non-accrual loans have been included in average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(3)Annualized.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Total average interest-earning assets increased $44.1 million, or 1.2%, to $3.69 billion for the three month period ended March 31, 2016, as compared to $3.65 billion for the same period in 2015. Average loans increased for the three month period ended March 31, 2016, as compared to the same period in 2015, due to our continued emphasis on organic commercial loan growth.</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Total average interest-bearing liability balances were steady for the three month period ended March 31, 2016, as compared to the same period in 2015. Average noninterest-bearing deposits increased $64.8 million, or 9.2%, to $768.3 million for the three month period ended March 31, 2016, as compared to $703.5 million for the same period in 2015. The Company remains strongly core deposit funded with total average deposits for the first quarter of 2016 representing 90.7% of total average liabilities, with solid liquidity and significant market share in the communities it serves.</w:t>
      </w:r>
    </w:p>
    <w:p>
      <w:pPr>
        <w:sectPr>
          <w:pgSz w:w="11900" w:h="16941" w:orient="portrait"/>
          <w:cols w:equalWidth="0" w:num="1">
            <w:col w:w="11420"/>
          </w:cols>
          <w:pgMar w:left="240" w:top="341" w:right="239" w:bottom="0" w:gutter="0" w:footer="0" w:header="0"/>
        </w:sectPr>
      </w:pPr>
    </w:p>
    <w:bookmarkStart w:id="26" w:name="page27"/>
    <w:bookmarkEnd w:id="26"/>
    <w:p>
      <w:pPr>
        <w:spacing w:after="0" w:line="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Interest income, on a tax-equivalent basis, increased $1.3 million for the three month period ended March 31, 2016, as compared to the same period of 2015. The interest income increase related primarily to the increase in loan volumes. Interest expense decreased by an insignificant amount for the three month period ended March 31, 2016, as compared to the same period of 2015. The Federal Open Market Committee announced that effective December 17, 2015, the federal funds rate increased from 0.25% to 0.50%. The Company expects this increase in interest rates to be modestly favorable to net interest income in the next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interest margin, our net interest income expressed as a percentage of average earning assets stated on a tax-equivalent basis, increased to 3.10% for the three month period ended March 31, 2016, compared to 3.03% for the same period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for 2016 and 2015 are as follows:</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44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r>
    </w:tbl>
    <w:p>
      <w:pPr>
        <w:spacing w:after="0" w:line="18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net interest spread, which represents the difference between the average rate earned on earning assets and the average rate paid on interest-bearing liabilities, also on a tax-equivalent basis, was 3.05% for the three month period ended March 31, 2016, compared to 2.96% for the same period in 2015.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operational efficiencies. Please refer to the Notes to Consolidated Financial Statements in the Company’s Annual Report on Form 10-K for the year ended December 31, 2015 for accounting policies underlying the recognition of interest income and expense.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3"/>
              </w:rPr>
              <w:t>Three Months Ended</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536"/>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ind w:right="43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140" w:type="dxa"/>
            <w:vAlign w:val="bottom"/>
          </w:tcPr>
          <w:p>
            <w:pPr>
              <w:jc w:val="right"/>
              <w:ind w:right="414"/>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140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6"/>
          </w:tcPr>
          <w:p>
            <w:pPr>
              <w:jc w:val="center"/>
              <w:ind w:right="5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7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5,697</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Commissions and brokers’ fees, net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2,884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Gain on sales of loans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Security gains, net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1,066</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432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percentage change not meaningful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other income of $16.8 million for the three month period ended March 31, 2016 increased by 5.5% as compared to $16.0 million for the same period in 2015.</w:t>
      </w:r>
    </w:p>
    <w:p>
      <w:pPr>
        <w:spacing w:after="0" w:line="17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Combined Wealth Management revenue, consisting of trust fees and commissions and brokers’ fees, net, of $6.2 million for the three months ended March 31, 2016 decreased $0.3 million compared to $6.5 million for the same period in 2015, primarily due to market trends.</w:t>
      </w:r>
    </w:p>
    <w:p>
      <w:pPr>
        <w:spacing w:after="0" w:line="14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Remittance processing revenue of $2.9 million for the three months ended March 31, 2016 increased $0.4 million compared to $2.5 million for the same period of 2015. The increases were primarily due to growth in electronic processing revenues, including online and mobile services. Remittance processing adds important diversity to our revenue stream while widening our array of service offerings to larger commercial clients within our footprint and nationally.</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Overall, service charges on deposit accounts combined with other service charges and fees increased to $4.7 million for the three month period ended March 31, 2016 as compared to $4.5 million for the same period of 2015. Evolving regulation, product changes and changing behaviors by our client base may impact the revenue derived from charges on deposit accounts.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Gain on sales of loans decreased to $0.4 million for the three month period ended March 31, 2016 compared to $1.4 million for the same period of 2015. The decrease was a result of market trends and the election of cost reclassification on held for sale loans, which reclassified $0.4 million of related compensation expense from salary and wages to gain on sales of loans.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Security gains, net increased to $1.1 million for the three month period ended March 31, 2016 compared to an insignificant amount for the same period of 2015. The increase related to a strategic bond trade that repositioned the investment portfolio to maintain future net interest margin strength and simultaneously elevated the current economic value to shareholders through other income. The Company sold $31.1 million of seasoned To-Be-Announced eligible residential mortgage-backed securities to take advantage of a price floor phenomenon, with related gains of $1.1 million on the sale. The sales proceeds were reinvested within normal investment parameters at similar yields to the securities sold.</w:t>
      </w:r>
    </w:p>
    <w:p>
      <w:pPr>
        <w:sectPr>
          <w:pgSz w:w="11900" w:h="16846" w:orient="portrait"/>
          <w:cols w:equalWidth="0" w:num="1">
            <w:col w:w="11380"/>
          </w:cols>
          <w:pgMar w:left="240" w:top="341" w:right="279" w:bottom="0" w:gutter="0" w:footer="0" w:header="0"/>
        </w:sectPr>
      </w:pPr>
    </w:p>
    <w:bookmarkStart w:id="27" w:name="page28"/>
    <w:bookmarkEnd w:id="27"/>
    <w:p>
      <w:pPr>
        <w:spacing w:after="0" w:line="10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income of $1.5 million for the three month period ended March 31, 2016 increased $0.4 million compared to the same period in 2015 across multiple revenue sources.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ind w:right="43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120" w:type="dxa"/>
            <w:vAlign w:val="bottom"/>
          </w:tcPr>
          <w:p>
            <w:pPr>
              <w:jc w:val="right"/>
              <w:ind w:right="39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5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Salaries and wages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12,399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14,506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(2,107)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restart"/>
          </w:tcPr>
          <w:p>
            <w:pPr>
              <w:jc w:val="center"/>
              <w:ind w:right="210"/>
              <w:spacing w:after="0"/>
              <w:rPr>
                <w:sz w:val="20"/>
                <w:szCs w:val="20"/>
                <w:color w:val="auto"/>
              </w:rPr>
            </w:pPr>
            <w:r>
              <w:rPr>
                <w:rFonts w:ascii="Arial" w:cs="Arial" w:eastAsia="Arial" w:hAnsi="Arial"/>
                <w:sz w:val="18"/>
                <w:szCs w:val="18"/>
                <w:color w:val="auto"/>
                <w:w w:val="88"/>
              </w:rPr>
              <w:t>Total compensation expense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15,366</w:t>
            </w:r>
          </w:p>
        </w:tc>
        <w:tc>
          <w:tcPr>
            <w:tcW w:w="280" w:type="dxa"/>
            <w:vAlign w:val="bottom"/>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16,849</w:t>
            </w:r>
          </w:p>
        </w:tc>
        <w:tc>
          <w:tcPr>
            <w:tcW w:w="28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(1,483)</w:t>
            </w:r>
          </w:p>
        </w:tc>
        <w:tc>
          <w:tcPr>
            <w:tcW w:w="300" w:type="dxa"/>
            <w:vAlign w:val="bottom"/>
            <w:vMerge w:val="continue"/>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occupancy expense of premises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Furniture and equipment expenses</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1,084</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1,191</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766</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Regulatory expense</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(816)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restart"/>
            <w:shd w:val="clear" w:color="auto" w:fill="CCEEFF"/>
          </w:tcPr>
          <w:p>
            <w:pPr>
              <w:jc w:val="center"/>
              <w:ind w:right="210"/>
              <w:spacing w:after="0"/>
              <w:rPr>
                <w:sz w:val="20"/>
                <w:szCs w:val="20"/>
                <w:color w:val="auto"/>
              </w:rPr>
            </w:pPr>
            <w:r>
              <w:rPr>
                <w:rFonts w:ascii="Arial" w:cs="Arial" w:eastAsia="Arial" w:hAnsi="Arial"/>
                <w:sz w:val="18"/>
                <w:szCs w:val="18"/>
                <w:color w:val="auto"/>
                <w:w w:val="87"/>
              </w:rPr>
              <w:t>Total other expense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27,688</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3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Effective rate on income taxes</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60" w:type="dxa"/>
            <w:vAlign w:val="bottom"/>
          </w:tcPr>
          <w:p>
            <w:pPr>
              <w:jc w:val="center"/>
              <w:ind w:right="210"/>
              <w:spacing w:after="0"/>
              <w:rPr>
                <w:sz w:val="20"/>
                <w:szCs w:val="20"/>
                <w:color w:val="auto"/>
              </w:rPr>
            </w:pPr>
            <w:r>
              <w:rPr>
                <w:rFonts w:ascii="Arial" w:cs="Arial" w:eastAsia="Arial" w:hAnsi="Arial"/>
                <w:sz w:val="18"/>
                <w:szCs w:val="18"/>
                <w:color w:val="auto"/>
                <w:w w:val="95"/>
              </w:rPr>
              <w:t>Efficiency ratio</w:t>
            </w:r>
          </w:p>
        </w:tc>
        <w:tc>
          <w:tcPr>
            <w:tcW w:w="26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Full-time equivalent employees as of</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period-end</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Total other expense of $27.7 million for the three month period ended March 31, 2016 decreased by $2.8 million as compared to $30.5 million for the same period in 2015, influenced by the Herget Financial acquisition and other non-recurring expenses during the first quarter of 2015. One time charges relating to the integration of Pulaski may have a negative impact on expenses for the remainder of 2016.</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Total compensation expense of $15.4 million decreased $1.5 million for the three month period ended March 31, 2016 as compared to the same period in 2015. The three month period ended March 31, 2015 included restructuring expenses and an increase in the number of employees in connection with the Herget Financial acquisition. By the end of the first quarter of 2016, full-time equivalent employees decreased to 788 from 828 at March 31, 2015. In addition, in 2016, the election of cost reclassification on held for sale loans reclassified $0.4 million of related compensation expense from salary and wages to gain on sales of loans.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Combined net occupancy expense of premises and furniture and equipment expenses of $3.3 for the three month period ended March 31, 2016, decreased compared to the same period in 2015. We continue to evaluate our operations for appropriate cost control measures while seeking improvements in service delivery to our customers.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Data processing expense for the three month period ended March 31, 2016 of $3.2 million decreased from $3.5 million for the same period of 2015. The decrease was primarily due to non-recurring software conversion expenses related to the acquisition of Herget Financial, offset by an increase related to supporting new sources of remittance processing revenue growth.</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of intangible assets decreased slightly for the three month period ended March 31, 2016, as compared to the same period in 2015. Amortization of intangible assets will increase for future periods as a result of the Pulaski acquisition.</w:t>
      </w:r>
    </w:p>
    <w:p>
      <w:pPr>
        <w:spacing w:after="0" w:line="17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Regulatory expense decreased 8.6% for the three month period ended March 31, 2016, as compared to the same period in 2015. On January 21, 2016, the FDIC issued a Notice of Proposed Rulemaking (“NPR”) on proposed refinements to the deposit insurance assessment system for small insured depository institutions (generally, those institutions with less than $10 billion in total assets). The NPR revised an NPR adopted by the board on June 16, 2015 in response to comments received. The refinements would become operative the quarter after the reserve ratio of the Deposit Insurance Fund reaches 1.15%. The Company projects that the proposal would be favorable to our annual cost of FDIC insurance.</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Other expense of $4.5 million for the three month period ended March 31, 2016 decreased $0.8 million as compared to the same period in 2015. The decrease was primarily the result of $0.7 million cost for premises impairments in 2015.</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effective rate on income taxes, or income taxes divided by income before taxes, of 35.2% for the three months ended March 31, 2016, was lower than the combined federal and state statutory rate of approximately 40% due to fairly stable amounts of tax preferred interest income, such as municipal bond interest and bank owned life insurance income, accounting for a portion of our taxable income. As taxable income increases, we expect our effective tax rate to increase. The Company continues to monitor evolving state tax legislation and its potential impact on operations on an ongoing basis.</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efficiency ratio represents total other expense, less amortization charges, as a percentage of tax-equivalent net interest income plus other income, less security gains and losses. The efficiency ratio, which is a non-GAAP financial measure commonly used by management and the investment community in the banking industry, measures the amount of expense that is incurred to generate a dollar of revenue. The efficiency ratio of 60.8% for the three month period ended March 31, 2016 improved from 69.0% in the comparable period in 2015. One time charges relating to the integration of Pulaski may have a negative</w:t>
      </w:r>
    </w:p>
    <w:p>
      <w:pPr>
        <w:sectPr>
          <w:pgSz w:w="11900" w:h="16945" w:orient="portrait"/>
          <w:cols w:equalWidth="0" w:num="1">
            <w:col w:w="11420"/>
          </w:cols>
          <w:pgMar w:left="240" w:top="341" w:right="239" w:bottom="0" w:gutter="0" w:footer="0" w:header="0"/>
        </w:sectPr>
      </w:pPr>
    </w:p>
    <w:bookmarkStart w:id="28" w:name="page29"/>
    <w:bookmarkEnd w:id="28"/>
    <w:p>
      <w:pPr>
        <w:spacing w:after="0" w:line="5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impact on the efficiency ratio for the remainder of 2016. We will continue to examine appropriate avenues to improve efficiency, with an emphasis on revenue growth.</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balance sheet items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6"/>
          </w:tcPr>
          <w:p>
            <w:pPr>
              <w:jc w:val="right"/>
              <w:ind w:right="9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Securities, including available for sale and held to maturity</w:t>
            </w:r>
          </w:p>
        </w:tc>
        <w:tc>
          <w:tcPr>
            <w:tcW w:w="9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827,852</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884,670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(56,818)</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Loans, net, including loans held for sale</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2,540,341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(49,262)</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3,890,630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(108,346)</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Deposits: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9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759,752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881,685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(121,933)</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Interest-bearing</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2,421,976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2,407,421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14,555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3,181,728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3,289,106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(107,378)</w:t>
            </w:r>
          </w:p>
        </w:tc>
        <w:tc>
          <w:tcPr>
            <w:tcW w:w="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9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166,141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172,972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(6,831)</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Long-term debt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liabilities</w:t>
            </w:r>
          </w:p>
        </w:tc>
        <w:tc>
          <w:tcPr>
            <w:tcW w:w="9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3,507,366</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3,625,790</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(118,424)</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9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383,264</w:t>
            </w: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373,186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10,078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Total assets decreased by $108.3 million, or 2.7%, to $3.89 billion at March 31, 2016, as compared to $4.0 billion at December 31, 2015. Securities decreased by $56.8 million, or 6.4%, at March 31, 2016, compared to December 31, 2015 as market conditions allowed for a favorable sale of residential mortgage-backed securities at a gain. The Company opted not to reinvest sold and maturing securities in the first quarter; however, some are expected to be reinvested in the second quarter. Net loans decreased by $49.3 million, or 1.9%, at March 31, 2016, compared to December 31, 2015.</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liabilities decreased by $118.4 million, or 3.3%, to $3.51 billion at March 31, 2016 compared to $3.63 billion at December 31, 2015. Total deposits decreased by $107.4 million, or 3.3%, at March 31, 2016, compared to December 31, 2015.</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Stockholders’ equity increased to $383.3 million at March 31, 2016, as compared to $373.2 million at December 31, 2015. This increase was primarily the result of first quarter earnings, partially offset by dividends paid on common stock and increases in the market value of our securities portfolio.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loans by category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4"/>
              </w:rPr>
              <w:t>March 31, 2016</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Illinois</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6"/>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576,906</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16,722</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25,261</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618,889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911,581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161,098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125,117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1,197,796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39,238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104,268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524,069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107,857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18,548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650,474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 gross loans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2,078,297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7"/>
              </w:rPr>
              <w:t>2,585,512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12,943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2,572,569</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45,171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Net loans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2,527,398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100" w:type="dxa"/>
            <w:vAlign w:val="bottom"/>
            <w:gridSpan w:val="2"/>
          </w:tcPr>
          <w:p>
            <w:pPr>
              <w:ind w:left="640"/>
              <w:spacing w:after="0"/>
              <w:rPr>
                <w:sz w:val="20"/>
                <w:szCs w:val="20"/>
                <w:color w:val="auto"/>
              </w:rPr>
            </w:pPr>
            <w:r>
              <w:rPr>
                <w:rFonts w:ascii="Arial" w:cs="Arial" w:eastAsia="Arial" w:hAnsi="Arial"/>
                <w:sz w:val="18"/>
                <w:szCs w:val="18"/>
                <w:color w:val="auto"/>
              </w:rPr>
              <w:t>(1)Loans held for sale are included in retail real estate.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353"/>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gridSpan w:val="6"/>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Illinois</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360" w:type="dxa"/>
            <w:vAlign w:val="bottom"/>
            <w:gridSpan w:val="2"/>
          </w:tcPr>
          <w:p>
            <w:pPr>
              <w:spacing w:after="0"/>
              <w:rPr>
                <w:sz w:val="15"/>
                <w:szCs w:val="15"/>
                <w:color w:val="auto"/>
              </w:rPr>
            </w:pPr>
          </w:p>
        </w:tc>
        <w:tc>
          <w:tcPr>
            <w:tcW w:w="1060" w:type="dxa"/>
            <w:vAlign w:val="bottom"/>
            <w:gridSpan w:val="2"/>
          </w:tcPr>
          <w:p>
            <w:pPr>
              <w:spacing w:after="0"/>
              <w:rPr>
                <w:sz w:val="15"/>
                <w:szCs w:val="15"/>
                <w:color w:val="auto"/>
              </w:rPr>
            </w:pPr>
          </w:p>
        </w:tc>
        <w:tc>
          <w:tcPr>
            <w:tcW w:w="340" w:type="dxa"/>
            <w:vAlign w:val="bottom"/>
            <w:gridSpan w:val="2"/>
          </w:tcPr>
          <w:p>
            <w:pPr>
              <w:spacing w:after="0"/>
              <w:rPr>
                <w:sz w:val="15"/>
                <w:szCs w:val="15"/>
                <w:color w:val="auto"/>
              </w:rPr>
            </w:pPr>
          </w:p>
        </w:tc>
        <w:tc>
          <w:tcPr>
            <w:tcW w:w="108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606,542</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16,141</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33,893</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656,576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907,628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166,885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133,916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1,208,429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34,070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96,568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-1236345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-1236345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2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532,001</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108,978</w:t>
            </w:r>
          </w:p>
        </w:tc>
        <w:tc>
          <w:tcPr>
            <w:tcW w:w="3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19,563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660,542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14,125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Total gross loans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2,107,762</w:t>
            </w:r>
          </w:p>
        </w:tc>
        <w:tc>
          <w:tcPr>
            <w:tcW w:w="30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307,886</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2,637,090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held for sale(1)</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2,627,739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loans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2,580,252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(1)Loans held for sale are included in retail real estate.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total loan portfolio, gross, as of March 31, 2016, decreased seasonally $51.6 million from December 31, 2015; gross commercial balances (consisting of commercial, commercial real estate and real estate construction loans) decreased $40.6 million from December 31, 2015. Loans held for sale increased by $3.6 million as of March 31, 2016 from December 31, 2015. Retail real estate and retail other, less loans held for sale, decreased $14.6 million as of March 31, 2016 from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allowance for loan losses was $45.2 million, or 1.7% of loans, at March 31, 2016, compared to $47.5 million, or 1.8% of loans, at December 31, 2015.</w:t>
      </w:r>
    </w:p>
    <w:p>
      <w:pPr>
        <w:spacing w:after="0" w:line="24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As of March 31, 2016,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such write-off is charged against the allowance for loan losses.</w:t>
      </w:r>
    </w:p>
    <w:p>
      <w:pPr>
        <w:spacing w:after="0" w:line="15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continue to attempt to identify problem loan situations on a proactive basis. Once problem loans are identified, adjustments to the provision for loan losses are made based upon all information available at that time. The provision reflects management’s analysis of additional allowance for loan losses necessary to cover probable losses in our loan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loan loss increased to $1.0 million for the first quarter of 2016 compared to $0.5 million in the same period of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non-performing loans as of each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gridSpan w:val="6"/>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47,212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Allowance for loan losses to loans</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Non-performing loans to loans, before allowance for loan losses</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w w:val="96"/>
              </w:rPr>
              <w:t>Non-performing loans and OREO to loans, before allowance for loan losses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0" w:name="page31"/>
    <w:bookmarkEnd w:id="30"/>
    <w:p>
      <w:pPr>
        <w:spacing w:after="0" w:line="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non-performing assets were $18.3 million at March 31, 2016, compared to $13.5 million at December 31, 2015. Non-performing assets as a percentage of total loans and non-performing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continued to be favorably low at 0.7% on March 31, 2016, as this ratio has varied between 0.3% and 1.3% over the last three years. Asset quality metrics can be generally influenced by market-specific economic conditions beyond the control of the Company, and specific measures may fluctuate from quarter to quarter. The Company continues to proactively address credit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$32.8 million at March 31, 2016, compared to $29.2 million at December 31, 2015. Management continues to monitor these credits and anticipates that restructurings, guarantees, additional collateral or other planned actions will result in full repayment of the debts. As of March 31, 2016, management identified no other loans that represent or result from trends or uncertainties which management reasonably expected to materially impact future operating results, liquidity or capital resources. As of March 31, 2016, management was not aware of any information about any other credits which caused management to have serious doubts as to the ability of such borrower(s) to comply with the loan repayment terms.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if needed,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repurchase agreements, the ability to borrow from the Federal Reserve and the Federal Home Loan Bank (“FHLB”), and brokered deposits. Management intends to satisfy long-term liquidity needs primarily through retention of capital funds.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2015 and 2014, as part of our ongoing balance sheet strategy, the Company took on a modest level of long-term debt taking advantage of low interest rates and attractive funding options by executing $30.0 million and $50.0 million in FHLB discount note indexed advances, respectively. The variable rate notes range in maturity from nineteen months to ten years with options to prepay at par prior to maturity.</w:t>
      </w:r>
    </w:p>
    <w:p>
      <w:pPr>
        <w:spacing w:after="0" w:line="16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 of March 31, 2016,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March 31, 2016, the Company had outstanding standby letters of credit of $15.4 million and commitments to extend credit of $631.3 million to its customers. Since these commitments generally have fixed expiration dates and many will expire without being drawn upon, the total commitment level does not necessarily represent future cash requirements. These commitments are made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ordinary course of business to meet the financing needs of the Company’s customers. As of March 31, 2016, no amounts were recorded as liabilities for the Company’s potential obligations under these commitments.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at both the consolidated level and at the Bank. The Federal Reserve Board uses capital adequacy guidelines in its examination and regulation of bank holding companies and their subsidiary banks. Risk-based capital ratios are established by allocating assets and certain off-balance-sheet commitments into risk-weighted categories.</w:t>
      </w:r>
    </w:p>
    <w:p>
      <w:pPr>
        <w:spacing w:after="0" w:line="252" w:lineRule="auto"/>
        <w:rPr>
          <w:sz w:val="20"/>
          <w:szCs w:val="20"/>
          <w:color w:val="auto"/>
        </w:rPr>
      </w:pPr>
      <w:r>
        <w:rPr>
          <w:rFonts w:ascii="Arial" w:cs="Arial" w:eastAsia="Arial" w:hAnsi="Arial"/>
          <w:sz w:val="18"/>
          <w:szCs w:val="18"/>
          <w:color w:val="auto"/>
        </w:rPr>
        <w:t>These balances are then multiplied by the factor appropriate for that risk-weighted category. For 2016, the guidelines, including the capital conservation buffer, require bank holding companies and their subsidiary banks to maintain a total capital to total risk-weighted asset ratio of not less than 8.625%, Tier 1 capital to total risk-weighted asset ratio of not less than 6.625%, Common Equity Tier 1 capital to total risk-weighted asset ratio of not less than 5.125% and a Tier 1 leverage ratio of not less than 4.00%. These minimum capital requirements increase annually until the Basel III Rules are fully phased-in on January 1, 2019. As of March 31, 2016, we had a total capital to total risk-weighted asset ratio of 15.02%, a Tier 1 capital to risk-weighted asset ratio of 13.76%, Common Equity Tier 1 capital to risk-weighted asset ratio of 11.91% and a Tier 1 leverage ratio of 10.36%; the Bank had ratios of 14.07%, 12.81%, 12.81% and 9.63%,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First Busey. Forward-looking statements, which may be based upon beliefs, expectations and assumptions of First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w:t>
      </w:r>
    </w:p>
    <w:p>
      <w:pPr>
        <w:sectPr>
          <w:pgSz w:w="11900" w:h="16934" w:orient="portrait"/>
          <w:cols w:equalWidth="0" w:num="1">
            <w:col w:w="11400"/>
          </w:cols>
          <w:pgMar w:left="240" w:top="125" w:right="259" w:bottom="0" w:gutter="0" w:footer="0" w:header="0"/>
        </w:sectPr>
      </w:pPr>
    </w:p>
    <w:bookmarkStart w:id="31" w:name="page32"/>
    <w:bookmarkEnd w:id="31"/>
    <w:p>
      <w:pPr>
        <w:spacing w:after="0" w:line="287" w:lineRule="auto"/>
        <w:rPr>
          <w:sz w:val="20"/>
          <w:szCs w:val="20"/>
          <w:color w:val="auto"/>
        </w:rPr>
      </w:pPr>
      <w:r>
        <w:rPr>
          <w:rFonts w:ascii="Arial" w:cs="Arial" w:eastAsia="Arial" w:hAnsi="Arial"/>
          <w:sz w:val="16"/>
          <w:szCs w:val="16"/>
          <w:color w:val="auto"/>
        </w:rPr>
        <w:t>future events. A number of factors, many of which are beyond our ability to control or predict, could cause actual results to differ materially from those in our forward-looking statements. These factors include, among others, the following: (i) the strength of the local and national economy; (ii) the economic impact of any future terrorist threats or attacks; (iii) changes in state and federal laws, regulations and governmental policies concerning First Busey’s general business (including the impact of the Dodd-Frank Act and the extensive regulations to be promulgated thereunder, as well as the Basel III Rules); (iv) changes in interest rates and prepayment rates of First Busey’s assets; (v) increased competition in the financial services sector and the inability to attract new customers; (vi) changes in technology and the ability to develop and maintain secure and reliable electronic systems; (vii) the loss of key executives or employees; (viii) changes in consumer spending; (ix) unexpected results of acquisitions (including the acquisition of Pulaski), which may include failure to realize the anticipated benefits of the acquisition and the possibility that the transaction costs may be greater than anticipated; (x) unexpected outcomes of existing or new litigation involving First Busey; (xi) changes in accounting policies and practices;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First Busey and its business, including additional factors that could materially affect its financial results, is included in First Busey’s filings with the Securities and Exchange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 are those that are critical to the portrayal and understanding of First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Busey’s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w:t>
      </w:r>
    </w:p>
    <w:p>
      <w:pPr>
        <w:spacing w:after="0" w:line="18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2015.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Fair Value of Investment Securities. </w:t>
      </w:r>
      <w:r>
        <w:rPr>
          <w:rFonts w:ascii="Arial" w:cs="Arial" w:eastAsia="Arial" w:hAnsi="Arial"/>
          <w:sz w:val="16"/>
          <w:szCs w:val="16"/>
          <w:color w:val="auto"/>
        </w:rPr>
        <w:t>Securities are classified as held to maturity when First Busey has the ability and management has the positive intent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 those securities to maturity. Accordingly, they are stated at cost, adjusted for amortization of premiums and accretion of discounts. First Busey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$49.1 million of securities classified as held to maturity at March 31, 2016. First Busey had no securities classified as trading at March 31, 2016.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classified as available for sale when First Busey may decide to sell those securities due to changes in market interest rates, liquidity needs, changes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yields on alternative investments, and for other reasons. They are carried at fair value with unrealized gains and losses, net of taxes, reported in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As of March 31, 2016, First Busey had $778.8 million of securities classified as available for sale. For equity securities, unadjusted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are utilized to determine fair value at the measurement date. For all other securities, we obtain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measurements from an independent pricing service. The fair value measurements consider observable data that may include dealer quotes, market spreads,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the U.S. Treasury yield curve, live trading levels, trade execution data, market consensus prepayment speeds, credit information and the security’s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and conditions, among other things. Due to the limited nature of the market for certain securities, the fair value and potential sale proceeds could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different in the event of a sale.</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Realized securities gains or losses are reported in security gains (losses), net in the Consolidated Statements of Income. The cost of securities sold is based on the specific identification method. Declines in the fair value of securities below their amortized cost are evaluated to determine whether they are temporary or OTTI. If the Company (a) has the intent to sell a debt security or (b) will more-likely-than-not be required to sell the debt security before its anticipated recovery, then the Company recognizes the entire unrealized loss in earnings as an OTTI loss. If neither of these conditions are met, the Company evaluates whether a credit loss exists. The impairment is separated into the amount of the total impairment related to the credit loss and the amount of total impairment related to all other factors. The amount of the total OTTI related to the credit loss is recognized in earnings, and the amount related to all other factors is recognized in other comprehensive income.</w:t>
      </w:r>
    </w:p>
    <w:p>
      <w:pPr>
        <w:spacing w:after="0" w:line="18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Allowance for Loan Losses. </w:t>
      </w:r>
      <w:r>
        <w:rPr>
          <w:rFonts w:ascii="Arial" w:cs="Arial" w:eastAsia="Arial" w:hAnsi="Arial"/>
          <w:sz w:val="18"/>
          <w:szCs w:val="18"/>
          <w:color w:val="auto"/>
        </w:rPr>
        <w:t>First Busey has established an allowance for loan losses which represents its estimate of the probable losses inherent in the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 Acquired loans from business combinations with uncollected principal balances are carried net of a fair value adjustment for credit and interest rate. These loans are only included in the allowance calculation to the extent that the reserve requirement exceeds the fair value adjustment.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determine the adequacy of the allowance for loan losses, a formal analysis is completed quarterly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 assess the risk within the loan portfolio. This assessment is reviewed by senior management of Busey Bank and the Company.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w:t>
      </w:r>
    </w:p>
    <w:p>
      <w:pPr>
        <w:sectPr>
          <w:pgSz w:w="11900" w:h="16838" w:orient="portrait"/>
          <w:cols w:equalWidth="0" w:num="1">
            <w:col w:w="11420"/>
          </w:cols>
          <w:pgMar w:left="240" w:top="125" w:right="239" w:bottom="0" w:gutter="0" w:footer="0" w:header="0"/>
        </w:sectPr>
      </w:pPr>
    </w:p>
    <w:bookmarkStart w:id="32" w:name="page33"/>
    <w:bookmarkEnd w:id="32"/>
    <w:p>
      <w:pPr>
        <w:ind w:right="140"/>
        <w:spacing w:after="0" w:line="277" w:lineRule="auto"/>
        <w:rPr>
          <w:sz w:val="20"/>
          <w:szCs w:val="20"/>
          <w:color w:val="auto"/>
        </w:rPr>
      </w:pPr>
      <w:r>
        <w:rPr>
          <w:rFonts w:ascii="Arial" w:cs="Arial" w:eastAsia="Arial" w:hAnsi="Arial"/>
          <w:sz w:val="18"/>
          <w:szCs w:val="18"/>
          <w:color w:val="auto"/>
        </w:rPr>
        <w:t>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DISCLOSURES ABOUT MARKET RISK</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the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has an asset-liability committee which meets at least quarterly to review current market conditions and attempts to structure the Bank’s balance sheet to ensure stable net interest income despite potential changes in interest rates with all other variables constant.</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 As of March 31, 2016 and December 31, 2015, due to the current low interest rate environment, a downward adjustment in federal fund rates was not meaningful.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38"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Year-One: Basis Point Changes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80" w:type="dxa"/>
            <w:vAlign w:val="bottom"/>
            <w:gridSpan w:val="2"/>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+100</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2016</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Year-Two: Basis Point Changes</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80" w:type="dxa"/>
            <w:vAlign w:val="bottom"/>
            <w:gridSpan w:val="2"/>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Pr>
          <w:p>
            <w:pPr>
              <w:spacing w:after="0"/>
              <w:rPr>
                <w:sz w:val="12"/>
                <w:szCs w:val="12"/>
                <w:color w:val="auto"/>
              </w:rPr>
            </w:pPr>
          </w:p>
        </w:tc>
        <w:tc>
          <w:tcPr>
            <w:tcW w:w="9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+100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2016</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will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 evaluation of our disclosure controls and procedures (as defined in Rule 13a-15(e) under the Securities Exchange Act of 1934, as amended (the “Exchange Act”)) was carried out as of March 31, 2016, under the supervision and with the participation of our Chief Executive Officer, Chief Financial Officer and several other members of our senior management. Based on this evaluation, our Chief Executive Officer and Chief Financial Officer concluded that, as of March 31, 2016, our disclosure controls and procedures were effective in ensuring that the information we are required to disclose in the reports we file or submit under the Exchange Act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quarter ended March 31, 2016, First Busey did not make any changes in its internal control over financial reporting or other factors that have materially affected, or are reasonably likely to materially affect, its internal control over financial reporting.</w:t>
      </w:r>
    </w:p>
    <w:p>
      <w:pPr>
        <w:sectPr>
          <w:pgSz w:w="11900" w:h="16838" w:orient="portrait"/>
          <w:cols w:equalWidth="0" w:num="1">
            <w:col w:w="11420"/>
          </w:cols>
          <w:pgMar w:left="240" w:top="125" w:right="239" w:bottom="123"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33" w:name="page34"/>
    <w:bookmarkEnd w:id="33"/>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60"/>
        <w:spacing w:after="0"/>
        <w:tabs>
          <w:tab w:leader="none" w:pos="5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Item 1A of Part I of the Company’s 2015 Annual Report on Form 10-K.</w:t>
      </w:r>
    </w:p>
    <w:p>
      <w:pPr>
        <w:spacing w:after="0" w:line="221" w:lineRule="exact"/>
        <w:rPr>
          <w:sz w:val="20"/>
          <w:szCs w:val="20"/>
          <w:color w:val="auto"/>
        </w:rPr>
      </w:pPr>
    </w:p>
    <w:p>
      <w:pPr>
        <w:ind w:left="1860"/>
        <w:spacing w:after="0"/>
        <w:tabs>
          <w:tab w:leader="none" w:pos="3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March 31, 2016. At March 31, 2016, the Company had 333,334 shares that may yet be purchased under the plan.</w:t>
      </w:r>
    </w:p>
    <w:p>
      <w:pPr>
        <w:spacing w:after="0" w:line="183" w:lineRule="exact"/>
        <w:rPr>
          <w:sz w:val="20"/>
          <w:szCs w:val="20"/>
          <w:color w:val="auto"/>
        </w:rPr>
      </w:pPr>
    </w:p>
    <w:p>
      <w:pPr>
        <w:ind w:left="3420"/>
        <w:spacing w:after="0"/>
        <w:tabs>
          <w:tab w:leader="none" w:pos="4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780"/>
        <w:spacing w:after="0"/>
        <w:tabs>
          <w:tab w:leader="none" w:pos="5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40"/>
        <w:spacing w:after="0"/>
        <w:tabs>
          <w:tab w:leader="none" w:pos="5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960" w:type="dxa"/>
            <w:vAlign w:val="bottom"/>
          </w:tcPr>
          <w:p>
            <w:pPr>
              <w:ind w:left="3120"/>
              <w:spacing w:after="0"/>
              <w:rPr>
                <w:sz w:val="20"/>
                <w:szCs w:val="20"/>
                <w:color w:val="auto"/>
              </w:rPr>
            </w:pPr>
            <w:r>
              <w:rPr>
                <w:rFonts w:ascii="Arial" w:cs="Arial" w:eastAsia="Arial" w:hAnsi="Arial"/>
                <w:sz w:val="18"/>
                <w:szCs w:val="18"/>
                <w:b w:val="1"/>
                <w:bCs w:val="1"/>
                <w:color w:val="auto"/>
              </w:rPr>
              <w:t>ITEM 6.</w:t>
            </w:r>
          </w:p>
        </w:tc>
        <w:tc>
          <w:tcPr>
            <w:tcW w:w="6000" w:type="dxa"/>
            <w:vAlign w:val="bottom"/>
          </w:tcPr>
          <w:p>
            <w:pPr>
              <w:jc w:val="right"/>
              <w:ind w:right="457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500" w:type="dxa"/>
            <w:vAlign w:val="bottom"/>
          </w:tcPr>
          <w:p>
            <w:pPr>
              <w:ind w:left="660"/>
              <w:spacing w:after="0"/>
              <w:rPr>
                <w:sz w:val="20"/>
                <w:szCs w:val="20"/>
                <w:color w:val="auto"/>
              </w:rPr>
            </w:pPr>
            <w:r>
              <w:rPr>
                <w:rFonts w:ascii="Arial" w:cs="Arial" w:eastAsia="Arial" w:hAnsi="Arial"/>
                <w:sz w:val="18"/>
                <w:szCs w:val="18"/>
                <w:color w:val="auto"/>
              </w:rPr>
              <w:t>*31.1</w:t>
            </w:r>
          </w:p>
        </w:tc>
        <w:tc>
          <w:tcPr>
            <w:tcW w:w="9960" w:type="dxa"/>
            <w:vAlign w:val="bottom"/>
            <w:gridSpan w:val="2"/>
          </w:tcPr>
          <w:p>
            <w:pPr>
              <w:ind w:left="440"/>
              <w:spacing w:after="0"/>
              <w:rPr>
                <w:sz w:val="20"/>
                <w:szCs w:val="20"/>
                <w:color w:val="auto"/>
              </w:rPr>
            </w:pPr>
            <w:r>
              <w:rPr>
                <w:rFonts w:ascii="Arial" w:cs="Arial" w:eastAsia="Arial" w:hAnsi="Arial"/>
                <w:sz w:val="18"/>
                <w:szCs w:val="18"/>
                <w:color w:val="auto"/>
              </w:rPr>
              <w:t>Certification of Principal Executive Officer, pursuant to Rule 13a-14(a) and Rule 15d-14(a).</w:t>
            </w:r>
          </w:p>
        </w:tc>
      </w:tr>
      <w:tr>
        <w:trPr>
          <w:trHeight w:val="432"/>
        </w:trPr>
        <w:tc>
          <w:tcPr>
            <w:tcW w:w="1500" w:type="dxa"/>
            <w:vAlign w:val="bottom"/>
          </w:tcPr>
          <w:p>
            <w:pPr>
              <w:ind w:left="660"/>
              <w:spacing w:after="0"/>
              <w:rPr>
                <w:sz w:val="20"/>
                <w:szCs w:val="20"/>
                <w:color w:val="auto"/>
              </w:rPr>
            </w:pPr>
            <w:r>
              <w:rPr>
                <w:rFonts w:ascii="Arial" w:cs="Arial" w:eastAsia="Arial" w:hAnsi="Arial"/>
                <w:sz w:val="18"/>
                <w:szCs w:val="18"/>
                <w:color w:val="auto"/>
              </w:rPr>
              <w:t>*31.2</w:t>
            </w:r>
          </w:p>
        </w:tc>
        <w:tc>
          <w:tcPr>
            <w:tcW w:w="9960" w:type="dxa"/>
            <w:vAlign w:val="bottom"/>
            <w:gridSpan w:val="2"/>
          </w:tcPr>
          <w:p>
            <w:pPr>
              <w:ind w:left="440"/>
              <w:spacing w:after="0"/>
              <w:rPr>
                <w:sz w:val="20"/>
                <w:szCs w:val="20"/>
                <w:color w:val="auto"/>
              </w:rPr>
            </w:pPr>
            <w:r>
              <w:rPr>
                <w:rFonts w:ascii="Arial" w:cs="Arial" w:eastAsia="Arial" w:hAnsi="Arial"/>
                <w:sz w:val="18"/>
                <w:szCs w:val="18"/>
                <w:color w:val="auto"/>
              </w:rPr>
              <w:t>Certification of Principal Financial Officer, pursuant to Rule 13a-14(a) and Rule 15d-14(a).</w:t>
            </w:r>
          </w:p>
        </w:tc>
      </w:tr>
      <w:tr>
        <w:trPr>
          <w:trHeight w:val="418"/>
        </w:trPr>
        <w:tc>
          <w:tcPr>
            <w:tcW w:w="1500" w:type="dxa"/>
            <w:vAlign w:val="bottom"/>
          </w:tcPr>
          <w:p>
            <w:pPr>
              <w:ind w:left="660"/>
              <w:spacing w:after="0"/>
              <w:rPr>
                <w:sz w:val="20"/>
                <w:szCs w:val="20"/>
                <w:color w:val="auto"/>
              </w:rPr>
            </w:pPr>
            <w:r>
              <w:rPr>
                <w:rFonts w:ascii="Arial" w:cs="Arial" w:eastAsia="Arial" w:hAnsi="Arial"/>
                <w:sz w:val="18"/>
                <w:szCs w:val="18"/>
                <w:color w:val="auto"/>
              </w:rPr>
              <w:t>*32.1</w:t>
            </w:r>
          </w:p>
        </w:tc>
        <w:tc>
          <w:tcPr>
            <w:tcW w:w="9960" w:type="dxa"/>
            <w:vAlign w:val="bottom"/>
            <w:gridSpan w:val="2"/>
          </w:tcPr>
          <w:p>
            <w:pPr>
              <w:ind w:left="44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from</w:t>
            </w:r>
          </w:p>
        </w:tc>
      </w:tr>
      <w:tr>
        <w:trPr>
          <w:trHeight w:val="230"/>
        </w:trPr>
        <w:tc>
          <w:tcPr>
            <w:tcW w:w="1500" w:type="dxa"/>
            <w:vAlign w:val="bottom"/>
          </w:tcPr>
          <w:p>
            <w:pPr>
              <w:spacing w:after="0"/>
              <w:rPr>
                <w:sz w:val="20"/>
                <w:szCs w:val="20"/>
                <w:color w:val="auto"/>
              </w:rPr>
            </w:pPr>
          </w:p>
        </w:tc>
        <w:tc>
          <w:tcPr>
            <w:tcW w:w="3960" w:type="dxa"/>
            <w:vAlign w:val="bottom"/>
          </w:tcPr>
          <w:p>
            <w:pPr>
              <w:ind w:left="440"/>
              <w:spacing w:after="0"/>
              <w:rPr>
                <w:sz w:val="20"/>
                <w:szCs w:val="20"/>
                <w:color w:val="auto"/>
              </w:rPr>
            </w:pPr>
            <w:r>
              <w:rPr>
                <w:rFonts w:ascii="Arial" w:cs="Arial" w:eastAsia="Arial" w:hAnsi="Arial"/>
                <w:sz w:val="18"/>
                <w:szCs w:val="18"/>
                <w:color w:val="auto"/>
              </w:rPr>
              <w:t>the Company’s Chief Executive Officer.</w:t>
            </w:r>
          </w:p>
        </w:tc>
        <w:tc>
          <w:tcPr>
            <w:tcW w:w="6000" w:type="dxa"/>
            <w:vAlign w:val="bottom"/>
          </w:tcPr>
          <w:p>
            <w:pPr>
              <w:spacing w:after="0"/>
              <w:rPr>
                <w:sz w:val="20"/>
                <w:szCs w:val="20"/>
                <w:color w:val="auto"/>
              </w:rPr>
            </w:pPr>
          </w:p>
        </w:tc>
      </w:tr>
      <w:tr>
        <w:trPr>
          <w:trHeight w:val="418"/>
        </w:trPr>
        <w:tc>
          <w:tcPr>
            <w:tcW w:w="1500" w:type="dxa"/>
            <w:vAlign w:val="bottom"/>
          </w:tcPr>
          <w:p>
            <w:pPr>
              <w:ind w:left="660"/>
              <w:spacing w:after="0"/>
              <w:rPr>
                <w:sz w:val="20"/>
                <w:szCs w:val="20"/>
                <w:color w:val="auto"/>
              </w:rPr>
            </w:pPr>
            <w:r>
              <w:rPr>
                <w:rFonts w:ascii="Arial" w:cs="Arial" w:eastAsia="Arial" w:hAnsi="Arial"/>
                <w:sz w:val="18"/>
                <w:szCs w:val="18"/>
                <w:color w:val="auto"/>
              </w:rPr>
              <w:t>*32.2</w:t>
            </w:r>
          </w:p>
        </w:tc>
        <w:tc>
          <w:tcPr>
            <w:tcW w:w="9960" w:type="dxa"/>
            <w:vAlign w:val="bottom"/>
            <w:gridSpan w:val="2"/>
          </w:tcPr>
          <w:p>
            <w:pPr>
              <w:ind w:left="44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from</w:t>
            </w:r>
          </w:p>
        </w:tc>
      </w:tr>
      <w:tr>
        <w:trPr>
          <w:trHeight w:val="230"/>
        </w:trPr>
        <w:tc>
          <w:tcPr>
            <w:tcW w:w="1500" w:type="dxa"/>
            <w:vAlign w:val="bottom"/>
          </w:tcPr>
          <w:p>
            <w:pPr>
              <w:spacing w:after="0"/>
              <w:rPr>
                <w:sz w:val="20"/>
                <w:szCs w:val="20"/>
                <w:color w:val="auto"/>
              </w:rPr>
            </w:pPr>
          </w:p>
        </w:tc>
        <w:tc>
          <w:tcPr>
            <w:tcW w:w="3960" w:type="dxa"/>
            <w:vAlign w:val="bottom"/>
          </w:tcPr>
          <w:p>
            <w:pPr>
              <w:ind w:left="440"/>
              <w:spacing w:after="0"/>
              <w:rPr>
                <w:sz w:val="20"/>
                <w:szCs w:val="20"/>
                <w:color w:val="auto"/>
              </w:rPr>
            </w:pPr>
            <w:r>
              <w:rPr>
                <w:rFonts w:ascii="Arial" w:cs="Arial" w:eastAsia="Arial" w:hAnsi="Arial"/>
                <w:sz w:val="18"/>
                <w:szCs w:val="18"/>
                <w:color w:val="auto"/>
              </w:rPr>
              <w:t>the Company’s Chief Financial Officer.</w:t>
            </w:r>
          </w:p>
        </w:tc>
        <w:tc>
          <w:tcPr>
            <w:tcW w:w="6000" w:type="dxa"/>
            <w:vAlign w:val="bottom"/>
          </w:tcPr>
          <w:p>
            <w:pPr>
              <w:spacing w:after="0"/>
              <w:rPr>
                <w:sz w:val="20"/>
                <w:szCs w:val="20"/>
                <w:color w:val="auto"/>
              </w:rPr>
            </w:pPr>
          </w:p>
        </w:tc>
      </w:tr>
      <w:tr>
        <w:trPr>
          <w:trHeight w:val="432"/>
        </w:trPr>
        <w:tc>
          <w:tcPr>
            <w:tcW w:w="1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00" w:type="dxa"/>
            <w:vAlign w:val="bottom"/>
          </w:tcPr>
          <w:p>
            <w:pPr>
              <w:jc w:val="right"/>
              <w:ind w:right="5570"/>
              <w:spacing w:after="0"/>
              <w:rPr>
                <w:sz w:val="20"/>
                <w:szCs w:val="20"/>
                <w:color w:val="auto"/>
              </w:rPr>
            </w:pPr>
            <w:r>
              <w:rPr>
                <w:rFonts w:ascii="Arial" w:cs="Arial" w:eastAsia="Arial" w:hAnsi="Arial"/>
                <w:sz w:val="18"/>
                <w:szCs w:val="18"/>
                <w:color w:val="auto"/>
              </w:rPr>
              <w:t>60</w:t>
            </w:r>
          </w:p>
        </w:tc>
      </w:tr>
      <w:tr>
        <w:trPr>
          <w:trHeight w:val="132"/>
        </w:trPr>
        <w:tc>
          <w:tcPr>
            <w:tcW w:w="150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r>
        <w:trPr>
          <w:trHeight w:val="780"/>
        </w:trPr>
        <w:tc>
          <w:tcPr>
            <w:tcW w:w="1500" w:type="dxa"/>
            <w:vAlign w:val="bottom"/>
          </w:tcPr>
          <w:p>
            <w:pPr>
              <w:ind w:left="660"/>
              <w:spacing w:after="0"/>
              <w:rPr>
                <w:sz w:val="20"/>
                <w:szCs w:val="20"/>
                <w:color w:val="auto"/>
              </w:rPr>
            </w:pPr>
            <w:r>
              <w:rPr>
                <w:rFonts w:ascii="Arial" w:cs="Arial" w:eastAsia="Arial" w:hAnsi="Arial"/>
                <w:sz w:val="18"/>
                <w:szCs w:val="18"/>
                <w:color w:val="auto"/>
              </w:rPr>
              <w:t>*101</w:t>
            </w:r>
          </w:p>
        </w:tc>
        <w:tc>
          <w:tcPr>
            <w:tcW w:w="3960" w:type="dxa"/>
            <w:vAlign w:val="bottom"/>
          </w:tcPr>
          <w:p>
            <w:pPr>
              <w:ind w:left="440"/>
              <w:spacing w:after="0"/>
              <w:rPr>
                <w:sz w:val="20"/>
                <w:szCs w:val="20"/>
                <w:color w:val="auto"/>
              </w:rPr>
            </w:pPr>
            <w:r>
              <w:rPr>
                <w:rFonts w:ascii="Arial" w:cs="Arial" w:eastAsia="Arial" w:hAnsi="Arial"/>
                <w:sz w:val="18"/>
                <w:szCs w:val="18"/>
                <w:color w:val="auto"/>
              </w:rPr>
              <w:t>Interactive Data File</w:t>
            </w:r>
          </w:p>
        </w:tc>
        <w:tc>
          <w:tcPr>
            <w:tcW w:w="6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1940" w:right="1100"/>
        <w:spacing w:after="0" w:line="291" w:lineRule="auto"/>
        <w:rPr>
          <w:sz w:val="20"/>
          <w:szCs w:val="20"/>
          <w:color w:val="auto"/>
        </w:rPr>
      </w:pPr>
      <w:r>
        <w:rPr>
          <w:rFonts w:ascii="Arial" w:cs="Arial" w:eastAsia="Arial" w:hAnsi="Arial"/>
          <w:sz w:val="16"/>
          <w:szCs w:val="16"/>
          <w:color w:val="auto"/>
        </w:rPr>
        <w:t>Interactive data files pursuant to Rule 405 of Regulation S-T: (i) Consolidated Balance Sheets at March 31, 2016 and December 31, 2015; (ii) Consolidated Statements of Income for the three months ended March 31, 2016 and 2015;</w:t>
      </w:r>
    </w:p>
    <w:p>
      <w:pPr>
        <w:ind w:left="1940" w:right="240" w:hanging="1"/>
        <w:spacing w:after="0" w:line="302" w:lineRule="auto"/>
        <w:tabs>
          <w:tab w:leader="none" w:pos="2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Consolidated Statements of Comprehensive Income for the three months ended March 31, 2016 and 2015; (iv) Consolidated Statements of Stockholders’ Equity for the three months ended March 31, 2016 and 2015; (v) Consolidated Statements of Cash Flows for the three months ended March 31, 2016 and 2015;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VAN A. DUKEMAN</w:t>
      </w:r>
    </w:p>
    <w:p>
      <w:pPr>
        <w:sectPr>
          <w:pgSz w:w="11900" w:h="16887" w:orient="portrait"/>
          <w:cols w:equalWidth="0" w:num="1">
            <w:col w:w="11460"/>
          </w:cols>
          <w:pgMar w:left="240" w:top="337" w:right="199" w:bottom="0" w:gutter="0" w:footer="0" w:header="0"/>
        </w:sectPr>
      </w:pPr>
    </w:p>
    <w:bookmarkStart w:id="34" w:name="page35"/>
    <w:bookmarkEnd w:id="34"/>
    <w:p>
      <w:pPr>
        <w:ind w:left="6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4102100</wp:posOffset>
            </wp:positionH>
            <wp:positionV relativeFrom="page">
              <wp:posOffset>88900</wp:posOffset>
            </wp:positionV>
            <wp:extent cx="33020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00" cy="8890"/>
                    </a:xfrm>
                    <a:prstGeom prst="rect">
                      <a:avLst/>
                    </a:prstGeom>
                    <a:noFill/>
                  </pic:spPr>
                </pic:pic>
              </a:graphicData>
            </a:graphic>
          </wp:anchor>
        </w:drawing>
        <w:t>Van A. Dukeman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SUSAN 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Susan K. Miller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Deputy Chief Financial Officer and Chief Accounting Officer</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0"/>
          </w:cols>
          <w:pgMar w:left="240" w:top="355"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35845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1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March 31, 2016,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March 31, 2016,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8"/>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Roman"/>
      <w:start w:val="3"/>
    </w:lvl>
  </w:abstractNum>
  <w:abstractNum w:abstractNumId="4">
    <w:nsid w:val="3D1B5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2020-01-20T11:36:17Z</dcterms:created>
  <dcterms:modified xsi:type="dcterms:W3CDTF">2020-01-20T11:36:17Z</dcterms:modified>
</cp:coreProperties>
</file>