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26346.xml.htm"/>
      <w:bookmarkStart w:id="1" w:name="kswkform4_1784126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DUKEMAN VAN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14"/>
        <w:gridCol w:w="897"/>
        <w:gridCol w:w="771"/>
        <w:gridCol w:w="565"/>
        <w:gridCol w:w="357"/>
        <w:gridCol w:w="1124"/>
        <w:gridCol w:w="398"/>
        <w:gridCol w:w="922"/>
        <w:gridCol w:w="1501"/>
        <w:gridCol w:w="927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1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164.1076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26.4659</w:t>
            </w:r>
            <w:r>
              <w:rPr/>
              <w:t xml:space="preserve"> </w:t>
            </w:r>
          </w:p>
        </w:tc>
        <w:tc>
          <w:tcPr>
            <w:tcW w:w="15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461,416.9387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5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532,060.9387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14,034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&amp; Profit Sharing Plan</w:t>
            </w:r>
          </w:p>
        </w:tc>
      </w:tr>
      <w:tr>
        <w:trPr/>
        <w:tc>
          <w:tcPr>
            <w:tcW w:w="18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2,201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acquired through dividend reinvestment in the First Busey Corporation Employee Stock Purchase Plan in transactions that were exempt under both Rule 16b-3(c) and Rule 16b-3(d).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by the Board of Directors of Restricted Stock Units which vest on July 1,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Carolyn Slattery,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1409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3434</Characters>
  <CharactersWithSpaces>3993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