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2880" w:right="1599" w:hanging="2615"/>
        <w:spacing w:after="0" w:line="351" w:lineRule="auto"/>
        <w:tabs>
          <w:tab w:leader="none" w:pos="6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6/30/2020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178435</wp:posOffset>
            </wp:positionH>
            <wp:positionV relativeFrom="paragraph">
              <wp:posOffset>-357505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ind w:left="3380" w:right="1579" w:hanging="3115"/>
        <w:spacing w:after="0" w:line="352" w:lineRule="auto"/>
        <w:tabs>
          <w:tab w:leader="none" w:pos="63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178435</wp:posOffset>
            </wp:positionH>
            <wp:positionV relativeFrom="paragraph">
              <wp:posOffset>-358140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FIRST BUSEY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660" w:type="dxa"/>
        <w:tblCellMar>
          <w:top w:w="0" w:type="dxa"/>
          <w:left w:w="0" w:type="dxa"/>
          <w:bottom w:w="0" w:type="dxa"/>
          <w:right w:w="0" w:type="dxa"/>
        </w:tblCellMar>
      </w:tblPr>
      <w:tr>
        <w:trPr>
          <w:trHeight w:val="233"/>
        </w:trPr>
        <w:tc>
          <w:tcPr>
            <w:tcW w:w="3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480" w:type="dxa"/>
            <w:vAlign w:val="bottom"/>
          </w:tcPr>
          <w:p>
            <w:pPr>
              <w:jc w:val="right"/>
              <w:ind w:right="770"/>
              <w:spacing w:after="0"/>
              <w:rPr>
                <w:sz w:val="20"/>
                <w:szCs w:val="20"/>
                <w:color w:val="auto"/>
              </w:rPr>
            </w:pPr>
            <w:r>
              <w:rPr>
                <w:rFonts w:ascii="Arial" w:cs="Arial" w:eastAsia="Arial" w:hAnsi="Arial"/>
                <w:sz w:val="18"/>
                <w:szCs w:val="18"/>
                <w:b w:val="1"/>
                <w:bCs w:val="1"/>
                <w:color w:val="auto"/>
              </w:rPr>
              <w:t>37-1078406</w:t>
            </w: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480" w:type="dxa"/>
            <w:vAlign w:val="bottom"/>
          </w:tcPr>
          <w:p>
            <w:pPr>
              <w:jc w:val="center"/>
              <w:ind w:left="790"/>
              <w:spacing w:after="0" w:line="202" w:lineRule="exact"/>
              <w:rPr>
                <w:sz w:val="20"/>
                <w:szCs w:val="20"/>
                <w:color w:val="auto"/>
              </w:rPr>
            </w:pPr>
            <w:r>
              <w:rPr>
                <w:rFonts w:ascii="Arial" w:cs="Arial" w:eastAsia="Arial" w:hAnsi="Arial"/>
                <w:sz w:val="18"/>
                <w:szCs w:val="18"/>
                <w:color w:val="auto"/>
                <w:w w:val="93"/>
              </w:rPr>
              <w:t>(I.R.S. Employer Identification No.)</w:t>
            </w:r>
          </w:p>
        </w:tc>
      </w:tr>
      <w:tr>
        <w:trPr>
          <w:trHeight w:val="212"/>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or organization)</w:t>
            </w:r>
          </w:p>
        </w:tc>
        <w:tc>
          <w:tcPr>
            <w:tcW w:w="3480" w:type="dxa"/>
            <w:vAlign w:val="bottom"/>
          </w:tcPr>
          <w:p>
            <w:pPr>
              <w:spacing w:after="0"/>
              <w:rPr>
                <w:sz w:val="18"/>
                <w:szCs w:val="18"/>
                <w:color w:val="auto"/>
              </w:rPr>
            </w:pP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480" w:type="dxa"/>
            <w:vAlign w:val="bottom"/>
          </w:tcPr>
          <w:p>
            <w:pPr>
              <w:spacing w:after="0"/>
              <w:rPr>
                <w:sz w:val="17"/>
                <w:szCs w:val="17"/>
                <w:color w:val="auto"/>
              </w:rPr>
            </w:pPr>
          </w:p>
        </w:tc>
      </w:tr>
      <w:tr>
        <w:trPr>
          <w:trHeight w:val="207"/>
        </w:trPr>
        <w:tc>
          <w:tcPr>
            <w:tcW w:w="396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Champaign, Illinois</w:t>
            </w:r>
          </w:p>
        </w:tc>
        <w:tc>
          <w:tcPr>
            <w:tcW w:w="348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790"/>
              <w:spacing w:after="0"/>
              <w:rPr>
                <w:sz w:val="20"/>
                <w:szCs w:val="20"/>
                <w:color w:val="auto"/>
              </w:rPr>
            </w:pPr>
            <w:r>
              <w:rPr>
                <w:rFonts w:ascii="Arial" w:cs="Arial" w:eastAsia="Arial" w:hAnsi="Arial"/>
                <w:sz w:val="18"/>
                <w:szCs w:val="18"/>
                <w:color w:val="auto"/>
                <w:w w:val="93"/>
              </w:rPr>
              <w:t>(Zip code)</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88"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left="60" w:right="399"/>
        <w:spacing w:after="0" w:line="21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left="60" w:right="239"/>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left="60" w:right="219"/>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1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spacing w:after="0"/>
              <w:rPr>
                <w:sz w:val="24"/>
                <w:szCs w:val="24"/>
                <w:color w:val="auto"/>
              </w:rPr>
            </w:pPr>
          </w:p>
        </w:tc>
      </w:tr>
    </w:tbl>
    <w:p>
      <w:pPr>
        <w:spacing w:after="0" w:line="87" w:lineRule="exact"/>
        <w:rPr>
          <w:sz w:val="24"/>
          <w:szCs w:val="24"/>
          <w:color w:val="auto"/>
        </w:rPr>
      </w:pPr>
    </w:p>
    <w:p>
      <w:pPr>
        <w:jc w:val="both"/>
        <w:ind w:left="60" w:right="439"/>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ind w:left="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p>
    <w:p>
      <w:pPr>
        <w:spacing w:after="0" w:line="16" w:lineRule="exact"/>
        <w:rPr>
          <w:sz w:val="24"/>
          <w:szCs w:val="24"/>
          <w:color w:val="auto"/>
        </w:rPr>
      </w:pPr>
    </w:p>
    <w:p>
      <w:pPr>
        <w:ind w:left="300" w:hanging="250"/>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94"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3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Class</w:t>
            </w:r>
          </w:p>
        </w:tc>
        <w:tc>
          <w:tcPr>
            <w:tcW w:w="436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0"/>
              </w:rPr>
              <w:t>Outstanding at August 6, 2020</w:t>
            </w:r>
          </w:p>
        </w:tc>
      </w:tr>
      <w:tr>
        <w:trPr>
          <w:trHeight w:val="237"/>
        </w:trPr>
        <w:tc>
          <w:tcPr>
            <w:tcW w:w="1040" w:type="dxa"/>
            <w:vAlign w:val="bottom"/>
            <w:tcBorders>
              <w:bottom w:val="single" w:sz="8" w:color="auto"/>
            </w:tcBorders>
          </w:tcPr>
          <w:p>
            <w:pPr>
              <w:spacing w:after="0"/>
              <w:rPr>
                <w:sz w:val="20"/>
                <w:szCs w:val="20"/>
                <w:color w:val="auto"/>
              </w:rPr>
            </w:pPr>
          </w:p>
        </w:tc>
        <w:tc>
          <w:tcPr>
            <w:tcW w:w="3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Borders>
              <w:bottom w:val="single" w:sz="8" w:color="auto"/>
            </w:tcBorders>
          </w:tcPr>
          <w:p>
            <w:pPr>
              <w:spacing w:after="0"/>
              <w:rPr>
                <w:sz w:val="20"/>
                <w:szCs w:val="20"/>
                <w:color w:val="auto"/>
              </w:rPr>
            </w:pPr>
          </w:p>
        </w:tc>
        <w:tc>
          <w:tcPr>
            <w:tcW w:w="334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8"/>
                <w:szCs w:val="18"/>
                <w:color w:val="auto"/>
              </w:rPr>
              <w:t>54,516,112</w:t>
            </w:r>
          </w:p>
        </w:tc>
        <w:tc>
          <w:tcPr>
            <w:tcW w:w="1020" w:type="dxa"/>
            <w:vAlign w:val="bottom"/>
            <w:tcBorders>
              <w:bottom w:val="single" w:sz="8" w:color="auto"/>
            </w:tcBorders>
          </w:tcPr>
          <w:p>
            <w:pPr>
              <w:spacing w:after="0"/>
              <w:rPr>
                <w:sz w:val="20"/>
                <w:szCs w:val="20"/>
                <w:color w:val="auto"/>
              </w:rPr>
            </w:pPr>
          </w:p>
        </w:tc>
      </w:tr>
      <w:tr>
        <w:trPr>
          <w:trHeight w:val="88"/>
        </w:trPr>
        <w:tc>
          <w:tcPr>
            <w:tcW w:w="104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547"/>
        </w:trPr>
        <w:tc>
          <w:tcPr>
            <w:tcW w:w="10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79"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FORM 10-Q</w:t>
      </w:r>
    </w:p>
    <w:p>
      <w:pPr>
        <w:jc w:val="center"/>
        <w:ind w:left="940"/>
        <w:spacing w:after="0"/>
        <w:rPr>
          <w:sz w:val="20"/>
          <w:szCs w:val="20"/>
          <w:color w:val="auto"/>
        </w:rPr>
      </w:pPr>
      <w:r>
        <w:rPr>
          <w:rFonts w:ascii="Arial" w:cs="Arial" w:eastAsia="Arial" w:hAnsi="Arial"/>
          <w:sz w:val="18"/>
          <w:szCs w:val="18"/>
          <w:b w:val="1"/>
          <w:bCs w:val="1"/>
          <w:color w:val="auto"/>
        </w:rPr>
        <w:t>June 30, 2020</w:t>
      </w:r>
    </w:p>
    <w:p>
      <w:pPr>
        <w:spacing w:after="0" w:line="209"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Table of Contents</w:t>
      </w:r>
    </w:p>
    <w:p>
      <w:pPr>
        <w:spacing w:after="0" w:line="235" w:lineRule="exact"/>
        <w:rPr>
          <w:sz w:val="20"/>
          <w:szCs w:val="20"/>
          <w:color w:val="auto"/>
        </w:rPr>
      </w:pPr>
    </w:p>
    <w:p>
      <w:pPr>
        <w:ind w:left="60"/>
        <w:spacing w:after="0"/>
        <w:tabs>
          <w:tab w:leader="none" w:pos="780" w:val="left"/>
        </w:tabs>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8"/>
            <w:szCs w:val="18"/>
            <w:b w:val="1"/>
            <w:bCs w:val="1"/>
            <w:u w:val="single" w:color="auto"/>
            <w:color w:val="0000EE"/>
          </w:rPr>
          <w:t>FINANCIAL INFORMATION</w:t>
        </w:r>
      </w:hyperlink>
    </w:p>
    <w:p>
      <w:pPr>
        <w:spacing w:after="0" w:line="256" w:lineRule="exact"/>
        <w:rPr>
          <w:sz w:val="20"/>
          <w:szCs w:val="20"/>
          <w:color w:val="auto"/>
        </w:rPr>
      </w:pPr>
    </w:p>
    <w:p>
      <w:pPr>
        <w:ind w:left="60"/>
        <w:spacing w:after="0"/>
        <w:tabs>
          <w:tab w:leader="none" w:pos="78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 (UNAUDITED)</w:t>
        </w:r>
      </w:hyperlink>
    </w:p>
    <w:p>
      <w:pPr>
        <w:spacing w:after="0" w:line="12" w:lineRule="exact"/>
        <w:rPr>
          <w:sz w:val="20"/>
          <w:szCs w:val="20"/>
          <w:color w:val="auto"/>
        </w:rPr>
      </w:pPr>
    </w:p>
    <w:p>
      <w:pPr>
        <w:ind w:left="8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7" w:lineRule="exact"/>
        <w:rPr>
          <w:sz w:val="20"/>
          <w:szCs w:val="20"/>
          <w:color w:val="auto"/>
        </w:rPr>
      </w:pPr>
    </w:p>
    <w:p>
      <w:pPr>
        <w:ind w:left="8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INCOME</w:t>
        </w:r>
      </w:hyperlink>
    </w:p>
    <w:p>
      <w:pPr>
        <w:spacing w:after="0" w:line="23" w:lineRule="exact"/>
        <w:rPr>
          <w:sz w:val="20"/>
          <w:szCs w:val="20"/>
          <w:color w:val="auto"/>
        </w:rPr>
      </w:pPr>
    </w:p>
    <w:p>
      <w:pPr>
        <w:ind w:left="800" w:right="2120"/>
        <w:spacing w:after="0" w:line="281"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CONSOLIDATED STATEMENTS OF COMPREHENSIVE INCOME</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CONSOLIDATED STATEMENTS OF STOCKHOLDERS’ EQUITY</w:t>
        </w:r>
      </w:hyperlink>
      <w:r>
        <w:rPr>
          <w:rFonts w:ascii="Arial" w:cs="Arial" w:eastAsia="Arial" w:hAnsi="Arial"/>
          <w:sz w:val="17"/>
          <w:szCs w:val="17"/>
          <w:u w:val="single" w:color="auto"/>
          <w:color w:val="0000EE"/>
        </w:rPr>
        <w:t xml:space="preserve"> </w:t>
      </w:r>
      <w:hyperlink w:anchor="page9">
        <w:r>
          <w:rPr>
            <w:rFonts w:ascii="Arial" w:cs="Arial" w:eastAsia="Arial" w:hAnsi="Arial"/>
            <w:sz w:val="17"/>
            <w:szCs w:val="17"/>
            <w:u w:val="single" w:color="auto"/>
            <w:color w:val="0000EE"/>
          </w:rPr>
          <w:t>CONSOLIDATED STATEMENTS OF CASH FLOWS</w:t>
        </w:r>
      </w:hyperlink>
    </w:p>
    <w:p>
      <w:pPr>
        <w:spacing w:after="0" w:line="2" w:lineRule="exact"/>
        <w:rPr>
          <w:rFonts w:ascii="Arial" w:cs="Arial" w:eastAsia="Arial" w:hAnsi="Arial"/>
          <w:sz w:val="17"/>
          <w:szCs w:val="17"/>
          <w:u w:val="single" w:color="auto"/>
          <w:color w:val="0000EE"/>
        </w:rPr>
      </w:pPr>
    </w:p>
    <w:p>
      <w:pPr>
        <w:ind w:left="8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p>
      <w:pPr>
        <w:spacing w:after="0" w:line="23" w:lineRule="exact"/>
        <w:rPr>
          <w:rFonts w:ascii="Arial" w:cs="Arial" w:eastAsia="Arial" w:hAnsi="Arial"/>
          <w:sz w:val="17"/>
          <w:szCs w:val="17"/>
          <w:u w:val="single" w:color="auto"/>
          <w:color w:val="0000EE"/>
        </w:rPr>
      </w:pPr>
    </w:p>
    <w:p>
      <w:pPr>
        <w:ind w:left="800" w:right="580" w:hanging="741"/>
        <w:spacing w:after="0" w:line="243" w:lineRule="auto"/>
        <w:tabs>
          <w:tab w:leader="none" w:pos="780" w:val="left"/>
        </w:tabs>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43">
        <w:r>
          <w:rPr>
            <w:rFonts w:ascii="Arial" w:cs="Arial" w:eastAsia="Arial" w:hAnsi="Arial"/>
            <w:sz w:val="18"/>
            <w:szCs w:val="18"/>
            <w:u w:val="single" w:color="auto"/>
            <w:color w:val="0000EE"/>
          </w:rPr>
          <w:t>MANAGEMENT’S DISCUSSION AND ANALYSIS OF FINANCIAL CONDITION AND</w:t>
        </w:r>
      </w:hyperlink>
      <w:r>
        <w:rPr>
          <w:rFonts w:ascii="Arial" w:cs="Arial" w:eastAsia="Arial" w:hAnsi="Arial"/>
          <w:sz w:val="18"/>
          <w:szCs w:val="18"/>
          <w:u w:val="single" w:color="auto"/>
          <w:color w:val="0000EE"/>
        </w:rPr>
        <w:t xml:space="preserve"> </w:t>
      </w:r>
      <w:hyperlink w:anchor="page43">
        <w:r>
          <w:rPr>
            <w:rFonts w:ascii="Arial" w:cs="Arial" w:eastAsia="Arial" w:hAnsi="Arial"/>
            <w:sz w:val="18"/>
            <w:szCs w:val="18"/>
            <w:u w:val="single" w:color="auto"/>
            <w:color w:val="0000EE"/>
          </w:rPr>
          <w:t>RESULTS OF OPERATIONS</w:t>
        </w:r>
      </w:hyperlink>
    </w:p>
    <w:p>
      <w:pPr>
        <w:spacing w:after="0" w:line="1" w:lineRule="exact"/>
        <w:rPr>
          <w:rFonts w:ascii="Arial" w:cs="Arial" w:eastAsia="Arial" w:hAnsi="Arial"/>
          <w:sz w:val="18"/>
          <w:szCs w:val="18"/>
          <w:u w:val="single" w:color="auto"/>
          <w:color w:val="0000EE"/>
        </w:rPr>
      </w:pPr>
    </w:p>
    <w:p>
      <w:pPr>
        <w:ind w:left="60" w:right="1120"/>
        <w:spacing w:after="0" w:line="243"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Item 4. CONTROLS AND PROCEDURES</w:t>
        </w:r>
      </w:hyperlink>
    </w:p>
    <w:p>
      <w:pPr>
        <w:spacing w:after="0" w:line="195" w:lineRule="exact"/>
        <w:rPr>
          <w:sz w:val="20"/>
          <w:szCs w:val="20"/>
          <w:color w:val="auto"/>
        </w:rPr>
      </w:pPr>
    </w:p>
    <w:p>
      <w:pPr>
        <w:ind w:left="60"/>
        <w:spacing w:after="0"/>
        <w:tabs>
          <w:tab w:leader="none" w:pos="780" w:val="left"/>
        </w:tabs>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66">
        <w:r>
          <w:rPr>
            <w:rFonts w:ascii="Arial" w:cs="Arial" w:eastAsia="Arial" w:hAnsi="Arial"/>
            <w:sz w:val="18"/>
            <w:szCs w:val="18"/>
            <w:b w:val="1"/>
            <w:bCs w:val="1"/>
            <w:u w:val="single" w:color="auto"/>
            <w:color w:val="0000EE"/>
          </w:rPr>
          <w:t>OTHER INFORMATION</w:t>
        </w:r>
      </w:hyperlink>
    </w:p>
    <w:p>
      <w:pPr>
        <w:spacing w:after="0" w:line="256" w:lineRule="exact"/>
        <w:rPr>
          <w:sz w:val="20"/>
          <w:szCs w:val="20"/>
          <w:color w:val="auto"/>
        </w:rPr>
      </w:pPr>
    </w:p>
    <w:p>
      <w:pPr>
        <w:ind w:left="60"/>
        <w:spacing w:after="0"/>
        <w:tabs>
          <w:tab w:leader="none" w:pos="780" w:val="left"/>
        </w:tabs>
        <w:rPr>
          <w:rFonts w:ascii="Arial" w:cs="Arial" w:eastAsia="Arial" w:hAnsi="Arial"/>
          <w:sz w:val="17"/>
          <w:szCs w:val="17"/>
          <w:u w:val="single" w:color="auto"/>
          <w:color w:val="0000EE"/>
        </w:rPr>
      </w:pPr>
      <w:hyperlink w:anchor="page66">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66">
        <w:r>
          <w:rPr>
            <w:rFonts w:ascii="Arial" w:cs="Arial" w:eastAsia="Arial" w:hAnsi="Arial"/>
            <w:sz w:val="17"/>
            <w:szCs w:val="17"/>
            <w:u w:val="single" w:color="auto"/>
            <w:color w:val="0000EE"/>
          </w:rPr>
          <w:t>LEGAL PROCEEDINGS</w:t>
        </w:r>
      </w:hyperlink>
    </w:p>
    <w:p>
      <w:pPr>
        <w:spacing w:after="0" w:line="7" w:lineRule="exact"/>
        <w:rPr>
          <w:sz w:val="20"/>
          <w:szCs w:val="20"/>
          <w:color w:val="auto"/>
        </w:rPr>
      </w:pPr>
    </w:p>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1A. RISK FACTORS</w:t>
        </w:r>
      </w:hyperlink>
    </w:p>
    <w:p>
      <w:pPr>
        <w:ind w:left="60"/>
        <w:spacing w:after="0"/>
        <w:tabs>
          <w:tab w:leader="none" w:pos="780" w:val="left"/>
        </w:tabs>
        <w:rPr>
          <w:rFonts w:ascii="Arial" w:cs="Arial" w:eastAsia="Arial" w:hAnsi="Arial"/>
          <w:sz w:val="16"/>
          <w:szCs w:val="16"/>
          <w:u w:val="single" w:color="auto"/>
          <w:color w:val="0000EE"/>
        </w:rPr>
      </w:pPr>
      <w:hyperlink w:anchor="page69">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69">
        <w:r>
          <w:rPr>
            <w:rFonts w:ascii="Arial" w:cs="Arial" w:eastAsia="Arial" w:hAnsi="Arial"/>
            <w:sz w:val="16"/>
            <w:szCs w:val="16"/>
            <w:u w:val="single" w:color="auto"/>
            <w:color w:val="0000EE"/>
          </w:rPr>
          <w:t>UNREGISTERED SALES OF EQUITY SECURITIES AND USE OF PROCEEDS</w:t>
        </w:r>
      </w:hyperlink>
    </w:p>
    <w:p>
      <w:pPr>
        <w:ind w:left="60"/>
        <w:spacing w:after="0"/>
        <w:tabs>
          <w:tab w:leader="none" w:pos="780" w:val="left"/>
        </w:tabs>
        <w:rPr>
          <w:rFonts w:ascii="Arial" w:cs="Arial" w:eastAsia="Arial" w:hAnsi="Arial"/>
          <w:sz w:val="16"/>
          <w:szCs w:val="16"/>
          <w:u w:val="single" w:color="auto"/>
          <w:color w:val="0000EE"/>
        </w:rPr>
      </w:pPr>
      <w:hyperlink w:anchor="page69">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69">
        <w:r>
          <w:rPr>
            <w:rFonts w:ascii="Arial" w:cs="Arial" w:eastAsia="Arial" w:hAnsi="Arial"/>
            <w:sz w:val="16"/>
            <w:szCs w:val="16"/>
            <w:u w:val="single" w:color="auto"/>
            <w:color w:val="0000EE"/>
          </w:rPr>
          <w:t>DEFAULTS UPON SENIOR SECURITIES</w:t>
        </w:r>
      </w:hyperlink>
    </w:p>
    <w:p>
      <w:pPr>
        <w:ind w:left="60"/>
        <w:spacing w:after="0"/>
        <w:tabs>
          <w:tab w:leader="none" w:pos="780" w:val="left"/>
        </w:tabs>
        <w:rPr>
          <w:rFonts w:ascii="Arial" w:cs="Arial" w:eastAsia="Arial" w:hAnsi="Arial"/>
          <w:sz w:val="17"/>
          <w:szCs w:val="17"/>
          <w:u w:val="single" w:color="auto"/>
          <w:color w:val="0000EE"/>
        </w:rPr>
      </w:pPr>
      <w:hyperlink w:anchor="page69">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69">
        <w:r>
          <w:rPr>
            <w:rFonts w:ascii="Arial" w:cs="Arial" w:eastAsia="Arial" w:hAnsi="Arial"/>
            <w:sz w:val="17"/>
            <w:szCs w:val="17"/>
            <w:u w:val="single" w:color="auto"/>
            <w:color w:val="0000EE"/>
          </w:rPr>
          <w:t>MINE SAFETY DISCLOSURES</w:t>
        </w:r>
      </w:hyperlink>
    </w:p>
    <w:p>
      <w:pPr>
        <w:ind w:left="60"/>
        <w:spacing w:after="0"/>
        <w:tabs>
          <w:tab w:leader="none" w:pos="780" w:val="left"/>
        </w:tabs>
        <w:rPr>
          <w:rFonts w:ascii="Arial" w:cs="Arial" w:eastAsia="Arial" w:hAnsi="Arial"/>
          <w:sz w:val="17"/>
          <w:szCs w:val="17"/>
          <w:u w:val="single" w:color="auto"/>
          <w:color w:val="0000EE"/>
        </w:rPr>
      </w:pPr>
      <w:hyperlink w:anchor="page69">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69">
        <w:r>
          <w:rPr>
            <w:rFonts w:ascii="Arial" w:cs="Arial" w:eastAsia="Arial" w:hAnsi="Arial"/>
            <w:sz w:val="17"/>
            <w:szCs w:val="17"/>
            <w:u w:val="single" w:color="auto"/>
            <w:color w:val="0000EE"/>
          </w:rPr>
          <w:t>OTHER INFORMATION</w:t>
        </w:r>
      </w:hyperlink>
    </w:p>
    <w:p>
      <w:pPr>
        <w:ind w:left="60"/>
        <w:spacing w:after="0"/>
        <w:tabs>
          <w:tab w:leader="none" w:pos="780" w:val="left"/>
        </w:tabs>
        <w:rPr>
          <w:rFonts w:ascii="Arial" w:cs="Arial" w:eastAsia="Arial" w:hAnsi="Arial"/>
          <w:sz w:val="17"/>
          <w:szCs w:val="17"/>
          <w:u w:val="single" w:color="auto"/>
          <w:color w:val="0000EE"/>
        </w:rPr>
      </w:pPr>
      <w:hyperlink w:anchor="page70">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70">
        <w:r>
          <w:rPr>
            <w:rFonts w:ascii="Arial" w:cs="Arial" w:eastAsia="Arial" w:hAnsi="Arial"/>
            <w:sz w:val="17"/>
            <w:szCs w:val="17"/>
            <w:u w:val="single" w:color="auto"/>
            <w:color w:val="0000EE"/>
          </w:rPr>
          <w:t>EXHIBITS</w:t>
        </w:r>
      </w:hyperlink>
    </w:p>
    <w:p>
      <w:pPr>
        <w:ind w:left="8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11</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ectPr>
          <w:pgSz w:w="11900" w:h="16838" w:orient="portrait"/>
          <w:cols w:equalWidth="0" w:num="2">
            <w:col w:w="8060" w:space="720"/>
            <w:col w:w="23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3"/>
          </w:tcPr>
          <w:p>
            <w:pPr>
              <w:jc w:val="right"/>
              <w:ind w:right="828"/>
              <w:spacing w:after="0"/>
              <w:rPr>
                <w:sz w:val="20"/>
                <w:szCs w:val="20"/>
                <w:color w:val="auto"/>
              </w:rPr>
            </w:pPr>
            <w:r>
              <w:rPr>
                <w:rFonts w:ascii="Arial" w:cs="Arial" w:eastAsia="Arial" w:hAnsi="Arial"/>
                <w:sz w:val="14"/>
                <w:szCs w:val="14"/>
                <w:b w:val="1"/>
                <w:bCs w:val="1"/>
                <w:i w:val="1"/>
                <w:iCs w:val="1"/>
                <w:color w:val="auto"/>
              </w:rPr>
              <w:t>(dollars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125,261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136,546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Interest-bearing deposits</w:t>
            </w: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924,811</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120"/>
              <w:spacing w:after="0"/>
              <w:rPr>
                <w:sz w:val="20"/>
                <w:szCs w:val="20"/>
                <w:color w:val="auto"/>
              </w:rPr>
            </w:pPr>
            <w:r>
              <w:rPr>
                <w:rFonts w:ascii="Arial" w:cs="Arial" w:eastAsia="Arial" w:hAnsi="Arial"/>
                <w:sz w:val="14"/>
                <w:szCs w:val="14"/>
                <w:color w:val="auto"/>
              </w:rPr>
              <w:t>Total cash and cash equivalents</w:t>
            </w:r>
          </w:p>
        </w:tc>
        <w:tc>
          <w:tcPr>
            <w:tcW w:w="18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1,050,072</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529,288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Debt securities available for sale</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1,696,866</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1,648,257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5,126</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Loans held for sale, at fair value</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108,140</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68,699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Portfolio loans (net of allowance 2020 $96,046; 2019 $53,748)</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7,132,974</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6,633,501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Premises and equipment, net</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146,951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151,267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8,511</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311,536</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311,536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56,517</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Cash surrender value of bank owned life insurance</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174,544</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173,595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144,728</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10,835,965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9,695,729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40"/>
              <w:spacing w:after="0"/>
              <w:rPr>
                <w:sz w:val="20"/>
                <w:szCs w:val="20"/>
                <w:color w:val="auto"/>
              </w:rPr>
            </w:pPr>
            <w:r>
              <w:rPr>
                <w:rFonts w:ascii="Arial" w:cs="Arial" w:eastAsia="Arial" w:hAnsi="Arial"/>
                <w:sz w:val="14"/>
                <w:szCs w:val="14"/>
                <w:color w:val="auto"/>
              </w:rPr>
              <w:t>Noninterest-bearing</w:t>
            </w:r>
          </w:p>
        </w:tc>
        <w:tc>
          <w:tcPr>
            <w:tcW w:w="180" w:type="dxa"/>
            <w:vAlign w:val="bottom"/>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2,764,408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1,832,619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Interest-bearing</w:t>
            </w: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6,145,258</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6,069,777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Pr>
          <w:p>
            <w:pPr>
              <w:ind w:left="440"/>
              <w:spacing w:after="0"/>
              <w:rPr>
                <w:sz w:val="20"/>
                <w:szCs w:val="20"/>
                <w:color w:val="auto"/>
              </w:rPr>
            </w:pPr>
            <w:r>
              <w:rPr>
                <w:rFonts w:ascii="Arial" w:cs="Arial" w:eastAsia="Arial" w:hAnsi="Arial"/>
                <w:sz w:val="14"/>
                <w:szCs w:val="14"/>
                <w:color w:val="auto"/>
              </w:rPr>
              <w:t>Total deposits</w:t>
            </w:r>
          </w:p>
        </w:tc>
        <w:tc>
          <w:tcPr>
            <w:tcW w:w="18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8,909,666</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7,902,396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194,249</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205,491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borrowings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24,648</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35,101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83,600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net of unamortized issuance costs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39,741</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Subordinated notes, net of unamortized issuance costs</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181,995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59,248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Junior subordinated debt owed to unconsolidated trusts</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71,387</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8,601</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134,493</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9,599,881</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8,475,295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Outstanding commitments and contingent liabilities (see Notes 10 and 15)</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$.001 par value, authorized 2020 100,000,000 shares; authorized 2019</w:t>
            </w: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56</w:t>
            </w:r>
          </w:p>
        </w:tc>
        <w:tc>
          <w:tcPr>
            <w:tcW w:w="2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66,666,667 shares; 55,910,733 shares issued</w:t>
            </w:r>
          </w:p>
        </w:tc>
        <w:tc>
          <w:tcPr>
            <w:tcW w:w="18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1,248,045</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1,248,216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(13,951)</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37,037</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stockholders’ equity before treasury stock</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1,271,187</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1,394,733 and 1,121,961 shares, respectively</w:t>
            </w: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(35,103)</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1,236,084</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1,220,434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10,835,965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9,695,729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outstanding at period end</w:t>
            </w: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54,516,000</w:t>
            </w: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54,788,772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6"/>
                <w:szCs w:val="16"/>
                <w:color w:val="auto"/>
              </w:rPr>
            </w:pPr>
          </w:p>
        </w:tc>
        <w:tc>
          <w:tcPr>
            <w:tcW w:w="21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120" w:type="dxa"/>
            <w:vAlign w:val="bottom"/>
            <w:gridSpan w:val="6"/>
          </w:tcPr>
          <w:p>
            <w:pPr>
              <w:jc w:val="right"/>
              <w:ind w:right="148"/>
              <w:spacing w:after="0" w:line="155" w:lineRule="exact"/>
              <w:rPr>
                <w:sz w:val="20"/>
                <w:szCs w:val="20"/>
                <w:color w:val="auto"/>
              </w:rPr>
            </w:pPr>
            <w:r>
              <w:rPr>
                <w:rFonts w:ascii="Arial" w:cs="Arial" w:eastAsia="Arial" w:hAnsi="Arial"/>
                <w:sz w:val="14"/>
                <w:szCs w:val="14"/>
                <w:b w:val="1"/>
                <w:bCs w:val="1"/>
                <w:i w:val="1"/>
                <w:iCs w:val="1"/>
                <w:color w:val="auto"/>
                <w:w w:val="87"/>
              </w:rPr>
              <w:t>(dollars in thousands, except per share amounts)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71,089</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78,031</w:t>
            </w:r>
          </w:p>
        </w:tc>
        <w:tc>
          <w:tcPr>
            <w:tcW w:w="180" w:type="dxa"/>
            <w:vAlign w:val="bottom"/>
          </w:tcPr>
          <w:p>
            <w:pPr>
              <w:spacing w:after="0"/>
              <w:rPr>
                <w:sz w:val="15"/>
                <w:szCs w:val="15"/>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143,625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149,820</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340"/>
              <w:spacing w:after="0"/>
              <w:rPr>
                <w:sz w:val="20"/>
                <w:szCs w:val="20"/>
                <w:color w:val="auto"/>
              </w:rPr>
            </w:pPr>
            <w:r>
              <w:rPr>
                <w:rFonts w:ascii="Arial" w:cs="Arial" w:eastAsia="Arial" w:hAnsi="Arial"/>
                <w:sz w:val="14"/>
                <w:szCs w:val="14"/>
                <w:color w:val="auto"/>
              </w:rPr>
              <w:t>Taxable interest income</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8,833</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11,152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18,341</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21,336</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Non-taxable interest income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1,166</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2,317</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interest income</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1,383</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income</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81,233</w:t>
            </w:r>
          </w:p>
        </w:tc>
        <w:tc>
          <w:tcPr>
            <w:tcW w:w="5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91,466</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165,666</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175,747</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Interest expense: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7,721</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19,948</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26,654</w:t>
            </w:r>
          </w:p>
        </w:tc>
        <w:tc>
          <w:tcPr>
            <w:tcW w:w="0" w:type="dxa"/>
            <w:vAlign w:val="bottom"/>
          </w:tcPr>
          <w:p>
            <w:pPr>
              <w:spacing w:after="0"/>
              <w:rPr>
                <w:sz w:val="1"/>
                <w:szCs w:val="1"/>
                <w:color w:val="auto"/>
              </w:rPr>
            </w:pPr>
          </w:p>
        </w:tc>
      </w:tr>
      <w:tr>
        <w:trPr>
          <w:trHeight w:val="182"/>
        </w:trPr>
        <w:tc>
          <w:tcPr>
            <w:tcW w:w="3900" w:type="dxa"/>
            <w:vAlign w:val="bottom"/>
          </w:tcPr>
          <w:p>
            <w:pPr>
              <w:ind w:left="220"/>
              <w:spacing w:after="0"/>
              <w:rPr>
                <w:sz w:val="20"/>
                <w:szCs w:val="20"/>
                <w:color w:val="auto"/>
              </w:rPr>
            </w:pPr>
            <w:r>
              <w:rPr>
                <w:rFonts w:ascii="Arial" w:cs="Arial" w:eastAsia="Arial" w:hAnsi="Arial"/>
                <w:sz w:val="14"/>
                <w:szCs w:val="14"/>
                <w:color w:val="auto"/>
              </w:rPr>
              <w:t>Federal funds purchased and securities sold under</w:t>
            </w: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5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627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508</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69"/>
        </w:trPr>
        <w:tc>
          <w:tcPr>
            <w:tcW w:w="3900" w:type="dxa"/>
            <w:vAlign w:val="bottom"/>
          </w:tcPr>
          <w:p>
            <w:pPr>
              <w:ind w:left="340"/>
              <w:spacing w:after="0"/>
              <w:rPr>
                <w:sz w:val="20"/>
                <w:szCs w:val="20"/>
                <w:color w:val="auto"/>
              </w:rPr>
            </w:pPr>
            <w:r>
              <w:rPr>
                <w:rFonts w:ascii="Arial" w:cs="Arial" w:eastAsia="Arial" w:hAnsi="Arial"/>
                <w:sz w:val="14"/>
                <w:szCs w:val="14"/>
                <w:color w:val="auto"/>
              </w:rPr>
              <w:t>agreements to repurchase</w:t>
            </w: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borrowings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185</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457</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Senior notes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399</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799</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rPr>
                <w:sz w:val="20"/>
                <w:szCs w:val="20"/>
                <w:color w:val="auto"/>
              </w:rPr>
            </w:pPr>
            <w:r>
              <w:rPr>
                <w:rFonts w:ascii="Arial" w:cs="Arial" w:eastAsia="Arial" w:hAnsi="Arial"/>
                <w:sz w:val="14"/>
                <w:szCs w:val="14"/>
                <w:color w:val="auto"/>
              </w:rPr>
              <w:t>Subordinated notes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1,312</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2,043</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736</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1,480</w:t>
            </w: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interest expense</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10,420</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18,038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25,420</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33,936</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70,813</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73,428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140,246</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141,811</w:t>
            </w:r>
          </w:p>
        </w:tc>
        <w:tc>
          <w:tcPr>
            <w:tcW w:w="0" w:type="dxa"/>
            <w:vAlign w:val="bottom"/>
          </w:tcPr>
          <w:p>
            <w:pPr>
              <w:spacing w:after="0"/>
              <w:rPr>
                <w:sz w:val="1"/>
                <w:szCs w:val="1"/>
                <w:color w:val="auto"/>
              </w:rPr>
            </w:pPr>
          </w:p>
        </w:tc>
      </w:tr>
      <w:tr>
        <w:trPr>
          <w:trHeight w:val="175"/>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credit losses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12,891</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30,107</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4,628</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interest income after provision for credit losses</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57,922</w:t>
            </w:r>
          </w:p>
        </w:tc>
        <w:tc>
          <w:tcPr>
            <w:tcW w:w="5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70,911</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110,139</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137,183</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Wealth management fees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10,193</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21,748</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18,517</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Fees for customer services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7,025</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9,696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15,386</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17,793</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Remittance processing</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3,718</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7,471</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7,497</w:t>
            </w:r>
          </w:p>
        </w:tc>
        <w:tc>
          <w:tcPr>
            <w:tcW w:w="0" w:type="dxa"/>
            <w:vAlign w:val="bottom"/>
          </w:tcPr>
          <w:p>
            <w:pPr>
              <w:spacing w:after="0"/>
              <w:rPr>
                <w:sz w:val="1"/>
                <w:szCs w:val="1"/>
                <w:color w:val="auto"/>
              </w:rPr>
            </w:pPr>
          </w:p>
        </w:tc>
      </w:tr>
      <w:tr>
        <w:trPr>
          <w:trHeight w:val="176"/>
        </w:trPr>
        <w:tc>
          <w:tcPr>
            <w:tcW w:w="3900" w:type="dxa"/>
            <w:vAlign w:val="bottom"/>
          </w:tcPr>
          <w:p>
            <w:pPr>
              <w:ind w:left="220"/>
              <w:spacing w:after="0"/>
              <w:rPr>
                <w:sz w:val="20"/>
                <w:szCs w:val="20"/>
                <w:color w:val="auto"/>
              </w:rPr>
            </w:pPr>
            <w:r>
              <w:rPr>
                <w:rFonts w:ascii="Arial" w:cs="Arial" w:eastAsia="Arial" w:hAnsi="Arial"/>
                <w:sz w:val="14"/>
                <w:szCs w:val="14"/>
                <w:color w:val="auto"/>
              </w:rPr>
              <w:t>Mortgage revenue</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2,705</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2,851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4,086</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4,796</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on bank owned life insurance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2,282</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3,339</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Net gains (losses) on sales of securities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5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1,699</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gains (losses) recognized on equity securities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w:t>
            </w:r>
          </w:p>
        </w:tc>
        <w:tc>
          <w:tcPr>
            <w:tcW w:w="5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(1,016)</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(797)</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75"/>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1,726</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2,549</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non-interest income</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27,964</w:t>
            </w:r>
          </w:p>
        </w:tc>
        <w:tc>
          <w:tcPr>
            <w:tcW w:w="5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27,896</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55,481</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53,841</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28,555</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34,268</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62,558</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66,609</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4,051</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5,616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8,446</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10,017</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occupancy expense of premises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4,448</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4,511</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9,163</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8,713</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Furniture and equipment expenses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2,537</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2,352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4,986</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4,447</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fees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1,986</w:t>
            </w: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3,810</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6,379</w:t>
            </w:r>
          </w:p>
        </w:tc>
        <w:tc>
          <w:tcPr>
            <w:tcW w:w="0" w:type="dxa"/>
            <w:vAlign w:val="bottom"/>
          </w:tcPr>
          <w:p>
            <w:pPr>
              <w:spacing w:after="0"/>
              <w:rPr>
                <w:sz w:val="1"/>
                <w:szCs w:val="1"/>
                <w:color w:val="auto"/>
              </w:rPr>
            </w:pPr>
          </w:p>
        </w:tc>
      </w:tr>
      <w:tr>
        <w:trPr>
          <w:trHeight w:val="175"/>
        </w:trPr>
        <w:tc>
          <w:tcPr>
            <w:tcW w:w="390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2,519</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2,412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5,076</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4,506</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expense</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8,972</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15,669</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19,543</w:t>
            </w: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24,512</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non-interest expense</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53,068</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68,020</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113,582</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125,183</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before income taxes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32,818</w:t>
            </w: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30,787</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52,038</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65,841</w:t>
            </w:r>
          </w:p>
        </w:tc>
        <w:tc>
          <w:tcPr>
            <w:tcW w:w="0" w:type="dxa"/>
            <w:vAlign w:val="bottom"/>
          </w:tcPr>
          <w:p>
            <w:pPr>
              <w:spacing w:after="0"/>
              <w:rPr>
                <w:sz w:val="1"/>
                <w:szCs w:val="1"/>
                <w:color w:val="auto"/>
              </w:rPr>
            </w:pPr>
          </w:p>
        </w:tc>
      </w:tr>
      <w:tr>
        <w:trPr>
          <w:trHeight w:val="175"/>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7,012</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6,702</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10,868</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16,287</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25,806</w:t>
            </w:r>
          </w:p>
        </w:tc>
        <w:tc>
          <w:tcPr>
            <w:tcW w:w="5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24,085</w:t>
            </w: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41,170</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49,554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0.47</w:t>
            </w:r>
          </w:p>
        </w:tc>
        <w:tc>
          <w:tcPr>
            <w:tcW w:w="5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0.75</w:t>
            </w:r>
          </w:p>
        </w:tc>
        <w:tc>
          <w:tcPr>
            <w:tcW w:w="3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rPr>
              <w:t>0.47</w:t>
            </w:r>
          </w:p>
        </w:tc>
        <w:tc>
          <w:tcPr>
            <w:tcW w:w="52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0.43</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tcPr>
          <w:p>
            <w:pPr>
              <w:jc w:val="right"/>
              <w:ind w:right="68"/>
              <w:spacing w:after="0" w:line="156" w:lineRule="exact"/>
              <w:rPr>
                <w:sz w:val="20"/>
                <w:szCs w:val="20"/>
                <w:color w:val="auto"/>
              </w:rPr>
            </w:pPr>
            <w:r>
              <w:rPr>
                <w:rFonts w:ascii="Arial" w:cs="Arial" w:eastAsia="Arial" w:hAnsi="Arial"/>
                <w:sz w:val="14"/>
                <w:szCs w:val="14"/>
                <w:b w:val="1"/>
                <w:bCs w:val="1"/>
                <w:color w:val="auto"/>
              </w:rPr>
              <w:t>0.75</w:t>
            </w:r>
          </w:p>
        </w:tc>
        <w:tc>
          <w:tcPr>
            <w:tcW w:w="380" w:type="dxa"/>
            <w:vAlign w:val="bottom"/>
            <w:tcBorders>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56"/>
        </w:trPr>
        <w:tc>
          <w:tcPr>
            <w:tcW w:w="390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Dividends declared per share of common stock</w:t>
            </w:r>
          </w:p>
        </w:tc>
        <w:tc>
          <w:tcPr>
            <w:tcW w:w="200" w:type="dxa"/>
            <w:vAlign w:val="bottom"/>
            <w:tcBorders>
              <w:bottom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0.22</w:t>
            </w:r>
          </w:p>
        </w:tc>
        <w:tc>
          <w:tcPr>
            <w:tcW w:w="520" w:type="dxa"/>
            <w:vAlign w:val="bottom"/>
            <w:tcBorders>
              <w:bottom w:val="single" w:sz="8" w:color="auto"/>
            </w:tcBorders>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0.21</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CEEFF"/>
          </w:tcPr>
          <w:p>
            <w:pPr>
              <w:jc w:val="right"/>
              <w:ind w:right="68"/>
              <w:spacing w:after="0" w:line="156" w:lineRule="exact"/>
              <w:rPr>
                <w:sz w:val="20"/>
                <w:szCs w:val="20"/>
                <w:color w:val="auto"/>
              </w:rPr>
            </w:pPr>
            <w:r>
              <w:rPr>
                <w:rFonts w:ascii="Arial" w:cs="Arial" w:eastAsia="Arial" w:hAnsi="Arial"/>
                <w:sz w:val="14"/>
                <w:szCs w:val="14"/>
                <w:b w:val="1"/>
                <w:bCs w:val="1"/>
                <w:color w:val="auto"/>
              </w:rPr>
              <w:t>0.44</w:t>
            </w:r>
          </w:p>
        </w:tc>
        <w:tc>
          <w:tcPr>
            <w:tcW w:w="380" w:type="dxa"/>
            <w:vAlign w:val="bottom"/>
            <w:tcBorders>
              <w:bottom w:val="single" w:sz="8" w:color="auto"/>
            </w:tcBorders>
            <w:shd w:val="clear" w:color="auto" w:fill="CCEEFF"/>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60" w:right="79"/>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(Unaudited)</w:t>
      </w:r>
    </w:p>
    <w:tbl>
      <w:tblPr>
        <w:tblLayout w:type="fixed"/>
        <w:tblInd w:w="6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i w:val="1"/>
                <w:iCs w:val="1"/>
                <w:color w:val="auto"/>
              </w:rPr>
              <w:t>(dollars in</w:t>
            </w:r>
          </w:p>
        </w:tc>
        <w:tc>
          <w:tcPr>
            <w:tcW w:w="140" w:type="dxa"/>
            <w:vAlign w:val="bottom"/>
          </w:tcPr>
          <w:p>
            <w:pPr>
              <w:spacing w:after="0"/>
              <w:rPr>
                <w:sz w:val="13"/>
                <w:szCs w:val="13"/>
                <w:color w:val="auto"/>
              </w:rPr>
            </w:pPr>
          </w:p>
        </w:tc>
        <w:tc>
          <w:tcPr>
            <w:tcW w:w="920" w:type="dxa"/>
            <w:vAlign w:val="bottom"/>
          </w:tcPr>
          <w:p>
            <w:pPr>
              <w:jc w:val="right"/>
              <w:ind w:right="279"/>
              <w:spacing w:after="0" w:line="155" w:lineRule="exact"/>
              <w:rPr>
                <w:sz w:val="20"/>
                <w:szCs w:val="20"/>
                <w:color w:val="auto"/>
              </w:rPr>
            </w:pPr>
            <w:r>
              <w:rPr>
                <w:rFonts w:ascii="Arial" w:cs="Arial" w:eastAsia="Arial" w:hAnsi="Arial"/>
                <w:sz w:val="14"/>
                <w:szCs w:val="14"/>
                <w:b w:val="1"/>
                <w:bCs w:val="1"/>
                <w:i w:val="1"/>
                <w:iCs w:val="1"/>
                <w:color w:val="auto"/>
                <w:w w:val="71"/>
              </w:rPr>
              <w:t>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  25,806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24,085</w:t>
            </w:r>
          </w:p>
        </w:tc>
        <w:tc>
          <w:tcPr>
            <w:tcW w:w="10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  41,170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49,554</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Unrealized gains (losses) on debt securities available for sale: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Net unrealized holding gains (losses) on debt securities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360"/>
              <w:spacing w:after="0"/>
              <w:rPr>
                <w:sz w:val="20"/>
                <w:szCs w:val="20"/>
                <w:color w:val="auto"/>
              </w:rPr>
            </w:pPr>
            <w:r>
              <w:rPr>
                <w:rFonts w:ascii="Arial" w:cs="Arial" w:eastAsia="Arial" w:hAnsi="Arial"/>
                <w:sz w:val="18"/>
                <w:szCs w:val="18"/>
                <w:color w:val="auto"/>
              </w:rPr>
              <w:t>available for sale, net of taxes of $(1,670), $(5,189),</w:t>
            </w:r>
          </w:p>
        </w:tc>
        <w:tc>
          <w:tcPr>
            <w:tcW w:w="1180" w:type="dxa"/>
            <w:vAlign w:val="bottom"/>
            <w:gridSpan w:val="2"/>
            <w:vMerge w:val="restart"/>
          </w:tcPr>
          <w:p>
            <w:pPr>
              <w:jc w:val="right"/>
              <w:ind w:right="77"/>
              <w:spacing w:after="0"/>
              <w:rPr>
                <w:sz w:val="20"/>
                <w:szCs w:val="20"/>
                <w:color w:val="auto"/>
              </w:rPr>
            </w:pPr>
            <w:r>
              <w:rPr>
                <w:rFonts w:ascii="Arial" w:cs="Arial" w:eastAsia="Arial" w:hAnsi="Arial"/>
                <w:sz w:val="18"/>
                <w:szCs w:val="18"/>
                <w:b w:val="1"/>
                <w:bCs w:val="1"/>
                <w:color w:val="auto"/>
              </w:rPr>
              <w:t>4,187</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13,025</w:t>
            </w:r>
          </w:p>
        </w:tc>
        <w:tc>
          <w:tcPr>
            <w:tcW w:w="1060" w:type="dxa"/>
            <w:vAlign w:val="bottom"/>
            <w:gridSpan w:val="2"/>
            <w:vMerge w:val="restart"/>
          </w:tcPr>
          <w:p>
            <w:pPr>
              <w:jc w:val="right"/>
              <w:ind w:right="59"/>
              <w:spacing w:after="0"/>
              <w:rPr>
                <w:sz w:val="20"/>
                <w:szCs w:val="20"/>
                <w:color w:val="auto"/>
              </w:rPr>
            </w:pPr>
            <w:r>
              <w:rPr>
                <w:rFonts w:ascii="Arial" w:cs="Arial" w:eastAsia="Arial" w:hAnsi="Arial"/>
                <w:sz w:val="18"/>
                <w:szCs w:val="18"/>
                <w:b w:val="1"/>
                <w:bCs w:val="1"/>
                <w:color w:val="auto"/>
              </w:rPr>
              <w:t>25,684</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17"/>
        </w:trPr>
        <w:tc>
          <w:tcPr>
            <w:tcW w:w="4800" w:type="dxa"/>
            <w:vAlign w:val="bottom"/>
          </w:tcPr>
          <w:p>
            <w:pPr>
              <w:ind w:left="360"/>
              <w:spacing w:after="0"/>
              <w:rPr>
                <w:sz w:val="20"/>
                <w:szCs w:val="20"/>
                <w:color w:val="auto"/>
              </w:rPr>
            </w:pPr>
            <w:r>
              <w:rPr>
                <w:rFonts w:ascii="Arial" w:cs="Arial" w:eastAsia="Arial" w:hAnsi="Arial"/>
                <w:sz w:val="18"/>
                <w:szCs w:val="18"/>
                <w:color w:val="auto"/>
              </w:rPr>
              <w:t>$(10,259) and $(7,129), respectively</w:t>
            </w:r>
          </w:p>
        </w:tc>
        <w:tc>
          <w:tcPr>
            <w:tcW w:w="11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unrealized losses on debt securities transferred from</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held to maturity to available for sale, net of taxes of $- ,</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and $(1,364), respectively</w:t>
            </w: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w w:val="99"/>
              </w:rPr>
              <w:t>Reclassification adjustment for realized (gains) losses on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00" w:type="dxa"/>
            <w:vAlign w:val="bottom"/>
          </w:tcPr>
          <w:p>
            <w:pPr>
              <w:ind w:left="360"/>
              <w:spacing w:after="0"/>
              <w:rPr>
                <w:sz w:val="20"/>
                <w:szCs w:val="20"/>
                <w:color w:val="auto"/>
              </w:rPr>
            </w:pPr>
            <w:r>
              <w:rPr>
                <w:rFonts w:ascii="Arial" w:cs="Arial" w:eastAsia="Arial" w:hAnsi="Arial"/>
                <w:sz w:val="18"/>
                <w:szCs w:val="18"/>
                <w:color w:val="auto"/>
                <w:w w:val="99"/>
              </w:rPr>
              <w:t>debt securities available for sale included in net income,</w:t>
            </w:r>
          </w:p>
        </w:tc>
        <w:tc>
          <w:tcPr>
            <w:tcW w:w="240" w:type="dxa"/>
            <w:vAlign w:val="bottom"/>
            <w:vMerge w:val="restart"/>
          </w:tcPr>
          <w:p>
            <w:pPr>
              <w:spacing w:after="0"/>
              <w:rPr>
                <w:sz w:val="20"/>
                <w:szCs w:val="20"/>
                <w:color w:val="auto"/>
              </w:rPr>
            </w:pPr>
          </w:p>
        </w:tc>
        <w:tc>
          <w:tcPr>
            <w:tcW w:w="9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(102)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vMerge w:val="restart"/>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of taxes of $41, $(3), $489 and $(55), respectively</w:t>
            </w:r>
          </w:p>
        </w:tc>
        <w:tc>
          <w:tcPr>
            <w:tcW w:w="24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Net change in unrealized gains (losses) on debt securities</w:t>
            </w:r>
          </w:p>
        </w:tc>
        <w:tc>
          <w:tcPr>
            <w:tcW w:w="240" w:type="dxa"/>
            <w:vAlign w:val="bottom"/>
            <w:vMerge w:val="restart"/>
            <w:shd w:val="clear" w:color="auto" w:fill="CCEEFF"/>
          </w:tcPr>
          <w:p>
            <w:pPr>
              <w:spacing w:after="0"/>
              <w:rPr>
                <w:sz w:val="18"/>
                <w:szCs w:val="18"/>
                <w:color w:val="auto"/>
              </w:rPr>
            </w:pPr>
          </w:p>
        </w:tc>
        <w:tc>
          <w:tcPr>
            <w:tcW w:w="9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4,085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140" w:type="dxa"/>
            <w:vAlign w:val="bottom"/>
            <w:vMerge w:val="restart"/>
            <w:shd w:val="clear" w:color="auto" w:fill="CCEEFF"/>
          </w:tcPr>
          <w:p>
            <w:pPr>
              <w:spacing w:after="0"/>
              <w:rPr>
                <w:sz w:val="18"/>
                <w:szCs w:val="18"/>
                <w:color w:val="auto"/>
              </w:rPr>
            </w:pPr>
          </w:p>
        </w:tc>
        <w:tc>
          <w:tcPr>
            <w:tcW w:w="92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24,474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 for sale</w:t>
            </w:r>
          </w:p>
        </w:tc>
        <w:tc>
          <w:tcPr>
            <w:tcW w:w="24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30" w:right="1440" w:bottom="1440" w:gutter="0" w:footer="0" w:header="0"/>
        </w:sectPr>
      </w:pPr>
    </w:p>
    <w:p>
      <w:pPr>
        <w:spacing w:after="0" w:line="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Unrealized gains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3" w:lineRule="exact"/>
        <w:rPr>
          <w:sz w:val="20"/>
          <w:szCs w:val="20"/>
          <w:color w:val="auto"/>
        </w:rPr>
      </w:pPr>
    </w:p>
    <w:p>
      <w:pPr>
        <w:ind w:left="320" w:right="300"/>
        <w:spacing w:after="0" w:line="286" w:lineRule="auto"/>
        <w:rPr>
          <w:sz w:val="20"/>
          <w:szCs w:val="20"/>
          <w:color w:val="auto"/>
        </w:rPr>
      </w:pPr>
      <w:r>
        <w:rPr>
          <w:rFonts w:ascii="Arial" w:cs="Arial" w:eastAsia="Arial" w:hAnsi="Arial"/>
          <w:sz w:val="17"/>
          <w:szCs w:val="17"/>
          <w:color w:val="auto"/>
        </w:rPr>
        <w:t>Net unrealized holding (losses) gains on cash flow hedges, net of taxes of $4, $-, $896 and $-, respectively Reclassification adjustment for realized losses (gains) on cash flow hedges included in net income, net of taxes of $56, $-, $60 and $-,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-447675</wp:posOffset>
            </wp:positionV>
            <wp:extent cx="564896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80"/>
        <w:spacing w:after="0"/>
        <w:tabs>
          <w:tab w:leader="none" w:pos="1160" w:val="left"/>
          <w:tab w:leader="none" w:pos="1840" w:val="left"/>
          <w:tab w:leader="none" w:pos="31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(2,247)</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tabs>
          <w:tab w:leader="none" w:pos="1160" w:val="left"/>
          <w:tab w:leader="none" w:pos="1980" w:val="left"/>
          <w:tab w:leader="none" w:pos="314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(150)</w:t>
      </w:r>
      <w:r>
        <w:rPr>
          <w:sz w:val="20"/>
          <w:szCs w:val="20"/>
          <w:color w:val="auto"/>
        </w:rPr>
        <w:tab/>
      </w:r>
      <w:r>
        <w:rPr>
          <w:rFonts w:ascii="Arial" w:cs="Arial" w:eastAsia="Arial" w:hAnsi="Arial"/>
          <w:sz w:val="18"/>
          <w:szCs w:val="18"/>
          <w:color w:val="auto"/>
        </w:rPr>
        <w:t>—</w:t>
      </w:r>
    </w:p>
    <w:p>
      <w:pPr>
        <w:spacing w:after="0" w:line="45" w:lineRule="exact"/>
        <w:rPr>
          <w:sz w:val="20"/>
          <w:szCs w:val="20"/>
          <w:color w:val="auto"/>
        </w:rPr>
      </w:pPr>
    </w:p>
    <w:p>
      <w:pPr>
        <w:sectPr>
          <w:pgSz w:w="11900" w:h="16838" w:orient="portrait"/>
          <w:cols w:equalWidth="0" w:num="2">
            <w:col w:w="4840" w:space="720"/>
            <w:col w:w="3459"/>
          </w:cols>
          <w:pgMar w:left="1440" w:top="530" w:right="1440" w:bottom="1440" w:gutter="0" w:footer="0" w:header="0"/>
          <w:type w:val="continuous"/>
        </w:sectPr>
      </w:pPr>
    </w:p>
    <w:tbl>
      <w:tblPr>
        <w:tblLayout w:type="fixed"/>
        <w:tblInd w:w="60" w:type="dxa"/>
        <w:tblCellMar>
          <w:top w:w="0" w:type="dxa"/>
          <w:left w:w="0" w:type="dxa"/>
          <w:bottom w:w="0" w:type="dxa"/>
          <w:right w:w="0" w:type="dxa"/>
        </w:tblCellMar>
      </w:tblPr>
      <w:tr>
        <w:trPr>
          <w:trHeight w:val="205"/>
        </w:trPr>
        <w:tc>
          <w:tcPr>
            <w:tcW w:w="4760" w:type="dxa"/>
            <w:vAlign w:val="bottom"/>
          </w:tcPr>
          <w:p>
            <w:pPr>
              <w:ind w:left="260"/>
              <w:spacing w:after="0" w:line="205" w:lineRule="exact"/>
              <w:rPr>
                <w:sz w:val="20"/>
                <w:szCs w:val="20"/>
                <w:color w:val="auto"/>
              </w:rPr>
            </w:pPr>
            <w:r>
              <w:rPr>
                <w:rFonts w:ascii="Arial" w:cs="Arial" w:eastAsia="Arial" w:hAnsi="Arial"/>
                <w:sz w:val="18"/>
                <w:szCs w:val="18"/>
                <w:color w:val="auto"/>
              </w:rPr>
              <w:t>Net change in unrealized gains (losses) on derivative</w:t>
            </w:r>
          </w:p>
        </w:tc>
        <w:tc>
          <w:tcPr>
            <w:tcW w:w="280" w:type="dxa"/>
            <w:vAlign w:val="bottom"/>
            <w:vMerge w:val="restart"/>
          </w:tcPr>
          <w:p>
            <w:pPr>
              <w:spacing w:after="0"/>
              <w:rPr>
                <w:sz w:val="17"/>
                <w:szCs w:val="17"/>
                <w:color w:val="auto"/>
              </w:rPr>
            </w:pP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(149)</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(2,397)</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7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instruments</w:t>
            </w:r>
          </w:p>
        </w:tc>
        <w:tc>
          <w:tcPr>
            <w:tcW w:w="28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Net change in accumulated other comprehensive income</w:t>
            </w:r>
          </w:p>
        </w:tc>
        <w:tc>
          <w:tcPr>
            <w:tcW w:w="122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3,936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14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22,077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w:t>
            </w:r>
          </w:p>
        </w:tc>
        <w:tc>
          <w:tcPr>
            <w:tcW w:w="122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29,742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37,117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  63,247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70,993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54"/>
              <w:spacing w:after="0"/>
              <w:rPr>
                <w:sz w:val="20"/>
                <w:szCs w:val="20"/>
                <w:color w:val="auto"/>
              </w:rPr>
            </w:pPr>
            <w:r>
              <w:rPr>
                <w:rFonts w:ascii="Arial" w:cs="Arial" w:eastAsia="Arial" w:hAnsi="Arial"/>
                <w:sz w:val="12"/>
                <w:szCs w:val="12"/>
                <w:b w:val="1"/>
                <w:bCs w:val="1"/>
                <w:color w:val="auto"/>
                <w:w w:val="90"/>
              </w:rPr>
              <w:t>Accumulated</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14"/>
              <w:spacing w:after="0"/>
              <w:rPr>
                <w:sz w:val="20"/>
                <w:szCs w:val="20"/>
                <w:color w:val="auto"/>
              </w:rPr>
            </w:pPr>
            <w:r>
              <w:rPr>
                <w:rFonts w:ascii="Arial" w:cs="Arial" w:eastAsia="Arial" w:hAnsi="Arial"/>
                <w:sz w:val="12"/>
                <w:szCs w:val="12"/>
                <w:b w:val="1"/>
                <w:bCs w:val="1"/>
                <w:color w:val="auto"/>
                <w:w w:val="95"/>
              </w:rPr>
              <w:t>Additional</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34"/>
              <w:spacing w:after="0"/>
              <w:rPr>
                <w:sz w:val="20"/>
                <w:szCs w:val="20"/>
                <w:color w:val="auto"/>
              </w:rPr>
            </w:pPr>
            <w:r>
              <w:rPr>
                <w:rFonts w:ascii="Arial" w:cs="Arial" w:eastAsia="Arial" w:hAnsi="Arial"/>
                <w:sz w:val="12"/>
                <w:szCs w:val="12"/>
                <w:b w:val="1"/>
                <w:bCs w:val="1"/>
                <w:color w:val="auto"/>
                <w:w w:val="93"/>
              </w:rPr>
              <w:t>Other</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Arial" w:cs="Arial" w:eastAsia="Arial" w:hAnsi="Arial"/>
                <w:sz w:val="12"/>
                <w:szCs w:val="12"/>
                <w:b w:val="1"/>
                <w:bCs w:val="1"/>
                <w:color w:val="auto"/>
                <w:w w:val="92"/>
              </w:rPr>
              <w:t>Common</w:t>
            </w:r>
          </w:p>
        </w:tc>
        <w:tc>
          <w:tcPr>
            <w:tcW w:w="16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2"/>
                <w:szCs w:val="12"/>
                <w:b w:val="1"/>
                <w:bCs w:val="1"/>
                <w:color w:val="auto"/>
              </w:rPr>
              <w:t>Paid-in</w:t>
            </w:r>
          </w:p>
        </w:tc>
        <w:tc>
          <w:tcPr>
            <w:tcW w:w="900" w:type="dxa"/>
            <w:vAlign w:val="bottom"/>
            <w:gridSpan w:val="2"/>
          </w:tcPr>
          <w:p>
            <w:pPr>
              <w:jc w:val="right"/>
              <w:ind w:right="53"/>
              <w:spacing w:after="0"/>
              <w:rPr>
                <w:sz w:val="20"/>
                <w:szCs w:val="20"/>
                <w:color w:val="auto"/>
              </w:rPr>
            </w:pPr>
            <w:r>
              <w:rPr>
                <w:rFonts w:ascii="Arial" w:cs="Arial" w:eastAsia="Arial" w:hAnsi="Arial"/>
                <w:sz w:val="12"/>
                <w:szCs w:val="12"/>
                <w:b w:val="1"/>
                <w:bCs w:val="1"/>
                <w:color w:val="auto"/>
              </w:rPr>
              <w:t>Accumulated</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Comprehensive</w:t>
            </w:r>
          </w:p>
        </w:tc>
        <w:tc>
          <w:tcPr>
            <w:tcW w:w="20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2"/>
                <w:szCs w:val="12"/>
                <w:b w:val="1"/>
                <w:bCs w:val="1"/>
                <w:color w:val="auto"/>
                <w:w w:val="94"/>
              </w:rPr>
              <w:t>Treasury</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Stock</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85"/>
              </w:rPr>
              <w:t>Income (loss)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Stock</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the Three Months Ended June 30, 2020</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rPr>
              <w:t>Balance, March 31, 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54,401,208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56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1,249,301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(27,599)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33,101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(37,274)</w:t>
            </w:r>
          </w:p>
        </w:tc>
        <w:tc>
          <w:tcPr>
            <w:tcW w:w="2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1,217,585</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25,806</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25,806</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3,936</w:t>
            </w:r>
          </w:p>
        </w:tc>
        <w:tc>
          <w:tcPr>
            <w:tcW w:w="20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Repurchase of stock</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rPr>
              <w:t>Issuance of treasury stock for employee stock</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00"/>
              <w:spacing w:after="0"/>
              <w:rPr>
                <w:sz w:val="20"/>
                <w:szCs w:val="20"/>
                <w:color w:val="auto"/>
              </w:rPr>
            </w:pPr>
            <w:r>
              <w:rPr>
                <w:rFonts w:ascii="Arial" w:cs="Arial" w:eastAsia="Arial" w:hAnsi="Arial"/>
                <w:sz w:val="13"/>
                <w:szCs w:val="13"/>
                <w:color w:val="auto"/>
              </w:rPr>
              <w:t>purchase plan</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6,296</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119</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Net issuance of treasury stock for</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restricted/deferred stock unit vesting and</w:t>
            </w: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100,968</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(2,467)</w:t>
            </w: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1,907</w:t>
            </w:r>
          </w:p>
        </w:tc>
        <w:tc>
          <w:tcPr>
            <w:tcW w:w="2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163"/>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related tax</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rPr>
              <w:t>Net issuance of treasury stock for stock options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00"/>
              <w:spacing w:after="0"/>
              <w:rPr>
                <w:sz w:val="20"/>
                <w:szCs w:val="20"/>
                <w:color w:val="auto"/>
              </w:rPr>
            </w:pPr>
            <w:r>
              <w:rPr>
                <w:rFonts w:ascii="Arial" w:cs="Arial" w:eastAsia="Arial" w:hAnsi="Arial"/>
                <w:sz w:val="13"/>
                <w:szCs w:val="13"/>
                <w:color w:val="auto"/>
                <w:w w:val="98"/>
              </w:rPr>
              <w:t>exercised, net of shares redeemed and related</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7,528</w:t>
            </w:r>
          </w:p>
        </w:tc>
        <w:tc>
          <w:tcPr>
            <w:tcW w:w="140" w:type="dxa"/>
            <w:vAlign w:val="bottom"/>
          </w:tcPr>
          <w:p>
            <w:pPr>
              <w:spacing w:after="0"/>
              <w:rPr>
                <w:sz w:val="16"/>
                <w:szCs w:val="16"/>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180" w:type="dxa"/>
            <w:vAlign w:val="bottom"/>
          </w:tcPr>
          <w:p>
            <w:pPr>
              <w:spacing w:after="0"/>
              <w:rPr>
                <w:sz w:val="16"/>
                <w:szCs w:val="16"/>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3"/>
                <w:szCs w:val="13"/>
                <w:color w:val="auto"/>
              </w:rPr>
              <w:t>142</w:t>
            </w: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3"/>
        </w:trPr>
        <w:tc>
          <w:tcPr>
            <w:tcW w:w="2780" w:type="dxa"/>
            <w:vAlign w:val="bottom"/>
          </w:tcPr>
          <w:p>
            <w:pPr>
              <w:ind w:left="100"/>
              <w:spacing w:after="0"/>
              <w:rPr>
                <w:sz w:val="20"/>
                <w:szCs w:val="20"/>
                <w:color w:val="auto"/>
              </w:rPr>
            </w:pPr>
            <w:r>
              <w:rPr>
                <w:rFonts w:ascii="Arial" w:cs="Arial" w:eastAsia="Arial" w:hAnsi="Arial"/>
                <w:sz w:val="13"/>
                <w:szCs w:val="13"/>
                <w:color w:val="auto"/>
              </w:rPr>
              <w:t>tax</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w w:val="96"/>
              </w:rPr>
              <w:t>Cash dividends common stock at $0.22 per share</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(11,968)</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(11,968)</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w w:val="99"/>
              </w:rPr>
              <w:t>Stock dividend equivalents restricted stock units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00"/>
              <w:spacing w:after="0"/>
              <w:rPr>
                <w:sz w:val="20"/>
                <w:szCs w:val="20"/>
                <w:color w:val="auto"/>
              </w:rPr>
            </w:pPr>
            <w:r>
              <w:rPr>
                <w:rFonts w:ascii="Arial" w:cs="Arial" w:eastAsia="Arial" w:hAnsi="Arial"/>
                <w:sz w:val="13"/>
                <w:szCs w:val="13"/>
                <w:color w:val="auto"/>
              </w:rPr>
              <w:t>at $0.22 per share</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190</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(190)</w:t>
            </w: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1,069</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Balance, June 30, 2020</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54,516,000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1,248,045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(13,951)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37,037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(35,103)</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1,236,084</w:t>
            </w:r>
          </w:p>
        </w:tc>
        <w:tc>
          <w:tcPr>
            <w:tcW w:w="0" w:type="dxa"/>
            <w:vAlign w:val="bottom"/>
          </w:tcPr>
          <w:p>
            <w:pPr>
              <w:spacing w:after="0"/>
              <w:rPr>
                <w:sz w:val="1"/>
                <w:szCs w:val="1"/>
                <w:color w:val="auto"/>
              </w:rPr>
            </w:pPr>
          </w:p>
        </w:tc>
      </w:tr>
      <w:tr>
        <w:trPr>
          <w:trHeight w:val="156"/>
        </w:trPr>
        <w:tc>
          <w:tcPr>
            <w:tcW w:w="27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b w:val="1"/>
                <w:bCs w:val="1"/>
                <w:color w:val="auto"/>
              </w:rPr>
              <w:t>For the Six Months Ended June 30, 2020</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2019</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54,788,772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1,248,216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14,960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(27,985)</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1,220,434</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rPr>
              <w:t>Cumulative effect of change in accounting</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rPr>
                <w:sz w:val="20"/>
                <w:szCs w:val="20"/>
                <w:color w:val="auto"/>
              </w:rPr>
            </w:pPr>
            <w:r>
              <w:rPr>
                <w:rFonts w:ascii="Arial" w:cs="Arial" w:eastAsia="Arial" w:hAnsi="Arial"/>
                <w:sz w:val="13"/>
                <w:szCs w:val="13"/>
                <w:color w:val="auto"/>
              </w:rPr>
              <w:t>principle</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(15,922)</w:t>
            </w: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(15,922)</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41,170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41,170</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22,077</w:t>
            </w:r>
          </w:p>
        </w:tc>
        <w:tc>
          <w:tcPr>
            <w:tcW w:w="20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22,077</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Repurchase of stock</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(407,850)</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(9,669)</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(9,669)</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rPr>
              <w:t>Issuance of treasury stock for employee stock</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00"/>
              <w:spacing w:after="0"/>
              <w:rPr>
                <w:sz w:val="20"/>
                <w:szCs w:val="20"/>
                <w:color w:val="auto"/>
              </w:rPr>
            </w:pPr>
            <w:r>
              <w:rPr>
                <w:rFonts w:ascii="Arial" w:cs="Arial" w:eastAsia="Arial" w:hAnsi="Arial"/>
                <w:sz w:val="13"/>
                <w:szCs w:val="13"/>
                <w:color w:val="auto"/>
              </w:rPr>
              <w:t>purchase plan</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20,532</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388</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Net issuance of treasury stock for</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restricted/deferred stock unit vesting and</w:t>
            </w:r>
          </w:p>
        </w:tc>
        <w:tc>
          <w:tcPr>
            <w:tcW w:w="7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106,477</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(2,646)</w:t>
            </w: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2,011</w:t>
            </w:r>
          </w:p>
        </w:tc>
        <w:tc>
          <w:tcPr>
            <w:tcW w:w="2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0" w:type="dxa"/>
            <w:vAlign w:val="bottom"/>
          </w:tcPr>
          <w:p>
            <w:pPr>
              <w:spacing w:after="0"/>
              <w:rPr>
                <w:sz w:val="1"/>
                <w:szCs w:val="1"/>
                <w:color w:val="auto"/>
              </w:rPr>
            </w:pPr>
          </w:p>
        </w:tc>
      </w:tr>
      <w:tr>
        <w:trPr>
          <w:trHeight w:val="163"/>
        </w:trPr>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related tax</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rPr>
              <w:t>Net issuance of treasury stock for stock options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100"/>
              <w:spacing w:after="0"/>
              <w:rPr>
                <w:sz w:val="20"/>
                <w:szCs w:val="20"/>
                <w:color w:val="auto"/>
              </w:rPr>
            </w:pPr>
            <w:r>
              <w:rPr>
                <w:rFonts w:ascii="Arial" w:cs="Arial" w:eastAsia="Arial" w:hAnsi="Arial"/>
                <w:sz w:val="13"/>
                <w:szCs w:val="13"/>
                <w:color w:val="auto"/>
                <w:w w:val="98"/>
              </w:rPr>
              <w:t>exercised, net of shares redeemed and related</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8,069</w:t>
            </w:r>
          </w:p>
        </w:tc>
        <w:tc>
          <w:tcPr>
            <w:tcW w:w="140" w:type="dxa"/>
            <w:vAlign w:val="bottom"/>
          </w:tcPr>
          <w:p>
            <w:pPr>
              <w:spacing w:after="0"/>
              <w:rPr>
                <w:sz w:val="16"/>
                <w:szCs w:val="16"/>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spacing w:after="0"/>
              <w:rPr>
                <w:sz w:val="16"/>
                <w:szCs w:val="16"/>
                <w:color w:val="auto"/>
              </w:rPr>
            </w:pP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3"/>
                <w:szCs w:val="13"/>
                <w:color w:val="auto"/>
              </w:rPr>
              <w:t>152</w:t>
            </w: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3"/>
        </w:trPr>
        <w:tc>
          <w:tcPr>
            <w:tcW w:w="2780" w:type="dxa"/>
            <w:vAlign w:val="bottom"/>
          </w:tcPr>
          <w:p>
            <w:pPr>
              <w:ind w:left="100"/>
              <w:spacing w:after="0"/>
              <w:rPr>
                <w:sz w:val="20"/>
                <w:szCs w:val="20"/>
                <w:color w:val="auto"/>
              </w:rPr>
            </w:pPr>
            <w:r>
              <w:rPr>
                <w:rFonts w:ascii="Arial" w:cs="Arial" w:eastAsia="Arial" w:hAnsi="Arial"/>
                <w:sz w:val="13"/>
                <w:szCs w:val="13"/>
                <w:color w:val="auto"/>
              </w:rPr>
              <w:t>tax</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w w:val="96"/>
              </w:rPr>
              <w:t>Cash dividends common stock at $0.44 per share</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(24,023)</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(24,023)</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20"/>
                <w:szCs w:val="20"/>
                <w:color w:val="auto"/>
              </w:rPr>
            </w:pPr>
            <w:r>
              <w:rPr>
                <w:rFonts w:ascii="Arial" w:cs="Arial" w:eastAsia="Arial" w:hAnsi="Arial"/>
                <w:sz w:val="13"/>
                <w:szCs w:val="13"/>
                <w:color w:val="auto"/>
                <w:w w:val="99"/>
              </w:rPr>
              <w:t>Stock dividend equivalents restricted stock units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00"/>
              <w:spacing w:after="0"/>
              <w:rPr>
                <w:sz w:val="20"/>
                <w:szCs w:val="20"/>
                <w:color w:val="auto"/>
              </w:rPr>
            </w:pPr>
            <w:r>
              <w:rPr>
                <w:rFonts w:ascii="Arial" w:cs="Arial" w:eastAsia="Arial" w:hAnsi="Arial"/>
                <w:sz w:val="13"/>
                <w:szCs w:val="13"/>
                <w:color w:val="auto"/>
              </w:rPr>
              <w:t>at $0.44 per share</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363</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(363)</w:t>
            </w:r>
          </w:p>
        </w:tc>
        <w:tc>
          <w:tcPr>
            <w:tcW w:w="140" w:type="dxa"/>
            <w:vAlign w:val="bottom"/>
          </w:tcPr>
          <w:p>
            <w:pPr>
              <w:spacing w:after="0"/>
              <w:rPr>
                <w:sz w:val="15"/>
                <w:szCs w:val="15"/>
                <w:color w:val="auto"/>
              </w:rPr>
            </w:pP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2,208</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20"/>
                <w:szCs w:val="20"/>
                <w:color w:val="auto"/>
              </w:rPr>
            </w:pPr>
            <w:r>
              <w:rPr>
                <w:rFonts w:ascii="Arial" w:cs="Arial" w:eastAsia="Arial" w:hAnsi="Arial"/>
                <w:sz w:val="13"/>
                <w:szCs w:val="13"/>
                <w:color w:val="auto"/>
              </w:rPr>
              <w:t>Balance, June 30, 2020</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54,516,000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1,248,045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(13,951)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37,037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(35,103)</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1,236,084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(Continued)</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74"/>
              <w:spacing w:after="0"/>
              <w:rPr>
                <w:sz w:val="20"/>
                <w:szCs w:val="20"/>
                <w:color w:val="auto"/>
              </w:rPr>
            </w:pPr>
            <w:r>
              <w:rPr>
                <w:rFonts w:ascii="Arial" w:cs="Arial" w:eastAsia="Arial" w:hAnsi="Arial"/>
                <w:sz w:val="12"/>
                <w:szCs w:val="12"/>
                <w:b w:val="1"/>
                <w:bCs w:val="1"/>
                <w:color w:val="auto"/>
                <w:w w:val="90"/>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34"/>
              <w:spacing w:after="0"/>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94"/>
              <w:spacing w:after="0"/>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53"/>
              <w:spacing w:after="0"/>
              <w:rPr>
                <w:sz w:val="20"/>
                <w:szCs w:val="20"/>
                <w:color w:val="auto"/>
              </w:rPr>
            </w:pPr>
            <w:r>
              <w:rPr>
                <w:rFonts w:ascii="Arial" w:cs="Arial" w:eastAsia="Arial" w:hAnsi="Arial"/>
                <w:sz w:val="12"/>
                <w:szCs w:val="12"/>
                <w:b w:val="1"/>
                <w:bCs w:val="1"/>
                <w:color w:val="auto"/>
                <w:w w:val="92"/>
              </w:rPr>
              <w:t>Common</w:t>
            </w:r>
          </w:p>
        </w:tc>
        <w:tc>
          <w:tcPr>
            <w:tcW w:w="18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5"/>
                <w:szCs w:val="15"/>
                <w:color w:val="auto"/>
              </w:rPr>
            </w:pPr>
          </w:p>
        </w:tc>
        <w:tc>
          <w:tcPr>
            <w:tcW w:w="800" w:type="dxa"/>
            <w:vAlign w:val="bottom"/>
          </w:tcPr>
          <w:p>
            <w:pPr>
              <w:jc w:val="right"/>
              <w:ind w:right="73"/>
              <w:spacing w:after="0"/>
              <w:rPr>
                <w:sz w:val="20"/>
                <w:szCs w:val="20"/>
                <w:color w:val="auto"/>
              </w:rPr>
            </w:pPr>
            <w:r>
              <w:rPr>
                <w:rFonts w:ascii="Arial" w:cs="Arial" w:eastAsia="Arial" w:hAnsi="Arial"/>
                <w:sz w:val="12"/>
                <w:szCs w:val="12"/>
                <w:b w:val="1"/>
                <w:bCs w:val="1"/>
                <w:color w:val="auto"/>
                <w:w w:val="84"/>
              </w:rPr>
              <w:t>Accumulated</w:t>
            </w: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4"/>
              </w:rPr>
              <w:t>Comprehensive</w:t>
            </w:r>
          </w:p>
        </w:tc>
        <w:tc>
          <w:tcPr>
            <w:tcW w:w="180" w:type="dxa"/>
            <w:vAlign w:val="bottom"/>
          </w:tcPr>
          <w:p>
            <w:pPr>
              <w:spacing w:after="0"/>
              <w:rPr>
                <w:sz w:val="15"/>
                <w:szCs w:val="15"/>
                <w:color w:val="auto"/>
              </w:rPr>
            </w:pPr>
          </w:p>
        </w:tc>
        <w:tc>
          <w:tcPr>
            <w:tcW w:w="740" w:type="dxa"/>
            <w:vAlign w:val="bottom"/>
          </w:tcPr>
          <w:p>
            <w:pPr>
              <w:jc w:val="right"/>
              <w:ind w:right="173"/>
              <w:spacing w:after="0"/>
              <w:rPr>
                <w:sz w:val="20"/>
                <w:szCs w:val="20"/>
                <w:color w:val="auto"/>
              </w:rPr>
            </w:pPr>
            <w:r>
              <w:rPr>
                <w:rFonts w:ascii="Arial" w:cs="Arial" w:eastAsia="Arial" w:hAnsi="Arial"/>
                <w:sz w:val="12"/>
                <w:szCs w:val="12"/>
                <w:b w:val="1"/>
                <w:bCs w:val="1"/>
                <w:color w:val="auto"/>
                <w:w w:val="94"/>
              </w:rPr>
              <w:t>Treasury</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Stock</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2"/>
                <w:szCs w:val="12"/>
                <w:b w:val="1"/>
                <w:bCs w:val="1"/>
                <w:color w:val="auto"/>
              </w:rPr>
              <w:t>Capital</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w w:val="85"/>
              </w:rPr>
              <w:t>Income (loss)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rPr>
              <w:t>Stock</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6"/>
              </w:rPr>
              <w:t>For the Three Months Ended June 30, 2019</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Balance, March 31, 2019</w:t>
            </w:r>
          </w:p>
        </w:tc>
        <w:tc>
          <w:tcPr>
            <w:tcW w:w="780" w:type="dxa"/>
            <w:vAlign w:val="bottom"/>
          </w:tcPr>
          <w:p>
            <w:pPr>
              <w:jc w:val="right"/>
              <w:spacing w:after="0"/>
              <w:rPr>
                <w:sz w:val="20"/>
                <w:szCs w:val="20"/>
                <w:color w:val="auto"/>
              </w:rPr>
            </w:pPr>
            <w:r>
              <w:rPr>
                <w:rFonts w:ascii="Arial" w:cs="Arial" w:eastAsia="Arial" w:hAnsi="Arial"/>
                <w:sz w:val="13"/>
                <w:szCs w:val="13"/>
                <w:color w:val="auto"/>
              </w:rPr>
              <w:t>55,624,627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56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1,247,340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(57,125)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1,595</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(5,725)</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1,186,141</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24,085</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24,085</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13,032</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13,032</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(333,334)</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(8,433)</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(8,433)</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Issuance of treasury stock for employee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rPr>
                <w:sz w:val="20"/>
                <w:szCs w:val="20"/>
                <w:color w:val="auto"/>
              </w:rPr>
            </w:pPr>
            <w:r>
              <w:rPr>
                <w:rFonts w:ascii="Arial" w:cs="Arial" w:eastAsia="Arial" w:hAnsi="Arial"/>
                <w:sz w:val="13"/>
                <w:szCs w:val="13"/>
                <w:color w:val="auto"/>
              </w:rPr>
              <w:t>stock purchase plan</w:t>
            </w:r>
          </w:p>
        </w:tc>
        <w:tc>
          <w:tcPr>
            <w:tcW w:w="780" w:type="dxa"/>
            <w:vAlign w:val="bottom"/>
          </w:tcPr>
          <w:p>
            <w:pPr>
              <w:jc w:val="right"/>
              <w:spacing w:after="0"/>
              <w:rPr>
                <w:sz w:val="20"/>
                <w:szCs w:val="20"/>
                <w:color w:val="auto"/>
              </w:rPr>
            </w:pPr>
            <w:r>
              <w:rPr>
                <w:rFonts w:ascii="Arial" w:cs="Arial" w:eastAsia="Arial" w:hAnsi="Arial"/>
                <w:sz w:val="13"/>
                <w:szCs w:val="13"/>
                <w:color w:val="auto"/>
              </w:rPr>
              <w:t>4,419</w:t>
            </w:r>
          </w:p>
        </w:tc>
        <w:tc>
          <w:tcPr>
            <w:tcW w:w="16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84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issuance of treasury stock for</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restricted/deferred stock unit vesting and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81,962</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(2,364)</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174</w:t>
            </w:r>
          </w:p>
        </w:tc>
        <w:tc>
          <w:tcPr>
            <w:tcW w:w="2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(2,190)</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related tax</w:t>
            </w: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Net issuance of treasury stock for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Arial" w:cs="Arial" w:eastAsia="Arial" w:hAnsi="Arial"/>
                <w:sz w:val="13"/>
                <w:szCs w:val="13"/>
                <w:color w:val="auto"/>
              </w:rPr>
              <w:t>options exercised, net of shares</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8,962</w:t>
            </w:r>
          </w:p>
        </w:tc>
        <w:tc>
          <w:tcPr>
            <w:tcW w:w="160" w:type="dxa"/>
            <w:vAlign w:val="bottom"/>
          </w:tcPr>
          <w:p>
            <w:pPr>
              <w:spacing w:after="0"/>
              <w:rPr>
                <w:sz w:val="16"/>
                <w:szCs w:val="16"/>
                <w:color w:val="auto"/>
              </w:rPr>
            </w:pPr>
          </w:p>
        </w:tc>
        <w:tc>
          <w:tcPr>
            <w:tcW w:w="72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6"/>
                <w:szCs w:val="16"/>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3"/>
                <w:szCs w:val="13"/>
                <w:color w:val="auto"/>
              </w:rPr>
              <w:t>1,543</w:t>
            </w:r>
          </w:p>
        </w:tc>
        <w:tc>
          <w:tcPr>
            <w:tcW w:w="2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63"/>
        </w:trPr>
        <w:tc>
          <w:tcPr>
            <w:tcW w:w="2580" w:type="dxa"/>
            <w:vAlign w:val="bottom"/>
          </w:tcPr>
          <w:p>
            <w:pPr>
              <w:ind w:left="120"/>
              <w:spacing w:after="0"/>
              <w:rPr>
                <w:sz w:val="20"/>
                <w:szCs w:val="20"/>
                <w:color w:val="auto"/>
              </w:rPr>
            </w:pPr>
            <w:r>
              <w:rPr>
                <w:rFonts w:ascii="Arial" w:cs="Arial" w:eastAsia="Arial" w:hAnsi="Arial"/>
                <w:sz w:val="13"/>
                <w:szCs w:val="13"/>
                <w:color w:val="auto"/>
              </w:rPr>
              <w:t>redeemed and related tax</w:t>
            </w: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common stock at $0.21 per</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(11,681)</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(11,681)</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Stock dividend equivalents restricted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rPr>
                <w:sz w:val="20"/>
                <w:szCs w:val="20"/>
                <w:color w:val="auto"/>
              </w:rPr>
            </w:pPr>
            <w:r>
              <w:rPr>
                <w:rFonts w:ascii="Arial" w:cs="Arial" w:eastAsia="Arial" w:hAnsi="Arial"/>
                <w:sz w:val="13"/>
                <w:szCs w:val="13"/>
                <w:color w:val="auto"/>
              </w:rPr>
              <w:t>units at $0.21 per share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157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(157)</w:t>
            </w:r>
          </w:p>
        </w:tc>
        <w:tc>
          <w:tcPr>
            <w:tcW w:w="14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1,017</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w:t>
            </w:r>
          </w:p>
        </w:tc>
        <w:tc>
          <w:tcPr>
            <w:tcW w:w="0" w:type="dxa"/>
            <w:vAlign w:val="bottom"/>
          </w:tcPr>
          <w:p>
            <w:pPr>
              <w:spacing w:after="0"/>
              <w:rPr>
                <w:sz w:val="1"/>
                <w:szCs w:val="1"/>
                <w:color w:val="auto"/>
              </w:rPr>
            </w:pPr>
          </w:p>
        </w:tc>
      </w:tr>
      <w:tr>
        <w:trPr>
          <w:trHeight w:val="20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June 30,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55,386,636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1,246,160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14,627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(12,357)</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1,203,608</w:t>
            </w:r>
          </w:p>
        </w:tc>
        <w:tc>
          <w:tcPr>
            <w:tcW w:w="0" w:type="dxa"/>
            <w:vAlign w:val="bottom"/>
          </w:tcPr>
          <w:p>
            <w:pPr>
              <w:spacing w:after="0"/>
              <w:rPr>
                <w:sz w:val="1"/>
                <w:szCs w:val="1"/>
                <w:color w:val="auto"/>
              </w:rPr>
            </w:pPr>
          </w:p>
        </w:tc>
      </w:tr>
      <w:tr>
        <w:trPr>
          <w:trHeight w:val="156"/>
        </w:trPr>
        <w:tc>
          <w:tcPr>
            <w:tcW w:w="2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For the Six Months Ended June 30, 2019</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48,874,836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1,080,084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(72,167)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(6,190)</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994,964</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49,554</w:t>
            </w:r>
          </w:p>
        </w:tc>
        <w:tc>
          <w:tcPr>
            <w:tcW w:w="14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49,554</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21,439</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21,439</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Stock issued in acquisition of Banc Ed, net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rPr>
                <w:sz w:val="20"/>
                <w:szCs w:val="20"/>
                <w:color w:val="auto"/>
              </w:rPr>
            </w:pPr>
            <w:r>
              <w:rPr>
                <w:rFonts w:ascii="Arial" w:cs="Arial" w:eastAsia="Arial" w:hAnsi="Arial"/>
                <w:sz w:val="13"/>
                <w:szCs w:val="13"/>
                <w:color w:val="auto"/>
              </w:rPr>
              <w:t>of stock issuance costs</w:t>
            </w:r>
          </w:p>
        </w:tc>
        <w:tc>
          <w:tcPr>
            <w:tcW w:w="780" w:type="dxa"/>
            <w:vAlign w:val="bottom"/>
          </w:tcPr>
          <w:p>
            <w:pPr>
              <w:jc w:val="right"/>
              <w:spacing w:after="0"/>
              <w:rPr>
                <w:sz w:val="20"/>
                <w:szCs w:val="20"/>
                <w:color w:val="auto"/>
              </w:rPr>
            </w:pPr>
            <w:r>
              <w:rPr>
                <w:rFonts w:ascii="Arial" w:cs="Arial" w:eastAsia="Arial" w:hAnsi="Arial"/>
                <w:sz w:val="13"/>
                <w:szCs w:val="13"/>
                <w:color w:val="auto"/>
              </w:rPr>
              <w:t>6,725,152</w:t>
            </w:r>
          </w:p>
        </w:tc>
        <w:tc>
          <w:tcPr>
            <w:tcW w:w="16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166,274</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166,281</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(333,334)</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(8,433)</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(8,433)</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Issuance of treasury stock for employee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rPr>
                <w:sz w:val="20"/>
                <w:szCs w:val="20"/>
                <w:color w:val="auto"/>
              </w:rPr>
            </w:pPr>
            <w:r>
              <w:rPr>
                <w:rFonts w:ascii="Arial" w:cs="Arial" w:eastAsia="Arial" w:hAnsi="Arial"/>
                <w:sz w:val="13"/>
                <w:szCs w:val="13"/>
                <w:color w:val="auto"/>
              </w:rPr>
              <w:t>stock purchase plan</w:t>
            </w:r>
          </w:p>
        </w:tc>
        <w:tc>
          <w:tcPr>
            <w:tcW w:w="780" w:type="dxa"/>
            <w:vAlign w:val="bottom"/>
          </w:tcPr>
          <w:p>
            <w:pPr>
              <w:jc w:val="right"/>
              <w:spacing w:after="0"/>
              <w:rPr>
                <w:sz w:val="20"/>
                <w:szCs w:val="20"/>
                <w:color w:val="auto"/>
              </w:rPr>
            </w:pPr>
            <w:r>
              <w:rPr>
                <w:rFonts w:ascii="Arial" w:cs="Arial" w:eastAsia="Arial" w:hAnsi="Arial"/>
                <w:sz w:val="13"/>
                <w:szCs w:val="13"/>
                <w:color w:val="auto"/>
              </w:rPr>
              <w:t>16,150</w:t>
            </w:r>
          </w:p>
        </w:tc>
        <w:tc>
          <w:tcPr>
            <w:tcW w:w="16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79</w:t>
            </w:r>
          </w:p>
        </w:tc>
        <w:tc>
          <w:tcPr>
            <w:tcW w:w="140" w:type="dxa"/>
            <w:vAlign w:val="bottom"/>
          </w:tcPr>
          <w:p>
            <w:pPr>
              <w:spacing w:after="0"/>
              <w:rPr>
                <w:sz w:val="15"/>
                <w:szCs w:val="15"/>
                <w:color w:val="auto"/>
              </w:rPr>
            </w:pP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306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issuance of treasury stock for</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restricted/deferred stock unit vesting and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91,032</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(2,535)</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345</w:t>
            </w:r>
          </w:p>
        </w:tc>
        <w:tc>
          <w:tcPr>
            <w:tcW w:w="2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(2,190)</w:t>
            </w:r>
          </w:p>
        </w:tc>
        <w:tc>
          <w:tcPr>
            <w:tcW w:w="0" w:type="dxa"/>
            <w:vAlign w:val="bottom"/>
          </w:tcPr>
          <w:p>
            <w:pPr>
              <w:spacing w:after="0"/>
              <w:rPr>
                <w:sz w:val="1"/>
                <w:szCs w:val="1"/>
                <w:color w:val="auto"/>
              </w:rPr>
            </w:pPr>
          </w:p>
        </w:tc>
      </w:tr>
      <w:tr>
        <w:trPr>
          <w:trHeight w:val="163"/>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related tax</w:t>
            </w: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Net issuance of treasury stock for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20"/>
              <w:spacing w:after="0"/>
              <w:rPr>
                <w:sz w:val="20"/>
                <w:szCs w:val="20"/>
                <w:color w:val="auto"/>
              </w:rPr>
            </w:pPr>
            <w:r>
              <w:rPr>
                <w:rFonts w:ascii="Arial" w:cs="Arial" w:eastAsia="Arial" w:hAnsi="Arial"/>
                <w:sz w:val="13"/>
                <w:szCs w:val="13"/>
                <w:color w:val="auto"/>
              </w:rPr>
              <w:t>options exercised, net of shares</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12,800</w:t>
            </w:r>
          </w:p>
        </w:tc>
        <w:tc>
          <w:tcPr>
            <w:tcW w:w="160" w:type="dxa"/>
            <w:vAlign w:val="bottom"/>
          </w:tcPr>
          <w:p>
            <w:pPr>
              <w:spacing w:after="0"/>
              <w:rPr>
                <w:sz w:val="16"/>
                <w:szCs w:val="16"/>
                <w:color w:val="auto"/>
              </w:rPr>
            </w:pPr>
          </w:p>
        </w:tc>
        <w:tc>
          <w:tcPr>
            <w:tcW w:w="72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(91)</w:t>
            </w:r>
          </w:p>
        </w:tc>
        <w:tc>
          <w:tcPr>
            <w:tcW w:w="140" w:type="dxa"/>
            <w:vAlign w:val="bottom"/>
          </w:tcPr>
          <w:p>
            <w:pPr>
              <w:spacing w:after="0"/>
              <w:rPr>
                <w:sz w:val="16"/>
                <w:szCs w:val="16"/>
                <w:color w:val="auto"/>
              </w:rPr>
            </w:pP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3"/>
                <w:szCs w:val="13"/>
                <w:color w:val="auto"/>
              </w:rPr>
              <w:t>1,615</w:t>
            </w:r>
          </w:p>
        </w:tc>
        <w:tc>
          <w:tcPr>
            <w:tcW w:w="2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63"/>
        </w:trPr>
        <w:tc>
          <w:tcPr>
            <w:tcW w:w="2580" w:type="dxa"/>
            <w:vAlign w:val="bottom"/>
          </w:tcPr>
          <w:p>
            <w:pPr>
              <w:ind w:left="120"/>
              <w:spacing w:after="0"/>
              <w:rPr>
                <w:sz w:val="20"/>
                <w:szCs w:val="20"/>
                <w:color w:val="auto"/>
              </w:rPr>
            </w:pPr>
            <w:r>
              <w:rPr>
                <w:rFonts w:ascii="Arial" w:cs="Arial" w:eastAsia="Arial" w:hAnsi="Arial"/>
                <w:sz w:val="13"/>
                <w:szCs w:val="13"/>
                <w:color w:val="auto"/>
              </w:rPr>
              <w:t>redeemed and related tax</w:t>
            </w: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common stock at $0.42 per</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(21,947)</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(21,947)</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3"/>
                <w:szCs w:val="13"/>
                <w:color w:val="auto"/>
              </w:rPr>
              <w:t>Stock dividend equivalents restricted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20"/>
              <w:spacing w:after="0"/>
              <w:rPr>
                <w:sz w:val="20"/>
                <w:szCs w:val="20"/>
                <w:color w:val="auto"/>
              </w:rPr>
            </w:pPr>
            <w:r>
              <w:rPr>
                <w:rFonts w:ascii="Arial" w:cs="Arial" w:eastAsia="Arial" w:hAnsi="Arial"/>
                <w:sz w:val="13"/>
                <w:szCs w:val="13"/>
                <w:color w:val="auto"/>
              </w:rPr>
              <w:t>units at $0.42 per share</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3"/>
                <w:szCs w:val="13"/>
                <w:color w:val="auto"/>
              </w:rPr>
              <w:t>318</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(318)</w:t>
            </w:r>
          </w:p>
        </w:tc>
        <w:tc>
          <w:tcPr>
            <w:tcW w:w="14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2,031</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3"/>
                <w:szCs w:val="13"/>
                <w:color w:val="auto"/>
              </w:rPr>
              <w:t>Balance, June 30,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55,386,636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1,246,160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14,627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(12,357)</w:t>
            </w: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1,203,608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3"/>
                <w:szCs w:val="13"/>
                <w:b w:val="1"/>
                <w:bCs w:val="1"/>
                <w:color w:val="auto"/>
              </w:rPr>
              <w:t>Six Months Ended June 30,</w:t>
            </w:r>
          </w:p>
        </w:tc>
      </w:tr>
      <w:tr>
        <w:trPr>
          <w:trHeight w:val="169"/>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169"/>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3"/>
          </w:tcPr>
          <w:p>
            <w:pPr>
              <w:jc w:val="right"/>
              <w:ind w:right="653"/>
              <w:spacing w:after="0"/>
              <w:rPr>
                <w:sz w:val="20"/>
                <w:szCs w:val="20"/>
                <w:color w:val="auto"/>
              </w:rPr>
            </w:pPr>
            <w:r>
              <w:rPr>
                <w:rFonts w:ascii="Arial" w:cs="Arial" w:eastAsia="Arial" w:hAnsi="Arial"/>
                <w:sz w:val="13"/>
                <w:szCs w:val="13"/>
                <w:i w:val="1"/>
                <w:iCs w:val="1"/>
                <w:color w:val="auto"/>
              </w:rPr>
              <w:t>(dollars in thousands)</w:t>
            </w:r>
          </w:p>
        </w:tc>
      </w:tr>
      <w:tr>
        <w:trPr>
          <w:trHeight w:val="176"/>
        </w:trPr>
        <w:tc>
          <w:tcPr>
            <w:tcW w:w="6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5"/>
        </w:trPr>
        <w:tc>
          <w:tcPr>
            <w:tcW w:w="614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41,170</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49,554</w:t>
            </w:r>
          </w:p>
        </w:tc>
      </w:tr>
      <w:tr>
        <w:trPr>
          <w:trHeight w:val="176"/>
        </w:trPr>
        <w:tc>
          <w:tcPr>
            <w:tcW w:w="6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Provision for credit losses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30,107</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4,628</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5,076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4,506</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Amortization of mortgage servicing rights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2,625</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Depreciation and amortization of premises and equipment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6,316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5,674</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Net amortization (accretion) of premium (discount) on portfolio loans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(4,663)</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(5,729)</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4,061</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2,843</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Net amortization (accretion) of premium (discount) on time deposits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(709)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(802)</w:t>
            </w:r>
          </w:p>
        </w:tc>
      </w:tr>
      <w:tr>
        <w:trPr>
          <w:trHeight w:val="175"/>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6"/>
              </w:rPr>
              <w:t>Net amortization (accretion) of premium (discount) on Federal Home Loan Bank ("FHLB") advances and</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6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other borrowings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220</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Impairment of other real estate owned ("OREO")</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Impairment of fixed assets held for sale</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36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Impairment of mortgage servicing rights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526</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1,822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Impairment of leases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Change in fair value of equity securities, net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797</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800</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equity securities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(Gain) loss on sales of debt securities, net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(1,699)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sale of loans, net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(11,387)</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(5,615)</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(Gain) loss on sale of OREO</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47</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(Gain) loss on sale of premises and equipment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191</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(Gain) loss on life insurance proceeds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(1,256)</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(1,016)</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Provision for deferred income taxes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(1,142)</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Stock-based and non-cash compensation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2,208</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2,031</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Decrease in deferred compensation</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(6,781)</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Increase in cash surrender value of bank owned life insurance</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(2,083)</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(2,064)</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Mortgage loans originated for sale</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(511,670)</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(245,581)</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sales of mortgage loans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483,238</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239,252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change in operating assets and liabilities: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5"/>
        </w:trPr>
        <w:tc>
          <w:tcPr>
            <w:tcW w:w="6140" w:type="dxa"/>
            <w:vAlign w:val="bottom"/>
          </w:tcPr>
          <w:p>
            <w:pPr>
              <w:ind w:left="420"/>
              <w:spacing w:after="0"/>
              <w:rPr>
                <w:sz w:val="20"/>
                <w:szCs w:val="20"/>
                <w:color w:val="auto"/>
              </w:rPr>
            </w:pPr>
            <w:r>
              <w:rPr>
                <w:rFonts w:ascii="Arial" w:cs="Arial" w:eastAsia="Arial" w:hAnsi="Arial"/>
                <w:sz w:val="13"/>
                <w:szCs w:val="13"/>
                <w:color w:val="auto"/>
              </w:rPr>
              <w:t>Decrease (increase) in other assets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12,225</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822</w:t>
            </w:r>
          </w:p>
        </w:tc>
      </w:tr>
      <w:tr>
        <w:trPr>
          <w:trHeight w:val="176"/>
        </w:trPr>
        <w:tc>
          <w:tcPr>
            <w:tcW w:w="61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(Decrease) increase in other liabilities</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496</w:t>
            </w: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(12,826)</w:t>
            </w:r>
          </w:p>
        </w:tc>
      </w:tr>
      <w:tr>
        <w:trPr>
          <w:trHeight w:val="169"/>
        </w:trPr>
        <w:tc>
          <w:tcPr>
            <w:tcW w:w="6140" w:type="dxa"/>
            <w:vAlign w:val="bottom"/>
          </w:tcPr>
          <w:p>
            <w:pPr>
              <w:ind w:left="640"/>
              <w:spacing w:after="0"/>
              <w:rPr>
                <w:sz w:val="20"/>
                <w:szCs w:val="20"/>
                <w:color w:val="auto"/>
              </w:rPr>
            </w:pPr>
            <w:r>
              <w:rPr>
                <w:rFonts w:ascii="Arial" w:cs="Arial" w:eastAsia="Arial" w:hAnsi="Arial"/>
                <w:sz w:val="13"/>
                <w:szCs w:val="13"/>
                <w:b w:val="1"/>
                <w:bCs w:val="1"/>
                <w:color w:val="auto"/>
              </w:rPr>
              <w:t>Net cash (used in) provided by operating activities</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54,730</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37,364</w:t>
            </w:r>
          </w:p>
        </w:tc>
      </w:tr>
      <w:tr>
        <w:trPr>
          <w:trHeight w:val="169"/>
        </w:trPr>
        <w:tc>
          <w:tcPr>
            <w:tcW w:w="6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75"/>
        </w:trPr>
        <w:tc>
          <w:tcPr>
            <w:tcW w:w="61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 of equity securities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(4)</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Purchases of debt securities available for sale</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(356,700)</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(227,182)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 of FHLB stock</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sales of equity securities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33</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958</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sales of debt securities available for sale</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227,371</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paydowns and maturities of debt securities held to maturity</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13,922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315,988</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146,566</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the redemption of FHLB stock</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3,720</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cash (received) paid in acquisitions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(49,387)</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Net change in loans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(546,599)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(89,642)</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Cash paid for premiums on bank-owned life insurance</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(116)</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Purchases of premises and equipment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(3,029)</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(5,918)</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life insurance</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2,512</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1,672</w:t>
            </w:r>
          </w:p>
        </w:tc>
      </w:tr>
      <w:tr>
        <w:trPr>
          <w:trHeight w:val="175"/>
        </w:trPr>
        <w:tc>
          <w:tcPr>
            <w:tcW w:w="6140" w:type="dxa"/>
            <w:vAlign w:val="bottom"/>
          </w:tcPr>
          <w:p>
            <w:pPr>
              <w:ind w:left="320"/>
              <w:spacing w:after="0"/>
              <w:rPr>
                <w:sz w:val="20"/>
                <w:szCs w:val="20"/>
                <w:color w:val="auto"/>
              </w:rPr>
            </w:pPr>
            <w:r>
              <w:rPr>
                <w:rFonts w:ascii="Arial" w:cs="Arial" w:eastAsia="Arial" w:hAnsi="Arial"/>
                <w:sz w:val="13"/>
                <w:szCs w:val="13"/>
                <w:color w:val="auto"/>
              </w:rPr>
              <w:t>Proceeds from disposition of premises and equipment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802</w:t>
            </w: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6"/>
        </w:trPr>
        <w:tc>
          <w:tcPr>
            <w:tcW w:w="61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Capitalized expenditures on OREO</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5"/>
        </w:trPr>
        <w:tc>
          <w:tcPr>
            <w:tcW w:w="614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Proceeds from sale of OREO</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413</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1,119</w:t>
            </w:r>
          </w:p>
        </w:tc>
      </w:tr>
      <w:tr>
        <w:trPr>
          <w:trHeight w:val="169"/>
        </w:trPr>
        <w:tc>
          <w:tcPr>
            <w:tcW w:w="614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(586,700)</w:t>
            </w:r>
          </w:p>
        </w:tc>
        <w:tc>
          <w:tcPr>
            <w:tcW w:w="3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19,497</w:t>
            </w: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60" w:right="79"/>
        <w:spacing w:after="0" w:line="247"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(Unaudited)</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3"/>
                <w:szCs w:val="13"/>
                <w:b w:val="1"/>
                <w:bCs w:val="1"/>
                <w:color w:val="auto"/>
              </w:rPr>
              <w:t>Six Months Ended June 30,</w:t>
            </w:r>
          </w:p>
        </w:tc>
      </w:tr>
      <w:tr>
        <w:trPr>
          <w:trHeight w:val="169"/>
        </w:trPr>
        <w:tc>
          <w:tcPr>
            <w:tcW w:w="5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2019</w:t>
            </w:r>
          </w:p>
        </w:tc>
      </w:tr>
      <w:tr>
        <w:trPr>
          <w:trHeight w:val="169"/>
        </w:trPr>
        <w:tc>
          <w:tcPr>
            <w:tcW w:w="5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613"/>
              <w:spacing w:after="0"/>
              <w:rPr>
                <w:sz w:val="20"/>
                <w:szCs w:val="20"/>
                <w:color w:val="auto"/>
              </w:rPr>
            </w:pPr>
            <w:r>
              <w:rPr>
                <w:rFonts w:ascii="Arial" w:cs="Arial" w:eastAsia="Arial" w:hAnsi="Arial"/>
                <w:sz w:val="13"/>
                <w:szCs w:val="13"/>
                <w:i w:val="1"/>
                <w:iCs w:val="1"/>
                <w:color w:val="auto"/>
              </w:rPr>
              <w:t>(dollars in thousands)</w:t>
            </w:r>
          </w:p>
        </w:tc>
      </w:tr>
      <w:tr>
        <w:trPr>
          <w:trHeight w:val="176"/>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Net change in deposits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1,007,979</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145,499</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change in federal funds purchased and securities sold under agreements to repurchase</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(11,242)</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(45,549)</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Proceeds from other borrowings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142,634</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60,000</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Repayment of other borrowings</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(54,000)</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r>
      <w:tr>
        <w:trPr>
          <w:trHeight w:val="175"/>
        </w:trPr>
        <w:tc>
          <w:tcPr>
            <w:tcW w:w="5700" w:type="dxa"/>
            <w:vAlign w:val="bottom"/>
          </w:tcPr>
          <w:p>
            <w:pPr>
              <w:ind w:left="240"/>
              <w:spacing w:after="0"/>
              <w:rPr>
                <w:sz w:val="20"/>
                <w:szCs w:val="20"/>
                <w:color w:val="auto"/>
              </w:rPr>
            </w:pPr>
            <w:r>
              <w:rPr>
                <w:rFonts w:ascii="Arial" w:cs="Arial" w:eastAsia="Arial" w:hAnsi="Arial"/>
                <w:sz w:val="13"/>
                <w:szCs w:val="13"/>
                <w:color w:val="auto"/>
              </w:rPr>
              <w:t>Net change in short-term FHLB advances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1,609</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(2,297)</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dividends paid</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(24,023)</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(21,947)</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Purchase of treasury stock</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b w:val="1"/>
                <w:bCs w:val="1"/>
                <w:color w:val="auto"/>
              </w:rPr>
              <w:t>(9,669)</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(8,433)</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paid for withholding taxes on share-based payments</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(635)</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Proceeds from stock options exercised</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101</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stock issuance costs</w:t>
            </w:r>
          </w:p>
        </w:tc>
        <w:tc>
          <w:tcPr>
            <w:tcW w:w="6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w:t>
            </w:r>
          </w:p>
        </w:tc>
      </w:tr>
      <w:tr>
        <w:trPr>
          <w:trHeight w:val="169"/>
        </w:trPr>
        <w:tc>
          <w:tcPr>
            <w:tcW w:w="5700" w:type="dxa"/>
            <w:vAlign w:val="bottom"/>
          </w:tcPr>
          <w:p>
            <w:pPr>
              <w:ind w:left="300"/>
              <w:spacing w:after="0"/>
              <w:rPr>
                <w:sz w:val="20"/>
                <w:szCs w:val="20"/>
                <w:color w:val="auto"/>
              </w:rPr>
            </w:pPr>
            <w:r>
              <w:rPr>
                <w:rFonts w:ascii="Arial" w:cs="Arial" w:eastAsia="Arial" w:hAnsi="Arial"/>
                <w:sz w:val="13"/>
                <w:szCs w:val="13"/>
                <w:b w:val="1"/>
                <w:bCs w:val="1"/>
                <w:color w:val="auto"/>
              </w:rPr>
              <w:t>Net cash (used in) provided by financing activities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1,052,754</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123,373</w:t>
            </w:r>
          </w:p>
        </w:tc>
      </w:tr>
      <w:tr>
        <w:trPr>
          <w:trHeight w:val="169"/>
        </w:trPr>
        <w:tc>
          <w:tcPr>
            <w:tcW w:w="57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175"/>
        </w:trPr>
        <w:tc>
          <w:tcPr>
            <w:tcW w:w="5700" w:type="dxa"/>
            <w:vAlign w:val="bottom"/>
          </w:tcPr>
          <w:p>
            <w:pPr>
              <w:spacing w:after="0"/>
              <w:rPr>
                <w:sz w:val="20"/>
                <w:szCs w:val="20"/>
                <w:color w:val="auto"/>
              </w:rPr>
            </w:pPr>
            <w:r>
              <w:rPr>
                <w:rFonts w:ascii="Arial" w:cs="Arial" w:eastAsia="Arial" w:hAnsi="Arial"/>
                <w:sz w:val="13"/>
                <w:szCs w:val="13"/>
                <w:b w:val="1"/>
                <w:bCs w:val="1"/>
                <w:color w:val="auto"/>
              </w:rPr>
              <w:t>Net (decrease) increase in cash and cash equivalents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520,784</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180,234</w:t>
            </w:r>
          </w:p>
        </w:tc>
      </w:tr>
      <w:tr>
        <w:trPr>
          <w:trHeight w:val="175"/>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6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529,288</w:t>
            </w:r>
          </w:p>
        </w:tc>
        <w:tc>
          <w:tcPr>
            <w:tcW w:w="3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239,973</w:t>
            </w:r>
          </w:p>
        </w:tc>
      </w:tr>
      <w:tr>
        <w:trPr>
          <w:trHeight w:val="169"/>
        </w:trPr>
        <w:tc>
          <w:tcPr>
            <w:tcW w:w="5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1,050,072</w:t>
            </w:r>
          </w:p>
        </w:tc>
        <w:tc>
          <w:tcPr>
            <w:tcW w:w="3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420,207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5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5"/>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5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Payments for:</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Interest</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25,761</w:t>
            </w:r>
          </w:p>
        </w:tc>
        <w:tc>
          <w:tcPr>
            <w:tcW w:w="3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33,122</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4,510</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10,555</w:t>
            </w:r>
          </w:p>
        </w:tc>
      </w:tr>
      <w:tr>
        <w:trPr>
          <w:trHeight w:val="175"/>
        </w:trPr>
        <w:tc>
          <w:tcPr>
            <w:tcW w:w="5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5700" w:type="dxa"/>
            <w:vAlign w:val="bottom"/>
          </w:tcPr>
          <w:p>
            <w:pPr>
              <w:ind w:left="220"/>
              <w:spacing w:after="0"/>
              <w:rPr>
                <w:sz w:val="20"/>
                <w:szCs w:val="20"/>
                <w:color w:val="auto"/>
              </w:rPr>
            </w:pPr>
            <w:r>
              <w:rPr>
                <w:rFonts w:ascii="Arial" w:cs="Arial" w:eastAsia="Arial" w:hAnsi="Arial"/>
                <w:sz w:val="13"/>
                <w:szCs w:val="13"/>
                <w:color w:val="auto"/>
              </w:rPr>
              <w:t>OREO acquired in settlement of loans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1,158</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1,396</w:t>
            </w:r>
          </w:p>
        </w:tc>
      </w:tr>
      <w:tr>
        <w:trPr>
          <w:trHeight w:val="176"/>
        </w:trPr>
        <w:tc>
          <w:tcPr>
            <w:tcW w:w="5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Transfer of debt securities held to maturity to available for sale</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573,639</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Basis of Financial Statement Presentation</w:t>
      </w:r>
    </w:p>
    <w:p>
      <w:pPr>
        <w:spacing w:after="0" w:line="225" w:lineRule="exact"/>
        <w:rPr>
          <w:sz w:val="20"/>
          <w:szCs w:val="20"/>
          <w:color w:val="auto"/>
        </w:rPr>
      </w:pPr>
    </w:p>
    <w:p>
      <w:pPr>
        <w:ind w:left="60" w:right="179"/>
        <w:spacing w:after="0" w:line="279" w:lineRule="auto"/>
        <w:rPr>
          <w:sz w:val="20"/>
          <w:szCs w:val="20"/>
          <w:color w:val="auto"/>
        </w:rPr>
      </w:pPr>
      <w:r>
        <w:rPr>
          <w:rFonts w:ascii="Arial" w:cs="Arial" w:eastAsia="Arial" w:hAnsi="Arial"/>
          <w:sz w:val="16"/>
          <w:szCs w:val="16"/>
          <w:color w:val="auto"/>
        </w:rPr>
        <w:t>When preparing these unaudited consolidated financial statements of First Busey Corporation, a Nevada corporation, and its subsidiaries (collectively, “First Busey,” “Company,” “we,” or “our”), we have assumed that you have read the audited consolidated financial statements included in our Annual Report on Form 10-K for the year ended December 31, 2019 (“2019 Form 10-K”). These interim unaudited consolidated financial statements serve to update our 2019 Form 10-K and may not include all information and notes necessary to constitute a complete set of financial statements.</w:t>
      </w:r>
    </w:p>
    <w:p>
      <w:pPr>
        <w:spacing w:after="0" w:line="173"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We prepared these unaudited consolidated financial statements in accordance with accounting principles generally accepted in the United States of America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86" w:lineRule="exact"/>
        <w:rPr>
          <w:sz w:val="20"/>
          <w:szCs w:val="20"/>
          <w:color w:val="auto"/>
        </w:rPr>
      </w:pPr>
    </w:p>
    <w:p>
      <w:pPr>
        <w:jc w:val="both"/>
        <w:ind w:left="60" w:right="199"/>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Impacts of COVID-19</w:t>
      </w:r>
    </w:p>
    <w:p>
      <w:pPr>
        <w:spacing w:after="0" w:line="225" w:lineRule="exact"/>
        <w:rPr>
          <w:sz w:val="20"/>
          <w:szCs w:val="20"/>
          <w:color w:val="auto"/>
        </w:rPr>
      </w:pPr>
    </w:p>
    <w:p>
      <w:pPr>
        <w:ind w:left="60" w:right="139"/>
        <w:spacing w:after="0" w:line="252" w:lineRule="auto"/>
        <w:rPr>
          <w:sz w:val="20"/>
          <w:szCs w:val="20"/>
          <w:color w:val="auto"/>
        </w:rPr>
      </w:pPr>
      <w:r>
        <w:rPr>
          <w:rFonts w:ascii="Arial" w:cs="Arial" w:eastAsia="Arial" w:hAnsi="Arial"/>
          <w:sz w:val="17"/>
          <w:szCs w:val="17"/>
          <w:color w:val="auto"/>
        </w:rPr>
        <w:t>First Busey continues to operate as an essential community resource during these challenging and unprecedented times. The coronavirus disease 2019 (“COVID-19”) is not only impacting health and safety around the world, it is causing significant economic disruption for both individuals and businesses, making the Company’s promise of support even more important to customers. The Company entered this crisis from a position of strength and remains resolute in its focus on protecting its balance sheet. To further enhance the Company’s strong liquidity position, during the second quarter, the Company completed a successful public offering of $125.0 million of its 5.25% fixed-to-floating rate subordinated notes due 2030. The progression of the COVID-19 pandemic in the United States began to negatively impact the Company’s results of operations starting in the first quarter of 2020. In future quarters, COVID-19 is expected to have a complex and continued adverse impact on the economy, the banking industry and First Busey, all subject to a high degree of uncertainty as it relates to both timing and severity. Primary areas of potential future impact for First Busey may include continued margin compression, increased provision expense, a deterioration in asset quality and lower wealth management fees and fees for customer services.</w:t>
      </w:r>
    </w:p>
    <w:p>
      <w:pPr>
        <w:spacing w:after="0" w:line="197" w:lineRule="exact"/>
        <w:rPr>
          <w:sz w:val="20"/>
          <w:szCs w:val="20"/>
          <w:color w:val="auto"/>
        </w:rPr>
      </w:pPr>
    </w:p>
    <w:p>
      <w:pPr>
        <w:ind w:left="60" w:right="179"/>
        <w:spacing w:after="0" w:line="279" w:lineRule="auto"/>
        <w:rPr>
          <w:sz w:val="20"/>
          <w:szCs w:val="20"/>
          <w:color w:val="auto"/>
        </w:rPr>
      </w:pPr>
      <w:r>
        <w:rPr>
          <w:rFonts w:ascii="Arial" w:cs="Arial" w:eastAsia="Arial" w:hAnsi="Arial"/>
          <w:sz w:val="16"/>
          <w:szCs w:val="16"/>
          <w:color w:val="auto"/>
        </w:rPr>
        <w:t>The Company elected to participate in the Paycheck Protection Program (“PPP”) and at June 30, 2020 had $746.4 million in PPP loans outstanding, with an amortized cost of $729.3 million, representing 4,445 new and existing customers. The company received fees totaling approximately $25.0 million and incurred incremental direct origination costs of $4.9 million, both of which have been deferred and are being amortized over the contractual life of these loans, subject to prepayment. The Company recognized $3.0 million of this net amount into interest income in the second quarter of 2020.</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on Form 10-Q were issued. Subsequent to quarter end, the Company decided to consolidate 12 banking centers. One-time expenses expected in relation to the banking center closings are anticipated to be incurred during the third and fourth quarters of 2020. There were no other significant subsequent events for the quarter ended June 30, 2020 through the issuance date of these unaudited consolidated financial statements that warranted adjustment to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6"/>
          <w:szCs w:val="16"/>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investment securities, fair value of assets acquired and liabilities assumed in business combinations, goodwill, income taxes and the determination of the allowance.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198"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 xml:space="preserve">On January 1, 2020, First Busey adopted </w:t>
      </w:r>
      <w:r>
        <w:rPr>
          <w:rFonts w:ascii="Arial" w:cs="Arial" w:eastAsia="Arial" w:hAnsi="Arial"/>
          <w:sz w:val="17"/>
          <w:szCs w:val="17"/>
          <w:i w:val="1"/>
          <w:iCs w:val="1"/>
          <w:color w:val="auto"/>
        </w:rPr>
        <w:t>Accounting Standards Update (“ASU”) 2016-13 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(“Topic 326”): Measurement of Credit Losses on Financial Instruments</w:t>
      </w:r>
      <w:r>
        <w:rPr>
          <w:rFonts w:ascii="Arial" w:cs="Arial" w:eastAsia="Arial" w:hAnsi="Arial"/>
          <w:sz w:val="17"/>
          <w:szCs w:val="17"/>
          <w:color w:val="auto"/>
        </w:rPr>
        <w:t>, as amended, which replaces the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It also applies to off-balance-sheet credit exposures not accounted for as insurance (loan commitments, standby letters of credit, financial guarantees, and other similar instruments) and net investments in leases recognized by a lessor in accordance with Topic 842 on leases. In addition, Accounting Standards Codification (“ASC”) 326 made changes to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not be required to sell before recovery of its amortized cost basis.</w:t>
      </w:r>
    </w:p>
    <w:p>
      <w:pPr>
        <w:spacing w:after="0" w:line="199"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First Busey adopted ASC 326 using the modified retrospective method for all financial assets measured at amortized cost and off-balance-sheet credit exposures. Results for reporting periods beginning after January 1, 2020 are presented under ASC 326 while prior period amounts continue to be reported in accordance with previously applicable GAAP which includes a change in terminology from Allowance/Provision for Loan Losses to Allowance/Provision for Credit Losses. First Busey recorded a net decrease to retained earnings of $15.9 million as of January 1, 2020 for the cumulative effect of adopting ASC 326. This transition adjustment included $12.0 million in allowance for credit losses on loans and $3.9 million in reserve for off-balance-sheet credit exposures.</w:t>
      </w:r>
    </w:p>
    <w:p>
      <w:pPr>
        <w:spacing w:after="0" w:line="19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First Busey adopted ASC 326 using the prospective transition approach for financial assets purchased with credit deterioration (“PCD”) that were previously classified as purchased credit impaired (“PCI”) and accounted for under ASC 310-30. In accordance with the standard, management did not reassess whether PCI assets met the criteria of PCD assets as of the date of adoption. In accordance with ASC 326, the amortized cost basis of PCD assets were adjusted to reflect an allowance for credit losses for any remaining credit discount. Subsequent changes in expected cash flows will be adjusted through the allowance for credit losses. The noncredit discount will be accreted into interest income at the effective interest rate as of January 1, 2020.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illustrates the impact of ASC 326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January 1, 2020</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0"/>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center"/>
              <w:ind w:right="134"/>
              <w:spacing w:after="0" w:line="160" w:lineRule="exact"/>
              <w:rPr>
                <w:sz w:val="20"/>
                <w:szCs w:val="20"/>
                <w:color w:val="auto"/>
              </w:rPr>
            </w:pPr>
            <w:r>
              <w:rPr>
                <w:rFonts w:ascii="Arial" w:cs="Arial" w:eastAsia="Arial" w:hAnsi="Arial"/>
                <w:sz w:val="14"/>
                <w:szCs w:val="14"/>
                <w:b w:val="1"/>
                <w:bCs w:val="1"/>
                <w:color w:val="auto"/>
                <w:w w:val="96"/>
              </w:rPr>
              <w:t>Pre-tax</w:t>
            </w:r>
          </w:p>
        </w:tc>
      </w:tr>
      <w:tr>
        <w:trPr>
          <w:trHeight w:val="175"/>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Post ASC 326</w:t>
            </w:r>
          </w:p>
        </w:tc>
        <w:tc>
          <w:tcPr>
            <w:tcW w:w="220" w:type="dxa"/>
            <w:vAlign w:val="bottom"/>
          </w:tcPr>
          <w:p>
            <w:pPr>
              <w:spacing w:after="0"/>
              <w:rPr>
                <w:sz w:val="15"/>
                <w:szCs w:val="15"/>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Pre-ASC 326</w:t>
            </w:r>
          </w:p>
        </w:tc>
        <w:tc>
          <w:tcPr>
            <w:tcW w:w="142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4"/>
              </w:rPr>
              <w:t>impact of ASC 326</w:t>
            </w:r>
          </w:p>
        </w:tc>
      </w:tr>
      <w:tr>
        <w:trPr>
          <w:trHeight w:val="185"/>
        </w:trPr>
        <w:tc>
          <w:tcPr>
            <w:tcW w:w="4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Adoption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Adoption</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Adoption</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Allowance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18,291</w:t>
            </w:r>
          </w:p>
        </w:tc>
        <w:tc>
          <w:tcPr>
            <w:tcW w:w="3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4880" w:type="dxa"/>
            <w:vAlign w:val="bottom"/>
          </w:tcPr>
          <w:p>
            <w:pPr>
              <w:ind w:left="2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30,496</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21,190</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9,306</w:t>
            </w:r>
          </w:p>
        </w:tc>
      </w:tr>
      <w:tr>
        <w:trPr>
          <w:trHeight w:val="230"/>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6,158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3,204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r>
      <w:tr>
        <w:trPr>
          <w:trHeight w:val="229"/>
        </w:trPr>
        <w:tc>
          <w:tcPr>
            <w:tcW w:w="4880" w:type="dxa"/>
            <w:vAlign w:val="bottom"/>
          </w:tcPr>
          <w:p>
            <w:pPr>
              <w:ind w:left="280"/>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13,787</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10,495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3,292</w:t>
            </w:r>
          </w:p>
        </w:tc>
      </w:tr>
      <w:tr>
        <w:trPr>
          <w:trHeight w:val="230"/>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63"/>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70,581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53,748</w:t>
            </w:r>
          </w:p>
        </w:tc>
        <w:tc>
          <w:tcPr>
            <w:tcW w:w="3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w:t>
            </w:r>
          </w:p>
        </w:tc>
      </w:tr>
      <w:tr>
        <w:trPr>
          <w:trHeight w:val="210"/>
        </w:trPr>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off-balance-sheet credit exposures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5,492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Allowance-debt securities available for sale</w:t>
      </w:r>
    </w:p>
    <w:p>
      <w:pPr>
        <w:spacing w:after="0" w:line="22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09"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allowance for credit losses through provision for credit losses. Impairment related to noncredit factors is recognized in accumulated other comprehensive income, net of applicable taxes.</w:t>
      </w:r>
    </w:p>
    <w:p>
      <w:pPr>
        <w:spacing w:after="0" w:line="201" w:lineRule="exact"/>
        <w:rPr>
          <w:sz w:val="20"/>
          <w:szCs w:val="20"/>
          <w:color w:val="auto"/>
        </w:rPr>
      </w:pPr>
    </w:p>
    <w:p>
      <w:pPr>
        <w:jc w:val="both"/>
        <w:ind w:left="60" w:right="99"/>
        <w:spacing w:after="0" w:line="248" w:lineRule="auto"/>
        <w:rPr>
          <w:sz w:val="20"/>
          <w:szCs w:val="20"/>
          <w:color w:val="auto"/>
        </w:rPr>
      </w:pPr>
      <w:r>
        <w:rPr>
          <w:rFonts w:ascii="Arial" w:cs="Arial" w:eastAsia="Arial" w:hAnsi="Arial"/>
          <w:sz w:val="18"/>
          <w:szCs w:val="18"/>
          <w:color w:val="auto"/>
        </w:rPr>
        <w:t>Accrued interest receivable for debt securities available for sale totaled $6.1 million at June 30, 2020 and is excluded from the estimate of credit losses. Accrued interest receivable is reported in Other Assets on the unaudited Consolidated Balance Sheets.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 portfolio loans</w:t>
      </w:r>
    </w:p>
    <w:p>
      <w:pPr>
        <w:spacing w:after="0" w:line="225"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The allowance for credit losses is a significant estimate in the Company’s unaudited Consolidated Balance Sheet, affecting both earnings and capital. The allowance for credit losses is a valuation account that is deducted from the portfolio loans’ amortized cost bases to present the net amount expected to be collected on the portfolio loans. Portfolio loans are charged off against the allowance when management believes the uncollectibility of a loan balance is confirmed. Recoveries do not exceed the aggregate of amounts previously charged-off. The allowance for credit losses is established through provision for credit loss expense charged to income.</w:t>
      </w:r>
    </w:p>
    <w:p>
      <w:pPr>
        <w:spacing w:after="0" w:line="189"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A loan’s amortized cost basis is comprised of the unpaid principal balance of the loan, accrued interest receivable, purchase premiums or discounts, and net deferred origination fees or costs. The Company has estimated its allowance on the amortized cost basis, exclusive of government guaranteed loans and accrued interest receivable. The Company writes-off uncollectible accrued interest receivable in a timely manner and has elected to not measure an allowance for accrued interest receivable. The Company presents the aggregate amount of accrued interest receivable for all financial instruments in other assets on the unaudited Consolidated Balance Sheets and the balance of accrued interest receivable is disclosed in “Note 14: Fair Value Measurements.”</w:t>
      </w:r>
    </w:p>
    <w:p>
      <w:pPr>
        <w:spacing w:after="0" w:line="193"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Its methodology influences, and is influenced by, the Company’s overall credit risk management processes. The allowance for credit losses is managed in accordance with GAAP to provide an adequate reserve for expected credit losses that is reflective of management’s best estimate of what is expected to be collected. The allowance for credit losses is measured on a collective pool basis when similar risk characteristics exist. Loans that do not share risk characteristics are evaluated on an individual basis.</w:t>
      </w:r>
    </w:p>
    <w:p>
      <w:pPr>
        <w:spacing w:after="0" w:line="203" w:lineRule="exact"/>
        <w:rPr>
          <w:sz w:val="20"/>
          <w:szCs w:val="20"/>
          <w:color w:val="auto"/>
        </w:rPr>
      </w:pPr>
    </w:p>
    <w:p>
      <w:pPr>
        <w:ind w:left="60" w:right="219"/>
        <w:spacing w:after="0" w:line="269" w:lineRule="auto"/>
        <w:rPr>
          <w:sz w:val="20"/>
          <w:szCs w:val="20"/>
          <w:color w:val="auto"/>
        </w:rPr>
      </w:pPr>
      <w:r>
        <w:rPr>
          <w:rFonts w:ascii="Arial" w:cs="Arial" w:eastAsia="Arial" w:hAnsi="Arial"/>
          <w:sz w:val="16"/>
          <w:szCs w:val="16"/>
          <w:color w:val="auto"/>
        </w:rPr>
        <w:t>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underwiring standards, portfolio mix, delinquency level, or term as well as for changes in environmental conditions such as changes in unemployment rates, property values and other relevant factors. The calculation also contemplates that the Company may not be able to make or obtain such forecasts for the entire life of the financial assets and requires a reversion to historical credit loss information. At implementation, the Company selected an eight quarter forecast period with an immediate reversion to historical loss rates as management felt this period could be reasonably forecasted and was consistent with forecast periods used in other areas of finance. During the first quarter of 2020, the Company reduced its reasonable and supportable forecast period from eight quarters to four quarters. Due to rapidly changing forecasts around the impact of COVID-19, the Company does not believe it has the ability to incorporate reasonable and supportable forecasts into its CECL models extending beyond four quarters.</w:t>
      </w:r>
    </w:p>
    <w:p>
      <w:pPr>
        <w:spacing w:after="0" w:line="185" w:lineRule="exact"/>
        <w:rPr>
          <w:sz w:val="20"/>
          <w:szCs w:val="20"/>
          <w:color w:val="auto"/>
        </w:rPr>
      </w:pPr>
    </w:p>
    <w:p>
      <w:pPr>
        <w:jc w:val="both"/>
        <w:ind w:left="60" w:right="659"/>
        <w:spacing w:after="0" w:line="324" w:lineRule="auto"/>
        <w:rPr>
          <w:sz w:val="20"/>
          <w:szCs w:val="20"/>
          <w:color w:val="auto"/>
        </w:rPr>
      </w:pPr>
      <w:r>
        <w:rPr>
          <w:rFonts w:ascii="Arial" w:cs="Arial" w:eastAsia="Arial" w:hAnsi="Arial"/>
          <w:sz w:val="16"/>
          <w:szCs w:val="16"/>
          <w:color w:val="auto"/>
        </w:rPr>
        <w:t>Ongoing impacts of the CECL methodology will be dependent upon changes in economic conditions and forecasts, originated and acquired loan portfolio composition, credit performance trends, portfolio duration, and other factors.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Reserve for Off-balance-sheet credit exposures</w:t>
      </w:r>
    </w:p>
    <w:p>
      <w:pPr>
        <w:spacing w:after="0" w:line="225"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In estimating expected credit losses for off-balance-sheet credit exposures, the Company is required to estimate expected credit losses over the contractual period in which it is exposed to credit risk via a present contractual obligation to extend credit, unless that obligation is unconditionally cancellable by the issuer. To be considered unconditionally cancelable for accounting purposes, the Company must have the ability to, at any time, with or without cause, refuse to extend credit under the commitment. Off-balance-sheet credit exposure segments share the same risk characteristics as portfolio loans. The Company incorporates a probability of funding and utilizes the allowance for credit losses loss rates to calculate the reserve. The reserve for off-balance-sheet credit exposure is carried on the balance sheet in other liabilities rather than as a component of the allowance. The reserve for off-balance-sheet credit exposure is adjusted as a provision for off-balance-sheet credit exposure reported as a component of non-interest expense in the accompanying unaudited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The Banc Ed Corp.</w:t>
      </w:r>
    </w:p>
    <w:p>
      <w:pPr>
        <w:spacing w:after="0" w:line="225" w:lineRule="exact"/>
        <w:rPr>
          <w:sz w:val="20"/>
          <w:szCs w:val="20"/>
          <w:color w:val="auto"/>
        </w:rPr>
      </w:pPr>
    </w:p>
    <w:p>
      <w:pPr>
        <w:ind w:left="60" w:right="399"/>
        <w:spacing w:after="0" w:line="243" w:lineRule="auto"/>
        <w:rPr>
          <w:sz w:val="20"/>
          <w:szCs w:val="20"/>
          <w:color w:val="auto"/>
        </w:rPr>
      </w:pPr>
      <w:r>
        <w:rPr>
          <w:rFonts w:ascii="Arial" w:cs="Arial" w:eastAsia="Arial" w:hAnsi="Arial"/>
          <w:sz w:val="18"/>
          <w:szCs w:val="18"/>
          <w:color w:val="auto"/>
        </w:rPr>
        <w:t>On January 31, 2019, the Company completed its acquisition of The Banc Ed Corp. (“Banc Ed”). TheBANK of Edwardsville (“TheBANK”), Banc Ed’s wholly-owned bank subsidiary, was operated as a separate subsidiary from the completion of the acquisition until October 4, 2019 when it was merged with and into Busey Bank. At that time, TheBANK’s banking centers became banking centers of Busey Bank.</w:t>
      </w:r>
    </w:p>
    <w:p>
      <w:pPr>
        <w:spacing w:after="0" w:line="201"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in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187" w:lineRule="exact"/>
        <w:rPr>
          <w:sz w:val="20"/>
          <w:szCs w:val="20"/>
          <w:color w:val="auto"/>
        </w:rPr>
      </w:pPr>
    </w:p>
    <w:p>
      <w:pPr>
        <w:ind w:left="60" w:right="139"/>
        <w:spacing w:after="0" w:line="279"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As the total consideration paid for Banc Ed exceeded the net assets acquired, goodwill of $41.4 million was recorded as a result of the acquisition. Goodwill recorded in the transaction, which reflected the synergies expected from the acquisition and expansion within the St. Louis MSA, is not tax deductible and was assigned to the Banking operating segment.</w:t>
      </w:r>
    </w:p>
    <w:p>
      <w:pPr>
        <w:spacing w:after="0" w:line="173"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First Busey did not incur any expenses related to the acquisition of Banc Ed for the three or six months ended June 30, 2020. First Busey incurred $4.0 million and $5.0 million in pre-tax expenses related to the acquisition of Banc Ed for the three and six months ended June 30, 2019, respectively, primarily for professional and legal fees and deconversion fees, all of which are reported as a component of non-interest expense in the accompanying unaudited Consolidated Statement of Income.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39"/>
        <w:spacing w:after="0" w:line="261" w:lineRule="auto"/>
        <w:rPr>
          <w:sz w:val="20"/>
          <w:szCs w:val="20"/>
          <w:color w:val="auto"/>
        </w:rPr>
      </w:pPr>
      <w:r>
        <w:rPr>
          <w:rFonts w:ascii="Arial" w:cs="Arial" w:eastAsia="Arial" w:hAnsi="Arial"/>
          <w:sz w:val="18"/>
          <w:szCs w:val="18"/>
          <w:color w:val="auto"/>
        </w:rPr>
        <w:t xml:space="preserve">The following table presents the estimated fair value of Banc Ed’s assets acquired and liabilities assumed as of January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Loans held for sale</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Portfolio loans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Premises and equipment</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32,156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intangible assets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Mortgage servicing rights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2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1,739,273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Liabilities assumed:</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Deposits</w:t>
            </w: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color w:val="auto"/>
              </w:rPr>
              <w:t>Other borrowings</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2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7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216,478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Consideration paid:</w:t>
            </w:r>
          </w:p>
        </w:tc>
        <w:tc>
          <w:tcPr>
            <w:tcW w:w="2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27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Common stock</w:t>
            </w:r>
          </w:p>
        </w:tc>
        <w:tc>
          <w:tcPr>
            <w:tcW w:w="2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23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139"/>
        <w:spacing w:after="0" w:line="272" w:lineRule="auto"/>
        <w:rPr>
          <w:sz w:val="20"/>
          <w:szCs w:val="20"/>
          <w:color w:val="auto"/>
        </w:rPr>
      </w:pPr>
      <w:r>
        <w:rPr>
          <w:rFonts w:ascii="Arial" w:cs="Arial" w:eastAsia="Arial" w:hAnsi="Arial"/>
          <w:sz w:val="16"/>
          <w:szCs w:val="16"/>
          <w:color w:val="auto"/>
        </w:rPr>
        <w:t>The following table provides the unaudited pro forma information for the results of operations for the three and six months ended June 30, 2019, as if the acquisition had occurred January 1, 2019. The pro forma results combine the historical results of Banc Ed into the Company’s unaudited Consolidated Statements of Income, including the impact of purchase accounting adjustments including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 2019. No assumptions have been applied to the pro forma results of operations regarding possible revenue enhancements, expense efficiencies or asset dispositions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Pro Forma</w:t>
            </w: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Six Months Ended</w:t>
            </w:r>
          </w:p>
        </w:tc>
      </w:tr>
      <w:tr>
        <w:trPr>
          <w:trHeight w:val="185"/>
        </w:trPr>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2019</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 interest income plus non-interest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101,324</w:t>
            </w:r>
          </w:p>
        </w:tc>
        <w:tc>
          <w:tcPr>
            <w:tcW w:w="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201,976</w:t>
            </w:r>
          </w:p>
        </w:tc>
        <w:tc>
          <w:tcPr>
            <w:tcW w:w="20" w:type="dxa"/>
            <w:vAlign w:val="bottom"/>
          </w:tcPr>
          <w:p>
            <w:pPr>
              <w:spacing w:after="0"/>
              <w:rPr>
                <w:sz w:val="19"/>
                <w:szCs w:val="19"/>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26,947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54,337</w:t>
            </w:r>
          </w:p>
        </w:tc>
        <w:tc>
          <w:tcPr>
            <w:tcW w:w="20" w:type="dxa"/>
            <w:vAlign w:val="bottom"/>
          </w:tcPr>
          <w:p>
            <w:pPr>
              <w:spacing w:after="0"/>
              <w:rPr>
                <w:sz w:val="19"/>
                <w:szCs w:val="19"/>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19"/>
                <w:szCs w:val="19"/>
                <w:color w:val="auto"/>
              </w:rPr>
            </w:pPr>
          </w:p>
        </w:tc>
      </w:tr>
      <w:tr>
        <w:trPr>
          <w:trHeight w:val="918"/>
        </w:trPr>
        <w:tc>
          <w:tcPr>
            <w:tcW w:w="50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Investors’ Security Trust Company</w:t>
      </w:r>
    </w:p>
    <w:p>
      <w:pPr>
        <w:spacing w:after="0" w:line="22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August 31, 2019, the Company completed the previously announced acquisition by Busey Bank of Investors’ Security Trust Company (“IST”), a Fort Myers, Florida wealth management firm. While the partnership is expected to add to the Company’s wealth management offerings, it is not expected to have any immediate, material impact on the Company’s earnings or overall business. This transaction was accounted for using the acquisition method of accounting and, accordingly, assets acquired, liabilities assumed, and consideration exchanged was recorded at estimated fair values on the date of acquisition.</w:t>
      </w:r>
    </w:p>
    <w:p>
      <w:pPr>
        <w:spacing w:after="0" w:line="203" w:lineRule="exact"/>
        <w:rPr>
          <w:sz w:val="20"/>
          <w:szCs w:val="20"/>
          <w:color w:val="auto"/>
        </w:rPr>
      </w:pPr>
    </w:p>
    <w:p>
      <w:pPr>
        <w:ind w:left="60" w:right="99"/>
        <w:spacing w:after="0" w:line="279" w:lineRule="auto"/>
        <w:rPr>
          <w:sz w:val="20"/>
          <w:szCs w:val="20"/>
          <w:color w:val="auto"/>
        </w:rPr>
      </w:pPr>
      <w:r>
        <w:rPr>
          <w:rFonts w:ascii="Arial" w:cs="Arial" w:eastAsia="Arial" w:hAnsi="Arial"/>
          <w:sz w:val="16"/>
          <w:szCs w:val="16"/>
          <w:color w:val="auto"/>
        </w:rPr>
        <w:t>First Busey incurred $0.1 million and $0.3 million in pre-tax expenses related to the acquisition of IST for the three and six months ended June 30, 2020, which is reported as a component of non-interest expense in the accompanying unaudited Consolidated Statements of Income. First Busey incurred $0.1 million and $0.3 million in pre-tax expenses related to the acquisition of IST for the three and six months ended June 30, 2019, primarily for professional and legal fees, which are reported as a component of non-interest expense in the accompanying unaudited Consolidated Statements of Income.</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Securities</w:t>
      </w:r>
    </w:p>
    <w:p>
      <w:pPr>
        <w:spacing w:after="0" w:line="229"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5"/>
                <w:szCs w:val="15"/>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5"/>
                <w:szCs w:val="15"/>
                <w:color w:val="auto"/>
              </w:rPr>
            </w:pPr>
          </w:p>
        </w:tc>
        <w:tc>
          <w:tcPr>
            <w:tcW w:w="76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5"/>
                <w:szCs w:val="15"/>
                <w:color w:val="auto"/>
              </w:rPr>
            </w:pPr>
          </w:p>
        </w:tc>
        <w:tc>
          <w:tcPr>
            <w:tcW w:w="8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for Credit</w:t>
            </w:r>
          </w:p>
        </w:tc>
        <w:tc>
          <w:tcPr>
            <w:tcW w:w="300" w:type="dxa"/>
            <w:vAlign w:val="bottom"/>
          </w:tcPr>
          <w:p>
            <w:pPr>
              <w:spacing w:after="0"/>
              <w:rPr>
                <w:sz w:val="15"/>
                <w:szCs w:val="15"/>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36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right"/>
              <w:ind w:right="242"/>
              <w:spacing w:after="0" w:line="158"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7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3"/>
                <w:szCs w:val="13"/>
                <w:color w:val="auto"/>
              </w:rPr>
            </w:pPr>
          </w:p>
        </w:tc>
        <w:tc>
          <w:tcPr>
            <w:tcW w:w="800" w:type="dxa"/>
            <w:vAlign w:val="bottom"/>
            <w:gridSpan w:val="2"/>
          </w:tcPr>
          <w:p>
            <w:pPr>
              <w:jc w:val="center"/>
              <w:ind w:right="30"/>
              <w:spacing w:after="0" w:line="158" w:lineRule="exact"/>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840" w:type="dxa"/>
            <w:vAlign w:val="bottom"/>
          </w:tcPr>
          <w:p>
            <w:pPr>
              <w:jc w:val="right"/>
              <w:ind w:right="25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32,597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33,236</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77,349</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2,752</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(57)</w:t>
            </w:r>
          </w:p>
        </w:tc>
        <w:tc>
          <w:tcPr>
            <w:tcW w:w="18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80,044</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w w:val="99"/>
              </w:rPr>
              <w:t>Obligations of states and political subdivisions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272,885</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10,047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(38)</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282,894</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230,352</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241,305</w:t>
            </w: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940,842</w:t>
            </w: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29,475</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970,193</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87,404</w:t>
            </w: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1,826</w:t>
            </w:r>
          </w:p>
        </w:tc>
        <w:tc>
          <w:tcPr>
            <w:tcW w:w="2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89,194</w:t>
            </w:r>
          </w:p>
        </w:tc>
        <w:tc>
          <w:tcPr>
            <w:tcW w:w="0" w:type="dxa"/>
            <w:vAlign w:val="bottom"/>
          </w:tcPr>
          <w:p>
            <w:pPr>
              <w:spacing w:after="0"/>
              <w:rPr>
                <w:sz w:val="1"/>
                <w:szCs w:val="1"/>
                <w:color w:val="auto"/>
              </w:rPr>
            </w:pPr>
          </w:p>
        </w:tc>
      </w:tr>
      <w:tr>
        <w:trPr>
          <w:trHeight w:val="223"/>
        </w:trPr>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1,641,429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55,695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1,696,866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w w:val="93"/>
              </w:rPr>
              <w:t>Gross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center"/>
              <w:ind w:right="314"/>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right"/>
              <w:ind w:right="58"/>
              <w:spacing w:after="0"/>
              <w:rPr>
                <w:sz w:val="20"/>
                <w:szCs w:val="20"/>
                <w:color w:val="auto"/>
              </w:rPr>
            </w:pPr>
            <w:r>
              <w:rPr>
                <w:rFonts w:ascii="Arial" w:cs="Arial" w:eastAsia="Arial" w:hAnsi="Arial"/>
                <w:sz w:val="14"/>
                <w:szCs w:val="14"/>
                <w:b w:val="1"/>
                <w:bCs w:val="1"/>
                <w:color w:val="auto"/>
              </w:rPr>
              <w:t>Amortized</w:t>
            </w:r>
          </w:p>
        </w:tc>
        <w:tc>
          <w:tcPr>
            <w:tcW w:w="118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5"/>
                <w:szCs w:val="15"/>
                <w:color w:val="auto"/>
              </w:rPr>
            </w:pPr>
          </w:p>
        </w:tc>
        <w:tc>
          <w:tcPr>
            <w:tcW w:w="960" w:type="dxa"/>
            <w:vAlign w:val="bottom"/>
            <w:gridSpan w:val="2"/>
          </w:tcPr>
          <w:p>
            <w:pPr>
              <w:jc w:val="center"/>
              <w:ind w:right="134"/>
              <w:spacing w:after="0"/>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36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ind w:right="215"/>
              <w:spacing w:after="0" w:line="158" w:lineRule="exact"/>
              <w:rPr>
                <w:sz w:val="20"/>
                <w:szCs w:val="20"/>
                <w:color w:val="auto"/>
              </w:rPr>
            </w:pPr>
            <w:r>
              <w:rPr>
                <w:rFonts w:ascii="Arial" w:cs="Arial" w:eastAsia="Arial" w:hAnsi="Arial"/>
                <w:sz w:val="14"/>
                <w:szCs w:val="14"/>
                <w:b w:val="1"/>
                <w:bCs w:val="1"/>
                <w:color w:val="auto"/>
                <w:w w:val="97"/>
              </w:rPr>
              <w:t>Gains</w:t>
            </w:r>
          </w:p>
        </w:tc>
        <w:tc>
          <w:tcPr>
            <w:tcW w:w="340" w:type="dxa"/>
            <w:vAlign w:val="bottom"/>
          </w:tcPr>
          <w:p>
            <w:pPr>
              <w:spacing w:after="0"/>
              <w:rPr>
                <w:sz w:val="13"/>
                <w:szCs w:val="13"/>
                <w:color w:val="auto"/>
              </w:rPr>
            </w:pPr>
          </w:p>
        </w:tc>
        <w:tc>
          <w:tcPr>
            <w:tcW w:w="960" w:type="dxa"/>
            <w:vAlign w:val="bottom"/>
            <w:gridSpan w:val="2"/>
          </w:tcPr>
          <w:p>
            <w:pPr>
              <w:jc w:val="center"/>
              <w:ind w:right="114"/>
              <w:spacing w:after="0" w:line="158" w:lineRule="exact"/>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3"/>
                <w:szCs w:val="13"/>
                <w:color w:val="auto"/>
              </w:rPr>
            </w:pPr>
          </w:p>
        </w:tc>
        <w:tc>
          <w:tcPr>
            <w:tcW w:w="84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51,472</w:t>
            </w:r>
          </w:p>
        </w:tc>
        <w:tc>
          <w:tcPr>
            <w:tcW w:w="4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51,737</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rPr>
              <w:t>160,364</w:t>
            </w: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2,684</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agencies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5"/>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w w:val="99"/>
              </w:rPr>
              <w:t>Obligations of states and political subdivisions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262,492</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5,810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268,291</w:t>
            </w:r>
          </w:p>
        </w:tc>
        <w:tc>
          <w:tcPr>
            <w:tcW w:w="0" w:type="dxa"/>
            <w:vAlign w:val="bottom"/>
          </w:tcPr>
          <w:p>
            <w:pPr>
              <w:spacing w:after="0"/>
              <w:rPr>
                <w:sz w:val="1"/>
                <w:szCs w:val="1"/>
                <w:color w:val="auto"/>
              </w:rPr>
            </w:pPr>
          </w:p>
        </w:tc>
      </w:tr>
      <w:tr>
        <w:trPr>
          <w:trHeight w:val="230"/>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137,733</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139,287</w:t>
            </w: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912,308</w:t>
            </w:r>
          </w:p>
        </w:tc>
        <w:tc>
          <w:tcPr>
            <w:tcW w:w="4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10,282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921,966</w:t>
            </w:r>
          </w:p>
        </w:tc>
        <w:tc>
          <w:tcPr>
            <w:tcW w:w="0" w:type="dxa"/>
            <w:vAlign w:val="bottom"/>
          </w:tcPr>
          <w:p>
            <w:pPr>
              <w:spacing w:after="0"/>
              <w:rPr>
                <w:sz w:val="1"/>
                <w:szCs w:val="1"/>
                <w:color w:val="auto"/>
              </w:rPr>
            </w:pPr>
          </w:p>
        </w:tc>
      </w:tr>
      <w:tr>
        <w:trPr>
          <w:trHeight w:val="229"/>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102,696</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23"/>
        </w:trPr>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3"/>
              </w:rPr>
              <w:t>$  1,627,065</w:t>
            </w:r>
          </w:p>
        </w:tc>
        <w:tc>
          <w:tcPr>
            <w:tcW w:w="4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22,021</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1,648,257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 xml:space="preserve">The amortized cost and fair value of debt securities, by contractual maturity or pre-refunded date, are shown below. Mortgages underlying mortgage-backed securities may be called or prepaid; therefore, actual maturities could differ from the contractual maturities. All mortgage-backed securities were issued by U.S. government agencies and corporations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Debt securities available for sale</w:t>
            </w:r>
          </w:p>
        </w:tc>
      </w:tr>
      <w:tr>
        <w:trPr>
          <w:trHeight w:val="160"/>
        </w:trPr>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577"/>
              <w:spacing w:after="0" w:line="160" w:lineRule="exact"/>
              <w:rPr>
                <w:sz w:val="20"/>
                <w:szCs w:val="20"/>
                <w:color w:val="auto"/>
              </w:rPr>
            </w:pPr>
            <w:r>
              <w:rPr>
                <w:rFonts w:ascii="Arial" w:cs="Arial" w:eastAsia="Arial" w:hAnsi="Arial"/>
                <w:sz w:val="14"/>
                <w:szCs w:val="14"/>
                <w:b w:val="1"/>
                <w:bCs w:val="1"/>
                <w:color w:val="auto"/>
              </w:rPr>
              <w:t>Amortized</w:t>
            </w:r>
          </w:p>
        </w:tc>
        <w:tc>
          <w:tcPr>
            <w:tcW w:w="600" w:type="dxa"/>
            <w:vAlign w:val="bottom"/>
          </w:tcPr>
          <w:p>
            <w:pPr>
              <w:spacing w:after="0"/>
              <w:rPr>
                <w:sz w:val="13"/>
                <w:szCs w:val="13"/>
                <w:color w:val="auto"/>
              </w:rPr>
            </w:pPr>
          </w:p>
        </w:tc>
        <w:tc>
          <w:tcPr>
            <w:tcW w:w="1300" w:type="dxa"/>
            <w:vAlign w:val="bottom"/>
          </w:tcPr>
          <w:p>
            <w:pPr>
              <w:jc w:val="right"/>
              <w:ind w:right="615"/>
              <w:spacing w:after="0" w:line="160" w:lineRule="exact"/>
              <w:rPr>
                <w:sz w:val="20"/>
                <w:szCs w:val="20"/>
                <w:color w:val="auto"/>
              </w:rPr>
            </w:pPr>
            <w:r>
              <w:rPr>
                <w:rFonts w:ascii="Arial" w:cs="Arial" w:eastAsia="Arial" w:hAnsi="Arial"/>
                <w:sz w:val="14"/>
                <w:szCs w:val="14"/>
                <w:b w:val="1"/>
                <w:bCs w:val="1"/>
                <w:color w:val="auto"/>
              </w:rPr>
              <w:t>Fair</w:t>
            </w:r>
          </w:p>
        </w:tc>
      </w:tr>
      <w:tr>
        <w:trPr>
          <w:trHeight w:val="158"/>
        </w:trPr>
        <w:tc>
          <w:tcPr>
            <w:tcW w:w="3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June 30, 2020:</w:t>
            </w: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757"/>
              <w:spacing w:after="0" w:line="158" w:lineRule="exact"/>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3"/>
                <w:szCs w:val="13"/>
                <w:color w:val="auto"/>
              </w:rPr>
            </w:pPr>
          </w:p>
        </w:tc>
        <w:tc>
          <w:tcPr>
            <w:tcW w:w="1300" w:type="dxa"/>
            <w:vAlign w:val="bottom"/>
          </w:tcPr>
          <w:p>
            <w:pPr>
              <w:jc w:val="right"/>
              <w:ind w:right="575"/>
              <w:spacing w:after="0" w:line="158" w:lineRule="exact"/>
              <w:rPr>
                <w:sz w:val="20"/>
                <w:szCs w:val="20"/>
                <w:color w:val="auto"/>
              </w:rPr>
            </w:pPr>
            <w:r>
              <w:rPr>
                <w:rFonts w:ascii="Arial" w:cs="Arial" w:eastAsia="Arial" w:hAnsi="Arial"/>
                <w:sz w:val="14"/>
                <w:szCs w:val="14"/>
                <w:b w:val="1"/>
                <w:bCs w:val="1"/>
                <w:color w:val="auto"/>
              </w:rPr>
              <w:t>Value</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132,192</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133,749</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137"/>
              <w:spacing w:after="0"/>
              <w:rPr>
                <w:sz w:val="20"/>
                <w:szCs w:val="20"/>
                <w:color w:val="auto"/>
              </w:rPr>
            </w:pPr>
            <w:r>
              <w:rPr>
                <w:rFonts w:ascii="Arial" w:cs="Arial" w:eastAsia="Arial" w:hAnsi="Arial"/>
                <w:sz w:val="18"/>
                <w:szCs w:val="18"/>
                <w:color w:val="auto"/>
              </w:rPr>
              <w:t>241,337</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250,413</w:t>
            </w:r>
          </w:p>
        </w:tc>
      </w:tr>
      <w:tr>
        <w:trPr>
          <w:trHeight w:val="229"/>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241,496</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252,566</w:t>
            </w:r>
          </w:p>
        </w:tc>
      </w:tr>
      <w:tr>
        <w:trPr>
          <w:trHeight w:val="229"/>
        </w:trPr>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Due after ten years</w:t>
            </w: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1,026,404</w:t>
            </w: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1,060,138</w:t>
            </w:r>
          </w:p>
        </w:tc>
      </w:tr>
      <w:tr>
        <w:trPr>
          <w:trHeight w:val="223"/>
        </w:trPr>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1,641,429</w:t>
            </w:r>
          </w:p>
        </w:tc>
        <w:tc>
          <w:tcPr>
            <w:tcW w:w="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1,696,866</w:t>
            </w:r>
          </w:p>
        </w:tc>
      </w:tr>
      <w:tr>
        <w:trPr>
          <w:trHeight w:val="20"/>
        </w:trPr>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r>
      <w:tr>
        <w:trPr>
          <w:trHeight w:val="223"/>
        </w:trPr>
        <w:tc>
          <w:tcPr>
            <w:tcW w:w="20" w:type="dxa"/>
            <w:vAlign w:val="bottom"/>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146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1,707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security (losses)</w:t>
            </w:r>
          </w:p>
        </w:tc>
        <w:tc>
          <w:tcPr>
            <w:tcW w:w="3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gridSpan w:val="2"/>
            <w:shd w:val="clear" w:color="auto" w:fill="CCEEFF"/>
          </w:tcPr>
          <w:p>
            <w:pPr>
              <w:ind w:left="340"/>
              <w:spacing w:after="0" w:line="223" w:lineRule="exact"/>
              <w:rPr>
                <w:sz w:val="20"/>
                <w:szCs w:val="20"/>
                <w:color w:val="auto"/>
              </w:rPr>
            </w:pPr>
            <w:r>
              <w:rPr>
                <w:rFonts w:ascii="Arial" w:cs="Arial" w:eastAsia="Arial" w:hAnsi="Arial"/>
                <w:sz w:val="17"/>
                <w:szCs w:val="17"/>
                <w:color w:val="auto"/>
              </w:rPr>
              <w:t>Net gains (losses) on sales of securities</w:t>
            </w:r>
            <w:r>
              <w:rPr>
                <w:rFonts w:ascii="Arial" w:cs="Arial" w:eastAsia="Arial" w:hAnsi="Arial"/>
                <w:sz w:val="25"/>
                <w:szCs w:val="25"/>
                <w:color w:val="auto"/>
                <w:vertAlign w:val="superscript"/>
              </w:rPr>
              <w:t>(1)</w:t>
            </w: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143</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0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1,699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67" w:lineRule="exact"/>
        <w:rPr>
          <w:sz w:val="20"/>
          <w:szCs w:val="20"/>
          <w:color w:val="auto"/>
        </w:rPr>
      </w:pPr>
    </w:p>
    <w:p>
      <w:pPr>
        <w:ind w:left="480" w:right="259" w:hanging="322"/>
        <w:spacing w:after="0" w:line="200" w:lineRule="auto"/>
        <w:tabs>
          <w:tab w:leader="none" w:pos="4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Net (losses) gains on sales of securities reported on the unaudited Consolidated Statements of Income includes sale of equity securities, excluded in this table.</w:t>
      </w:r>
    </w:p>
    <w:p>
      <w:pPr>
        <w:spacing w:after="0" w:line="203" w:lineRule="exact"/>
        <w:rPr>
          <w:sz w:val="20"/>
          <w:szCs w:val="20"/>
          <w:color w:val="auto"/>
        </w:rPr>
      </w:pPr>
    </w:p>
    <w:p>
      <w:pPr>
        <w:ind w:left="60" w:right="339"/>
        <w:spacing w:after="0" w:line="248" w:lineRule="auto"/>
        <w:rPr>
          <w:sz w:val="20"/>
          <w:szCs w:val="20"/>
          <w:color w:val="auto"/>
        </w:rPr>
      </w:pPr>
      <w:r>
        <w:rPr>
          <w:rFonts w:ascii="Arial" w:cs="Arial" w:eastAsia="Arial" w:hAnsi="Arial"/>
          <w:sz w:val="18"/>
          <w:szCs w:val="18"/>
          <w:color w:val="auto"/>
        </w:rPr>
        <w:t>Debt securities with carrying amounts of $638.1 million and $704.4 million on June 30, 2020 and December 31, 2019, respectively, were pledged as collateral for public deposits, securities sold under agreements to repurchase and for other purposes as required or permitted by law.</w:t>
      </w:r>
    </w:p>
    <w:p>
      <w:pPr>
        <w:spacing w:after="0" w:line="195"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6"/>
          <w:szCs w:val="16"/>
          <w:i w:val="1"/>
          <w:iCs w:val="1"/>
          <w:color w:val="auto"/>
        </w:rPr>
        <w:t>(dollars in thousands):</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June 30, 2020:</w:t>
      </w:r>
    </w:p>
    <w:p>
      <w:pPr>
        <w:spacing w:after="0" w:line="28" w:lineRule="exact"/>
        <w:rPr>
          <w:sz w:val="20"/>
          <w:szCs w:val="20"/>
          <w:color w:val="auto"/>
        </w:rPr>
      </w:pPr>
    </w:p>
    <w:p>
      <w:pPr>
        <w:ind w:left="60" w:right="860"/>
        <w:spacing w:after="0" w:line="269" w:lineRule="auto"/>
        <w:rPr>
          <w:sz w:val="20"/>
          <w:szCs w:val="20"/>
          <w:color w:val="auto"/>
        </w:rPr>
      </w:pPr>
      <w:r>
        <w:rPr>
          <w:rFonts w:ascii="Arial" w:cs="Arial" w:eastAsia="Arial" w:hAnsi="Arial"/>
          <w:sz w:val="14"/>
          <w:szCs w:val="14"/>
          <w:b w:val="1"/>
          <w:bCs w:val="1"/>
          <w:color w:val="auto"/>
        </w:rPr>
        <w:t xml:space="preserve">Debt securities available for sale </w:t>
      </w:r>
      <w:r>
        <w:rPr>
          <w:rFonts w:ascii="Arial" w:cs="Arial" w:eastAsia="Arial" w:hAnsi="Arial"/>
          <w:sz w:val="14"/>
          <w:szCs w:val="14"/>
          <w:color w:val="auto"/>
        </w:rPr>
        <w:t>U.S. Treasury securities</w:t>
      </w:r>
    </w:p>
    <w:p>
      <w:pPr>
        <w:spacing w:after="0" w:line="1" w:lineRule="exact"/>
        <w:rPr>
          <w:sz w:val="20"/>
          <w:szCs w:val="20"/>
          <w:color w:val="auto"/>
        </w:rPr>
      </w:pPr>
    </w:p>
    <w:p>
      <w:pPr>
        <w:ind w:left="160" w:hanging="107"/>
        <w:spacing w:after="0" w:line="261" w:lineRule="auto"/>
        <w:rPr>
          <w:sz w:val="20"/>
          <w:szCs w:val="20"/>
          <w:color w:val="auto"/>
        </w:rPr>
      </w:pPr>
      <w:r>
        <w:rPr>
          <w:rFonts w:ascii="Arial" w:cs="Arial" w:eastAsia="Arial" w:hAnsi="Arial"/>
          <w:sz w:val="14"/>
          <w:szCs w:val="14"/>
          <w:color w:val="auto"/>
        </w:rPr>
        <w:t>Obligations of U.S. government corporations and agencies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Obligations of states and political subdivisions</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Commercial mortgage-backed securities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Residential mortgage-backed securities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debt securities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Total temporarily impaired securities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89"/>
              </w:rPr>
              <w:t>Less than 12 months, gross</w:t>
            </w: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0"/>
              </w:rPr>
              <w:t>12 months or more, gross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Total, gross</w:t>
            </w:r>
          </w:p>
        </w:tc>
      </w:tr>
      <w:tr>
        <w:trPr>
          <w:trHeight w:val="16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22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82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3"/>
                <w:szCs w:val="13"/>
                <w:color w:val="auto"/>
              </w:rPr>
            </w:pPr>
          </w:p>
        </w:tc>
        <w:tc>
          <w:tcPr>
            <w:tcW w:w="76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82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76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w w:val="93"/>
              </w:rPr>
              <w:t>Unrealized</w:t>
            </w:r>
          </w:p>
        </w:tc>
      </w:tr>
      <w:tr>
        <w:trPr>
          <w:trHeight w:val="185"/>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Losses</w:t>
            </w:r>
          </w:p>
        </w:tc>
      </w:tr>
      <w:tr>
        <w:trPr>
          <w:trHeight w:val="346"/>
        </w:trPr>
        <w:tc>
          <w:tcPr>
            <w:tcW w:w="160" w:type="dxa"/>
            <w:vAlign w:val="bottom"/>
            <w:gridSpan w:val="2"/>
          </w:tcPr>
          <w:p>
            <w:pPr>
              <w:jc w:val="right"/>
              <w:ind w:right="1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28"/>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4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5,648</w:t>
            </w:r>
          </w:p>
        </w:tc>
        <w:tc>
          <w:tcPr>
            <w:tcW w:w="1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5,648</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6,432</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6,432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4,963</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4,963</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75"/>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35,830</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937</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36,767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81"/>
        </w:trPr>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4,222</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4,222</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69"/>
        </w:trPr>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57,095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58,032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-2068195</wp:posOffset>
            </wp:positionH>
            <wp:positionV relativeFrom="paragraph">
              <wp:posOffset>-1045210</wp:posOffset>
            </wp:positionV>
            <wp:extent cx="564896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-814070</wp:posOffset>
            </wp:positionV>
            <wp:extent cx="564896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22288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-479425</wp:posOffset>
            </wp:positionV>
            <wp:extent cx="5648960" cy="111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-256540</wp:posOffset>
            </wp:positionV>
            <wp:extent cx="564896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420"/>
            <w:col w:w="5699"/>
          </w:cols>
          <w:pgMar w:left="1440" w:top="530" w:right="1440"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w w:val="89"/>
              </w:rPr>
              <w:t>Less than 12 months, gross</w:t>
            </w: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0"/>
              </w:rPr>
              <w:t>12 months or more, gross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22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82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3"/>
                <w:szCs w:val="13"/>
                <w:color w:val="auto"/>
              </w:rPr>
            </w:pPr>
          </w:p>
        </w:tc>
        <w:tc>
          <w:tcPr>
            <w:tcW w:w="76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82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3"/>
                <w:szCs w:val="13"/>
                <w:color w:val="auto"/>
              </w:rPr>
            </w:pPr>
          </w:p>
        </w:tc>
        <w:tc>
          <w:tcPr>
            <w:tcW w:w="700" w:type="dxa"/>
            <w:vAlign w:val="bottom"/>
          </w:tcPr>
          <w:p>
            <w:pPr>
              <w:jc w:val="right"/>
              <w:ind w:right="248"/>
              <w:spacing w:after="0" w:line="160"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76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3"/>
                <w:szCs w:val="13"/>
                <w:color w:val="auto"/>
              </w:rPr>
            </w:pPr>
          </w:p>
        </w:tc>
        <w:tc>
          <w:tcPr>
            <w:tcW w:w="82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3"/>
                <w:szCs w:val="13"/>
                <w:color w:val="auto"/>
              </w:rPr>
            </w:pPr>
          </w:p>
        </w:tc>
        <w:tc>
          <w:tcPr>
            <w:tcW w:w="76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3"/>
                <w:szCs w:val="13"/>
                <w:color w:val="auto"/>
              </w:rPr>
            </w:pPr>
          </w:p>
        </w:tc>
        <w:tc>
          <w:tcPr>
            <w:tcW w:w="82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3"/>
                <w:szCs w:val="13"/>
                <w:color w:val="auto"/>
              </w:rPr>
            </w:pPr>
          </w:p>
        </w:tc>
        <w:tc>
          <w:tcPr>
            <w:tcW w:w="70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3"/>
                <w:szCs w:val="13"/>
                <w:color w:val="auto"/>
              </w:rPr>
            </w:pPr>
          </w:p>
        </w:tc>
        <w:tc>
          <w:tcPr>
            <w:tcW w:w="76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gridSpan w:val="3"/>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Debt securities available for sale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gridSpan w:val="3"/>
          </w:tcPr>
          <w:p>
            <w:pPr>
              <w:spacing w:after="0"/>
              <w:rPr>
                <w:sz w:val="20"/>
                <w:szCs w:val="20"/>
                <w:color w:val="auto"/>
              </w:rPr>
            </w:pPr>
            <w:r>
              <w:rPr>
                <w:rFonts w:ascii="Arial" w:cs="Arial" w:eastAsia="Arial" w:hAnsi="Arial"/>
                <w:sz w:val="14"/>
                <w:szCs w:val="14"/>
                <w:color w:val="auto"/>
              </w:rPr>
              <w:t>U.S. Treasury securities</w:t>
            </w:r>
          </w:p>
        </w:tc>
        <w:tc>
          <w:tcPr>
            <w:tcW w:w="160" w:type="dxa"/>
            <w:vAlign w:val="bottom"/>
            <w:gridSpan w:val="2"/>
          </w:tcPr>
          <w:p>
            <w:pPr>
              <w:jc w:val="right"/>
              <w:ind w:right="1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Obligations of U.S. government corporations and</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6,362</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6,362</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agencies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gridSpan w:val="3"/>
          </w:tcPr>
          <w:p>
            <w:pPr>
              <w:spacing w:after="0" w:line="176" w:lineRule="exact"/>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20"/>
                <w:szCs w:val="20"/>
                <w:color w:val="auto"/>
                <w:vertAlign w:val="superscript"/>
              </w:rPr>
              <w:t>(1)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4,981</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1,548</w:t>
            </w:r>
          </w:p>
        </w:tc>
        <w:tc>
          <w:tcPr>
            <w:tcW w:w="1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6,529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mortgage-backed securities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33,322</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2,044</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35,366</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gridSpan w:val="3"/>
          </w:tcPr>
          <w:p>
            <w:pPr>
              <w:spacing w:after="0"/>
              <w:rPr>
                <w:sz w:val="20"/>
                <w:szCs w:val="20"/>
                <w:color w:val="auto"/>
              </w:rPr>
            </w:pPr>
            <w:r>
              <w:rPr>
                <w:rFonts w:ascii="Arial" w:cs="Arial" w:eastAsia="Arial" w:hAnsi="Arial"/>
                <w:sz w:val="14"/>
                <w:szCs w:val="14"/>
                <w:color w:val="auto"/>
              </w:rPr>
              <w:t>Residential mortgage-backed securities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78,326</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50,259</w:t>
            </w:r>
          </w:p>
        </w:tc>
        <w:tc>
          <w:tcPr>
            <w:tcW w:w="1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(379)</w:t>
            </w:r>
          </w:p>
        </w:tc>
        <w:tc>
          <w:tcPr>
            <w:tcW w:w="2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128,585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 debt securities</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gridSpan w:val="3"/>
          </w:tcPr>
          <w:p>
            <w:pPr>
              <w:spacing w:after="0"/>
              <w:rPr>
                <w:sz w:val="20"/>
                <w:szCs w:val="20"/>
                <w:color w:val="auto"/>
              </w:rPr>
            </w:pPr>
            <w:r>
              <w:rPr>
                <w:rFonts w:ascii="Arial" w:cs="Arial" w:eastAsia="Arial" w:hAnsi="Arial"/>
                <w:sz w:val="14"/>
                <w:szCs w:val="14"/>
                <w:color w:val="auto"/>
              </w:rPr>
              <w:t>Total temporarily impaired securities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122,991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53,851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176,842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80" w:hanging="322"/>
        <w:spacing w:after="0"/>
        <w:tabs>
          <w:tab w:leader="none" w:pos="48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Unrealized losses for 12 months or more, gross, was less than one thousand dollars.</w:t>
      </w:r>
    </w:p>
    <w:p>
      <w:pPr>
        <w:spacing w:after="0" w:line="202" w:lineRule="exact"/>
        <w:rPr>
          <w:sz w:val="20"/>
          <w:szCs w:val="20"/>
          <w:color w:val="auto"/>
        </w:rPr>
      </w:pPr>
    </w:p>
    <w:p>
      <w:pPr>
        <w:ind w:left="60" w:right="139"/>
        <w:spacing w:after="0" w:line="270" w:lineRule="auto"/>
        <w:rPr>
          <w:sz w:val="20"/>
          <w:szCs w:val="20"/>
          <w:color w:val="auto"/>
        </w:rPr>
      </w:pPr>
      <w:r>
        <w:rPr>
          <w:rFonts w:ascii="Arial" w:cs="Arial" w:eastAsia="Arial" w:hAnsi="Arial"/>
          <w:sz w:val="16"/>
          <w:szCs w:val="16"/>
          <w:color w:val="auto"/>
        </w:rPr>
        <w:t>Debt securities available for sale are not within the scope of CECL, however, the accounting for credit losses on these securities is affected by ASC 326-30. As of June 30, 2020, the Company’s debt security portfolio consisted of 1,106 securities. The total number of debt securities in the investment portfolio in an unrealized loss position as of June 30, 2020 was 24 and represented an unrealized loss of 0.45% of the aggregate fair value. The unrealized losses relate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 impairment related to noncredit factors is recognized in accumulated other comprehensive income, net of applicable taxes, at June 30, 2020. As of June 30, 2020, the Company did not hold general obligation bonds of any single issuer, the aggregate of which exceeded 10% of the Company’s stockholders’ equity.</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distribution of portfolio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2,357,954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2,847,014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2,793,417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433,031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Retail real estate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1,548,215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1,693,769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42,806</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Arial" w:cs="Arial" w:eastAsia="Arial" w:hAnsi="Arial"/>
                <w:sz w:val="18"/>
                <w:szCs w:val="18"/>
                <w:color w:val="auto"/>
              </w:rPr>
              <w:t>Portfolio loans</w:t>
            </w:r>
          </w:p>
        </w:tc>
        <w:tc>
          <w:tcPr>
            <w:tcW w:w="14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7,229,020</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6,687,249</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(96,046)</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4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7,132,974</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Net deferred loan origination fees included in the balances above were $(11.1) million as of June 30, 2020 compared to $6.2 million of net deferred loan origination costs as of December 31, 2019. Net accretable purchase accounting adjustments included in the balances above reduced loans by $15.5 million as of June 30, 2020 and $20.2 million as of December 31, 2019. The June 30, 2020 commercial balance includes loans originated under PPP with an amortized cost of $729.3 million.</w:t>
      </w:r>
    </w:p>
    <w:p>
      <w:pPr>
        <w:spacing w:after="0" w:line="203"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During the first quarter of 2020, the Company purchased $43.9 million of retail real estate loans. There were no purchases during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9"/>
        <w:spacing w:after="0" w:line="261"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84" w:lineRule="exact"/>
        <w:rPr>
          <w:sz w:val="20"/>
          <w:szCs w:val="20"/>
          <w:color w:val="auto"/>
        </w:rPr>
      </w:pPr>
    </w:p>
    <w:p>
      <w:pPr>
        <w:ind w:left="720" w:right="419" w:hanging="319"/>
        <w:spacing w:after="0" w:line="24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95"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that warrant a higher than 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201" w:lineRule="exact"/>
        <w:rPr>
          <w:rFonts w:ascii="Arial" w:cs="Arial" w:eastAsia="Arial" w:hAnsi="Arial"/>
          <w:sz w:val="18"/>
          <w:szCs w:val="18"/>
          <w:color w:val="auto"/>
        </w:rPr>
      </w:pPr>
    </w:p>
    <w:p>
      <w:pPr>
        <w:ind w:left="720" w:right="99" w:hanging="319"/>
        <w:spacing w:after="0" w:line="248"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95" w:lineRule="exact"/>
        <w:rPr>
          <w:rFonts w:ascii="Arial" w:cs="Arial" w:eastAsia="Arial" w:hAnsi="Arial"/>
          <w:sz w:val="18"/>
          <w:szCs w:val="18"/>
          <w:color w:val="auto"/>
        </w:rPr>
      </w:pPr>
    </w:p>
    <w:p>
      <w:pPr>
        <w:ind w:left="720" w:right="139" w:hanging="319"/>
        <w:spacing w:after="0" w:line="262"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5" w:lineRule="exact"/>
        <w:rPr>
          <w:rFonts w:ascii="Arial" w:cs="Arial" w:eastAsia="Arial" w:hAnsi="Arial"/>
          <w:sz w:val="17"/>
          <w:szCs w:val="17"/>
          <w:color w:val="auto"/>
        </w:rPr>
      </w:pPr>
    </w:p>
    <w:p>
      <w:pPr>
        <w:ind w:left="720" w:right="179" w:hanging="319"/>
        <w:spacing w:after="0" w:line="270"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77"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203" w:lineRule="exact"/>
        <w:rPr>
          <w:sz w:val="20"/>
          <w:szCs w:val="20"/>
          <w:color w:val="auto"/>
        </w:rPr>
      </w:pPr>
    </w:p>
    <w:p>
      <w:pPr>
        <w:jc w:val="both"/>
        <w:ind w:left="60" w:right="659"/>
        <w:spacing w:after="0" w:line="248"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June 30, 2020 includes purchase discounts and clearings in the pass rating. December 31, 2019 excludes purchase discounts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2"/>
              </w:rPr>
              <w:t>June 30, 2020</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60"/>
        </w:trPr>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348"/>
              <w:spacing w:after="0" w:line="160" w:lineRule="exact"/>
              <w:rPr>
                <w:sz w:val="20"/>
                <w:szCs w:val="20"/>
                <w:color w:val="auto"/>
              </w:rPr>
            </w:pPr>
            <w:r>
              <w:rPr>
                <w:rFonts w:ascii="Arial" w:cs="Arial" w:eastAsia="Arial" w:hAnsi="Arial"/>
                <w:sz w:val="14"/>
                <w:szCs w:val="14"/>
                <w:b w:val="1"/>
                <w:bCs w:val="1"/>
                <w:color w:val="auto"/>
              </w:rPr>
              <w:t>Special</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5"/>
              </w:rPr>
              <w:t>Substandard</w:t>
            </w:r>
          </w:p>
        </w:tc>
      </w:tr>
      <w:tr>
        <w:trPr>
          <w:trHeight w:val="185"/>
        </w:trPr>
        <w:tc>
          <w:tcPr>
            <w:tcW w:w="24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Pass</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Watch</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Mention</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3"/>
              </w:rPr>
              <w:t>Substandard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Non-accrual</w:t>
            </w:r>
          </w:p>
        </w:tc>
      </w:tr>
      <w:tr>
        <w:trPr>
          <w:trHeight w:val="169"/>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2,078,284</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136,817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94,439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41,978</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6,436</w:t>
            </w:r>
          </w:p>
        </w:tc>
      </w:tr>
      <w:tr>
        <w:trPr>
          <w:trHeight w:val="175"/>
        </w:trPr>
        <w:tc>
          <w:tcPr>
            <w:tcW w:w="244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2,476,189</w:t>
            </w:r>
          </w:p>
        </w:tc>
        <w:tc>
          <w:tcPr>
            <w:tcW w:w="36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233,826</w:t>
            </w:r>
          </w:p>
        </w:tc>
        <w:tc>
          <w:tcPr>
            <w:tcW w:w="2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93,676</w:t>
            </w:r>
          </w:p>
        </w:tc>
        <w:tc>
          <w:tcPr>
            <w:tcW w:w="2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34,314</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9,009</w:t>
            </w:r>
          </w:p>
        </w:tc>
      </w:tr>
      <w:tr>
        <w:trPr>
          <w:trHeight w:val="175"/>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405,327</w:t>
            </w: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23,907</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685</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2,832</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175"/>
        </w:trPr>
        <w:tc>
          <w:tcPr>
            <w:tcW w:w="244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1,518,644</w:t>
            </w:r>
          </w:p>
        </w:tc>
        <w:tc>
          <w:tcPr>
            <w:tcW w:w="36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12,124</w:t>
            </w:r>
          </w:p>
        </w:tc>
        <w:tc>
          <w:tcPr>
            <w:tcW w:w="26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3,617</w:t>
            </w:r>
          </w:p>
        </w:tc>
        <w:tc>
          <w:tcPr>
            <w:tcW w:w="2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4,613</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9,217</w:t>
            </w:r>
          </w:p>
        </w:tc>
      </w:tr>
      <w:tr>
        <w:trPr>
          <w:trHeight w:val="175"/>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42,653</w:t>
            </w:r>
          </w:p>
        </w:tc>
        <w:tc>
          <w:tcPr>
            <w:tcW w:w="3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69"/>
        </w:trPr>
        <w:tc>
          <w:tcPr>
            <w:tcW w:w="2440" w:type="dxa"/>
            <w:vAlign w:val="bottom"/>
          </w:tcPr>
          <w:p>
            <w:pPr>
              <w:ind w:left="2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6,521,097</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406,674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192,417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83,737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25,095</w:t>
            </w:r>
          </w:p>
        </w:tc>
      </w:tr>
      <w:tr>
        <w:trPr>
          <w:trHeight w:val="20"/>
        </w:trPr>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0"/>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89"/>
              </w:rPr>
              <w:t>Special</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w w:val="93"/>
              </w:rPr>
              <w:t>Substandard</w:t>
            </w:r>
          </w:p>
        </w:tc>
      </w:tr>
      <w:tr>
        <w:trPr>
          <w:trHeight w:val="185"/>
        </w:trPr>
        <w:tc>
          <w:tcPr>
            <w:tcW w:w="2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Pass</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Watch</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Mention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Substandard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Non-accrual</w:t>
            </w:r>
          </w:p>
        </w:tc>
      </w:tr>
      <w:tr>
        <w:trPr>
          <w:trHeight w:val="169"/>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1,458,416</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172,526</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66,337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41,273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9,096</w:t>
            </w:r>
          </w:p>
        </w:tc>
      </w:tr>
      <w:tr>
        <w:trPr>
          <w:trHeight w:val="176"/>
        </w:trPr>
        <w:tc>
          <w:tcPr>
            <w:tcW w:w="2460" w:type="dxa"/>
            <w:vAlign w:val="bottom"/>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2,477,398</w:t>
            </w:r>
          </w:p>
        </w:tc>
        <w:tc>
          <w:tcPr>
            <w:tcW w:w="3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186,963</w:t>
            </w:r>
          </w:p>
        </w:tc>
        <w:tc>
          <w:tcPr>
            <w:tcW w:w="36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105,487</w:t>
            </w:r>
          </w:p>
        </w:tc>
        <w:tc>
          <w:tcPr>
            <w:tcW w:w="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26,204</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9,178</w:t>
            </w:r>
          </w:p>
        </w:tc>
      </w:tr>
      <w:tr>
        <w:trPr>
          <w:trHeight w:val="176"/>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Real estate construction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351,923</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45,262</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3,928</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737</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r>
      <w:tr>
        <w:trPr>
          <w:trHeight w:val="175"/>
        </w:trPr>
        <w:tc>
          <w:tcPr>
            <w:tcW w:w="2460" w:type="dxa"/>
            <w:vAlign w:val="bottom"/>
          </w:tcPr>
          <w:p>
            <w:pPr>
              <w:spacing w:after="0"/>
              <w:rPr>
                <w:sz w:val="20"/>
                <w:szCs w:val="20"/>
                <w:color w:val="auto"/>
              </w:rPr>
            </w:pPr>
            <w:r>
              <w:rPr>
                <w:rFonts w:ascii="Arial" w:cs="Arial" w:eastAsia="Arial" w:hAnsi="Arial"/>
                <w:sz w:val="14"/>
                <w:szCs w:val="14"/>
                <w:color w:val="auto"/>
              </w:rPr>
              <w:t>Retail real estate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1,661,691</w:t>
            </w:r>
          </w:p>
        </w:tc>
        <w:tc>
          <w:tcPr>
            <w:tcW w:w="38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9,125</w:t>
            </w:r>
          </w:p>
        </w:tc>
        <w:tc>
          <w:tcPr>
            <w:tcW w:w="36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5,355</w:t>
            </w:r>
          </w:p>
        </w:tc>
        <w:tc>
          <w:tcPr>
            <w:tcW w:w="2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7,001</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8,935</w:t>
            </w:r>
          </w:p>
        </w:tc>
      </w:tr>
      <w:tr>
        <w:trPr>
          <w:trHeight w:val="17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Retail other</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47,698</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69"/>
        </w:trPr>
        <w:tc>
          <w:tcPr>
            <w:tcW w:w="2460" w:type="dxa"/>
            <w:vAlign w:val="bottom"/>
          </w:tcPr>
          <w:p>
            <w:pPr>
              <w:ind w:left="2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5,997,126</w:t>
            </w: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413,876</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181,107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75,215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27,896</w:t>
            </w: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color w:val="auto"/>
        </w:rPr>
        <w:t xml:space="preserve">Risk grades of portfolio loans, further sorted by origination or renewal year at June 30, 2020 is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w:t>
      </w:r>
      <w:r>
        <w:rPr>
          <w:rFonts w:ascii="Arial" w:cs="Arial" w:eastAsia="Arial" w:hAnsi="Arial"/>
          <w:sz w:val="18"/>
          <w:szCs w:val="18"/>
          <w:color w:val="auto"/>
        </w:rPr>
        <w:t>:</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w w:val="88"/>
              </w:rPr>
              <w:t>Term Loans Amortized Cost Basis by Origination or Renewal Year</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3"/>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93"/>
              </w:rPr>
              <w:t>Revolving</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5"/>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 of June 30, 2020</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2017</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2016</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Prior</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loans</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Total</w:t>
            </w:r>
          </w:p>
        </w:tc>
      </w:tr>
      <w:tr>
        <w:trPr>
          <w:trHeight w:val="157"/>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931,544</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193,072</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139,275</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129,906</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79,484</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94,852</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510,151</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2,078,284</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23,426</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22,915</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20,322</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8,145</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3,017</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15,488</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43,504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136,817</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5,947</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5,442</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3,226</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7,039</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6,930</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15,579</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50,276</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94,439</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11,291</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3,222</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4,258</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5,588</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1,286</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1,372</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14,961</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41,978</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29</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3,659</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713</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541</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804</w:t>
            </w: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6,436</w:t>
            </w:r>
          </w:p>
        </w:tc>
      </w:tr>
      <w:tr>
        <w:trPr>
          <w:trHeight w:val="19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commercial</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972,237</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228,310</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167,794</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151,219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91,521</w:t>
            </w: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618,892</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2,357,954</w:t>
            </w:r>
          </w:p>
        </w:tc>
      </w:tr>
      <w:tr>
        <w:trPr>
          <w:trHeight w:val="143"/>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Commercial real estate: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315,356</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577,080</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473,528</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496,679</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226,747</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357,509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29,290</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2,476,189</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40,462</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69,029</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44,938</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28,018</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27,333</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23,329</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717</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233,826</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12,212</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16,494</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17,895</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14,233</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6,800</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24,553</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1,489</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93,676</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17,409</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5,862</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3,216</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5,635</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1,863</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329</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34,314</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300</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1,337</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3,752</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1,496</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391</w:t>
            </w: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1,733</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9,009</w:t>
            </w:r>
          </w:p>
        </w:tc>
      </w:tr>
      <w:tr>
        <w:trPr>
          <w:trHeight w:val="19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commercial real estate</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385,739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669,802</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543,329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546,061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263,134</w:t>
            </w: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407,453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31,496</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2,847,014</w:t>
            </w:r>
          </w:p>
        </w:tc>
      </w:tr>
      <w:tr>
        <w:trPr>
          <w:trHeight w:val="143"/>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Real estate construction: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61,660</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200,254</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122,501</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1,535</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407</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17,671</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405,327</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9,071</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10,092</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2,411</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2,128</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205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23,907</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673</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2,600</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48</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150</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2,832</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275</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w:t>
            </w:r>
          </w:p>
        </w:tc>
      </w:tr>
      <w:tr>
        <w:trPr>
          <w:trHeight w:val="19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real estate construction</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74,004</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210,358</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125,235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3,697</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762</w:t>
            </w: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17,671</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433,031</w:t>
            </w:r>
          </w:p>
        </w:tc>
      </w:tr>
      <w:tr>
        <w:trPr>
          <w:trHeight w:val="143"/>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Retail real estate: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232,130</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186,986</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172,855</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176,644</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167,885</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340,407</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241,737</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1,518,644</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1,102</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2,221</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1,943</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333</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986</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722</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4,817</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12,124</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526</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174</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1,988</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3,617</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1,487</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214</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333</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160</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751</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1,216</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452</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4,613</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280</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175</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793</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732</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248</w:t>
            </w: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5,437</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1,552</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9,217</w:t>
            </w:r>
          </w:p>
        </w:tc>
      </w:tr>
      <w:tr>
        <w:trPr>
          <w:trHeight w:val="19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retail real estate</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235,525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189,596</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176,098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177,869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171,858</w:t>
            </w: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348,711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248,558</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1,548,215</w:t>
            </w:r>
          </w:p>
        </w:tc>
      </w:tr>
      <w:tr>
        <w:trPr>
          <w:trHeight w:val="143"/>
        </w:trPr>
        <w:tc>
          <w:tcPr>
            <w:tcW w:w="180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Retail other:</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1"/>
        </w:trPr>
        <w:tc>
          <w:tcPr>
            <w:tcW w:w="1800" w:type="dxa"/>
            <w:vAlign w:val="bottom"/>
          </w:tcPr>
          <w:p>
            <w:pPr>
              <w:ind w:left="10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6,101</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12,360</w:t>
            </w:r>
          </w:p>
        </w:tc>
        <w:tc>
          <w:tcPr>
            <w:tcW w:w="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8,099</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4,079</w:t>
            </w:r>
          </w:p>
        </w:tc>
        <w:tc>
          <w:tcPr>
            <w:tcW w:w="2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1,253</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9,677</w:t>
            </w: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42,653</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800" w:type="dxa"/>
            <w:vAlign w:val="bottom"/>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18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63</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156"/>
        </w:trPr>
        <w:tc>
          <w:tcPr>
            <w:tcW w:w="1800" w:type="dxa"/>
            <w:vAlign w:val="bottom"/>
          </w:tcPr>
          <w:p>
            <w:pPr>
              <w:ind w:left="20"/>
              <w:spacing w:after="0"/>
              <w:rPr>
                <w:sz w:val="20"/>
                <w:szCs w:val="20"/>
                <w:color w:val="auto"/>
              </w:rPr>
            </w:pPr>
            <w:r>
              <w:rPr>
                <w:rFonts w:ascii="Arial" w:cs="Arial" w:eastAsia="Arial" w:hAnsi="Arial"/>
                <w:sz w:val="13"/>
                <w:szCs w:val="13"/>
                <w:color w:val="auto"/>
              </w:rPr>
              <w:t>Total retail other</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6,164</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12,367</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8,099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4,081</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1,270</w:t>
            </w: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9,678</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42,806</w:t>
            </w:r>
          </w:p>
        </w:tc>
      </w:tr>
      <w:tr>
        <w:trPr>
          <w:trHeight w:val="20"/>
        </w:trPr>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576"/>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Loans past due, still accruing</w:t>
            </w: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Non-accrual</w:t>
            </w:r>
          </w:p>
        </w:tc>
      </w:tr>
      <w:tr>
        <w:trPr>
          <w:trHeight w:val="169"/>
        </w:trPr>
        <w:tc>
          <w:tcPr>
            <w:tcW w:w="20" w:type="dxa"/>
            <w:vAlign w:val="bottom"/>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30-59 Days</w:t>
            </w:r>
          </w:p>
        </w:tc>
        <w:tc>
          <w:tcPr>
            <w:tcW w:w="5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5"/>
              </w:rPr>
              <w:t>60-89 Days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90+Days</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Loans</w:t>
            </w:r>
          </w:p>
        </w:tc>
      </w:tr>
      <w:tr>
        <w:trPr>
          <w:trHeight w:val="223"/>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35</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r>
      <w:tr>
        <w:trPr>
          <w:trHeight w:val="230"/>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560" w:type="dxa"/>
            <w:vAlign w:val="bottom"/>
          </w:tcPr>
          <w:p>
            <w:pPr>
              <w:spacing w:after="0"/>
              <w:rPr>
                <w:sz w:val="19"/>
                <w:szCs w:val="19"/>
                <w:color w:val="auto"/>
              </w:rPr>
            </w:pPr>
          </w:p>
        </w:tc>
        <w:tc>
          <w:tcPr>
            <w:tcW w:w="1340" w:type="dxa"/>
            <w:vAlign w:val="bottom"/>
          </w:tcPr>
          <w:p>
            <w:pPr>
              <w:jc w:val="right"/>
              <w:ind w:right="255"/>
              <w:spacing w:after="0"/>
              <w:rPr>
                <w:sz w:val="20"/>
                <w:szCs w:val="20"/>
                <w:color w:val="auto"/>
              </w:rPr>
            </w:pPr>
            <w:r>
              <w:rPr>
                <w:rFonts w:ascii="Arial" w:cs="Arial" w:eastAsia="Arial" w:hAnsi="Arial"/>
                <w:sz w:val="18"/>
                <w:szCs w:val="18"/>
                <w:color w:val="auto"/>
              </w:rPr>
              <w:t>242</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9,009</w:t>
            </w:r>
          </w:p>
        </w:tc>
      </w:tr>
      <w:tr>
        <w:trPr>
          <w:trHeight w:val="229"/>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Retail real estate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3,681</w:t>
            </w:r>
          </w:p>
        </w:tc>
        <w:tc>
          <w:tcPr>
            <w:tcW w:w="560" w:type="dxa"/>
            <w:vAlign w:val="bottom"/>
          </w:tcPr>
          <w:p>
            <w:pPr>
              <w:spacing w:after="0"/>
              <w:rPr>
                <w:sz w:val="19"/>
                <w:szCs w:val="19"/>
                <w:color w:val="auto"/>
              </w:rPr>
            </w:pPr>
          </w:p>
        </w:tc>
        <w:tc>
          <w:tcPr>
            <w:tcW w:w="1340" w:type="dxa"/>
            <w:vAlign w:val="bottom"/>
          </w:tcPr>
          <w:p>
            <w:pPr>
              <w:jc w:val="right"/>
              <w:ind w:right="255"/>
              <w:spacing w:after="0"/>
              <w:rPr>
                <w:sz w:val="20"/>
                <w:szCs w:val="20"/>
                <w:color w:val="auto"/>
              </w:rPr>
            </w:pPr>
            <w:r>
              <w:rPr>
                <w:rFonts w:ascii="Arial" w:cs="Arial" w:eastAsia="Arial" w:hAnsi="Arial"/>
                <w:sz w:val="18"/>
                <w:szCs w:val="18"/>
                <w:color w:val="auto"/>
              </w:rPr>
              <w:t>943</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271</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9,217</w:t>
            </w: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36</w:t>
            </w: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20" w:type="dxa"/>
            <w:vAlign w:val="bottom"/>
          </w:tcPr>
          <w:p>
            <w:pPr>
              <w:spacing w:after="0"/>
              <w:rPr>
                <w:sz w:val="19"/>
                <w:szCs w:val="19"/>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1,256</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285</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25,095</w:t>
            </w: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Loans past due, still accruing</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Non-accrual</w:t>
            </w:r>
          </w:p>
        </w:tc>
      </w:tr>
      <w:tr>
        <w:trPr>
          <w:trHeight w:val="169"/>
        </w:trPr>
        <w:tc>
          <w:tcPr>
            <w:tcW w:w="2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30-59 Days</w:t>
            </w: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60-89 Days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90+Days</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Loans</w:t>
            </w:r>
          </w:p>
        </w:tc>
      </w:tr>
      <w:tr>
        <w:trPr>
          <w:trHeight w:val="22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2,653</w:t>
            </w:r>
          </w:p>
        </w:tc>
        <w:tc>
          <w:tcPr>
            <w:tcW w:w="480" w:type="dxa"/>
            <w:vAlign w:val="bottom"/>
          </w:tcPr>
          <w:p>
            <w:pPr>
              <w:spacing w:after="0"/>
              <w:rPr>
                <w:sz w:val="19"/>
                <w:szCs w:val="19"/>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3,121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9,178</w:t>
            </w:r>
          </w:p>
        </w:tc>
      </w:tr>
      <w:tr>
        <w:trPr>
          <w:trHeight w:val="22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27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5,021</w:t>
            </w:r>
          </w:p>
        </w:tc>
        <w:tc>
          <w:tcPr>
            <w:tcW w:w="480" w:type="dxa"/>
            <w:vAlign w:val="bottom"/>
          </w:tcPr>
          <w:p>
            <w:pPr>
              <w:spacing w:after="0"/>
              <w:rPr>
                <w:sz w:val="19"/>
                <w:szCs w:val="19"/>
                <w:color w:val="auto"/>
              </w:rPr>
            </w:pPr>
          </w:p>
        </w:tc>
        <w:tc>
          <w:tcPr>
            <w:tcW w:w="1420" w:type="dxa"/>
            <w:vAlign w:val="bottom"/>
          </w:tcPr>
          <w:p>
            <w:pPr>
              <w:jc w:val="right"/>
              <w:ind w:right="255"/>
              <w:spacing w:after="0"/>
              <w:rPr>
                <w:sz w:val="20"/>
                <w:szCs w:val="20"/>
                <w:color w:val="auto"/>
              </w:rPr>
            </w:pPr>
            <w:r>
              <w:rPr>
                <w:rFonts w:ascii="Arial" w:cs="Arial" w:eastAsia="Arial" w:hAnsi="Arial"/>
                <w:sz w:val="18"/>
                <w:szCs w:val="18"/>
                <w:color w:val="auto"/>
              </w:rPr>
              <w:t>1,248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8,935</w:t>
            </w: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27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w:t>
            </w: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5,451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27,896</w:t>
            </w: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auto"/>
        </w:rPr>
        <w:t>The gross interest income that would have been recorded in the three months ended June 30, 2020 and 2019 if non-accrual loans and 90+ days past due loans had been current in accordance with their original terms was $0.4 million. The gross interest income that would have been recorded in the six months ended June 30, 2020 and 2019 if non-accrual loans and 90+ days past due loans had been current in accordance with their original terms was $0.9 million and $1.1 million, respectively. The amount of interest collected on those loans and recognized on a cash basis that was included in interest income was insignificant for the three and six months ended June 30, 2020 and 2019.</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 summary of troubled debt restructurings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4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22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 compliance with modified terms</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7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4,191</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30 — 89 days past due</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125</w:t>
            </w: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Included in non-performing loans</w:t>
            </w:r>
          </w:p>
        </w:tc>
        <w:tc>
          <w:tcPr>
            <w:tcW w:w="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1,662</w:t>
            </w:r>
          </w:p>
        </w:tc>
        <w:tc>
          <w:tcPr>
            <w:tcW w:w="5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23"/>
        </w:trPr>
        <w:tc>
          <w:tcPr>
            <w:tcW w:w="494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7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5,978</w:t>
            </w:r>
          </w:p>
        </w:tc>
        <w:tc>
          <w:tcPr>
            <w:tcW w:w="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39"/>
        <w:spacing w:after="0" w:line="262" w:lineRule="auto"/>
        <w:rPr>
          <w:sz w:val="20"/>
          <w:szCs w:val="20"/>
          <w:color w:val="auto"/>
        </w:rPr>
      </w:pPr>
      <w:r>
        <w:rPr>
          <w:rFonts w:ascii="Arial" w:cs="Arial" w:eastAsia="Arial" w:hAnsi="Arial"/>
          <w:sz w:val="17"/>
          <w:szCs w:val="17"/>
          <w:color w:val="auto"/>
        </w:rPr>
        <w:t>Loans newly classified as a TDR in compliance with modified terms during the three and six months ended June 30, 2020, included one retail real estate loan for payment modification with a recorded investment of $0.2 million. Loans newly classified as a TDR in compliance with modified terms during the three and six months ended June 30, 2019, included one commercial loan for payment modification with a recorded investment of $0.6 million.</w:t>
      </w:r>
    </w:p>
    <w:p>
      <w:pPr>
        <w:spacing w:after="0" w:line="186" w:lineRule="exact"/>
        <w:rPr>
          <w:sz w:val="20"/>
          <w:szCs w:val="20"/>
          <w:color w:val="auto"/>
        </w:rPr>
      </w:pPr>
    </w:p>
    <w:p>
      <w:pPr>
        <w:ind w:left="60" w:right="479"/>
        <w:spacing w:after="0" w:line="324" w:lineRule="auto"/>
        <w:rPr>
          <w:sz w:val="20"/>
          <w:szCs w:val="20"/>
          <w:color w:val="auto"/>
        </w:rPr>
      </w:pPr>
      <w:r>
        <w:rPr>
          <w:rFonts w:ascii="Arial" w:cs="Arial" w:eastAsia="Arial" w:hAnsi="Arial"/>
          <w:sz w:val="16"/>
          <w:szCs w:val="16"/>
          <w:color w:val="auto"/>
        </w:rPr>
        <w:t>The gross interest income that would have been recorded in the three and six months ended June 30, 2020 and 2019 if TDRs had performed in accordance with their original terms compared with their modified terms was insignificant.</w:t>
      </w:r>
    </w:p>
    <w:p>
      <w:pPr>
        <w:spacing w:after="0" w:line="138"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There were no TDRs that were entered into during the last 12 months that were subsequently classified as non-performing and had payment defaults (a default occurs when a loan is 90 days or more past due or transferred to non-accrual) during the three and six months ended June 30, 2020. One commercial real estate TDR, with a recorded investment of $3.2 million, that was entered into during the prior 12 months, was subsequently classified as non-performing and had payment defaults during the three and six months ended June 30, 2019.</w:t>
      </w:r>
    </w:p>
    <w:p>
      <w:pPr>
        <w:spacing w:after="0" w:line="187" w:lineRule="exact"/>
        <w:rPr>
          <w:sz w:val="20"/>
          <w:szCs w:val="20"/>
          <w:color w:val="auto"/>
        </w:rPr>
      </w:pPr>
    </w:p>
    <w:p>
      <w:pPr>
        <w:ind w:left="60" w:right="279"/>
        <w:spacing w:after="0" w:line="270" w:lineRule="auto"/>
        <w:rPr>
          <w:sz w:val="20"/>
          <w:szCs w:val="20"/>
          <w:color w:val="auto"/>
        </w:rPr>
      </w:pPr>
      <w:r>
        <w:rPr>
          <w:rFonts w:ascii="Arial" w:cs="Arial" w:eastAsia="Arial" w:hAnsi="Arial"/>
          <w:sz w:val="17"/>
          <w:szCs w:val="17"/>
          <w:color w:val="auto"/>
        </w:rPr>
        <w:t>Modified loans with payment deferrals that fall under the Coronavirus Aid, Relief and Economic Security Act (“CARES Act”) or revised Interagency Statement on Loan Modifications and Reporting for Financial Institutions that suspended requirements under GAAP related to TDRs are not included in the Company’s TDR totals.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June 30, 2020, the Company had $1.3 million of residential real estate in the process of foreclosure.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 xml:space="preserve">The following tables provide details of loans evaluated individually, segregated by category. With the adoption of CECL, the Company only evaluated loans with disparate risk characteristics on an individual basis. The unpaid contractual principal balance represents the customer outstanding balance excluding any partial charge-offs. The amortized cost represents customer balances net of any partial charge-offs recognized on the loan. The average amortized cost is calculated using the most recent four quarters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3"/>
                <w:szCs w:val="13"/>
                <w:color w:val="auto"/>
              </w:rPr>
            </w:pPr>
          </w:p>
        </w:tc>
        <w:tc>
          <w:tcPr>
            <w:tcW w:w="92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94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5"/>
                <w:szCs w:val="15"/>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5"/>
                <w:szCs w:val="15"/>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Amortized</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11,739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3,186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6,263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10,847</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9,105</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10,105</w:t>
            </w:r>
          </w:p>
        </w:tc>
        <w:tc>
          <w:tcPr>
            <w:tcW w:w="2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5,371</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4,705</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5,179</w:t>
            </w:r>
          </w:p>
        </w:tc>
        <w:tc>
          <w:tcPr>
            <w:tcW w:w="2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10,817</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19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28,533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17,555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4,551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22,106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97"/>
              <w:spacing w:after="0" w:line="160" w:lineRule="exact"/>
              <w:rPr>
                <w:sz w:val="20"/>
                <w:szCs w:val="20"/>
                <w:color w:val="auto"/>
              </w:rPr>
            </w:pPr>
            <w:r>
              <w:rPr>
                <w:rFonts w:ascii="Arial" w:cs="Arial" w:eastAsia="Arial" w:hAnsi="Arial"/>
                <w:sz w:val="14"/>
                <w:szCs w:val="14"/>
                <w:b w:val="1"/>
                <w:bCs w:val="1"/>
                <w:color w:val="auto"/>
                <w:w w:val="96"/>
              </w:rPr>
              <w:t>Unpaid</w:t>
            </w:r>
          </w:p>
        </w:tc>
        <w:tc>
          <w:tcPr>
            <w:tcW w:w="260" w:type="dxa"/>
            <w:vAlign w:val="bottom"/>
          </w:tcPr>
          <w:p>
            <w:pPr>
              <w:spacing w:after="0"/>
              <w:rPr>
                <w:sz w:val="13"/>
                <w:szCs w:val="13"/>
                <w:color w:val="auto"/>
              </w:rPr>
            </w:pPr>
          </w:p>
        </w:tc>
        <w:tc>
          <w:tcPr>
            <w:tcW w:w="920" w:type="dxa"/>
            <w:vAlign w:val="bottom"/>
          </w:tcPr>
          <w:p>
            <w:pPr>
              <w:jc w:val="center"/>
              <w:ind w:right="117"/>
              <w:spacing w:after="0" w:line="160"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5"/>
                <w:szCs w:val="15"/>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94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Principal</w:t>
            </w:r>
          </w:p>
        </w:tc>
        <w:tc>
          <w:tcPr>
            <w:tcW w:w="260" w:type="dxa"/>
            <w:vAlign w:val="bottom"/>
          </w:tcPr>
          <w:p>
            <w:pPr>
              <w:spacing w:after="0"/>
              <w:rPr>
                <w:sz w:val="15"/>
                <w:szCs w:val="15"/>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with No</w:t>
            </w:r>
          </w:p>
        </w:tc>
        <w:tc>
          <w:tcPr>
            <w:tcW w:w="260" w:type="dxa"/>
            <w:vAlign w:val="bottom"/>
          </w:tcPr>
          <w:p>
            <w:pPr>
              <w:spacing w:after="0"/>
              <w:rPr>
                <w:sz w:val="15"/>
                <w:szCs w:val="15"/>
                <w:color w:val="auto"/>
              </w:rPr>
            </w:pPr>
          </w:p>
        </w:tc>
        <w:tc>
          <w:tcPr>
            <w:tcW w:w="96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5"/>
                <w:szCs w:val="15"/>
                <w:color w:val="auto"/>
              </w:rPr>
            </w:pPr>
          </w:p>
        </w:tc>
        <w:tc>
          <w:tcPr>
            <w:tcW w:w="9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Related</w:t>
            </w:r>
          </w:p>
        </w:tc>
        <w:tc>
          <w:tcPr>
            <w:tcW w:w="26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Amortized</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with Allowance</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Allowance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14,415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4,727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9,753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14,487</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9,883</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2,039</w:t>
            </w: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11,922</w:t>
            </w:r>
          </w:p>
        </w:tc>
        <w:tc>
          <w:tcPr>
            <w:tcW w:w="2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1,049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1,116</w:t>
            </w:r>
          </w:p>
        </w:tc>
        <w:tc>
          <w:tcPr>
            <w:tcW w:w="26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15,581</w:t>
            </w:r>
          </w:p>
        </w:tc>
        <w:tc>
          <w:tcPr>
            <w:tcW w:w="260" w:type="dxa"/>
            <w:vAlign w:val="bottom"/>
          </w:tcPr>
          <w:p>
            <w:pPr>
              <w:spacing w:after="0"/>
              <w:rPr>
                <w:sz w:val="19"/>
                <w:szCs w:val="19"/>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13,898</w:t>
            </w:r>
          </w:p>
        </w:tc>
        <w:tc>
          <w:tcPr>
            <w:tcW w:w="260" w:type="dxa"/>
            <w:vAlign w:val="bottom"/>
          </w:tcPr>
          <w:p>
            <w:pPr>
              <w:spacing w:after="0"/>
              <w:rPr>
                <w:sz w:val="19"/>
                <w:szCs w:val="19"/>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14,372</w:t>
            </w:r>
          </w:p>
        </w:tc>
        <w:tc>
          <w:tcPr>
            <w:tcW w:w="2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19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45,686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29,540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7,539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37,079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4,853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They are written down to the lower of cost or fair value of underlying collateral, less estimated costs to sell. As of June 30, 2020, there were $17.3 million of collateral dependent loans which are secured by real estate or business assets.</w:t>
      </w:r>
    </w:p>
    <w:p>
      <w:pPr>
        <w:spacing w:after="0" w:line="204"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Management estimates the allowance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June 30, 2020, the Company expects the markets in which it operates to experience a decline in economic conditions and an increase in the unemployment rate and level of delinquencies over the next 12 months. Management adjusted the historical loss experience for these expectations with an immediate reversion to historical loss rate beyond this forecast period. PPP loans were excluded from the allowance calculation as they are 100% government guaranteed.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 xml:space="preserve">The following table details activity in the allowance.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6"/>
          </w:tcPr>
          <w:p>
            <w:pPr>
              <w:jc w:val="center"/>
              <w:ind w:left="374"/>
              <w:spacing w:after="0"/>
              <w:rPr>
                <w:sz w:val="20"/>
                <w:szCs w:val="20"/>
                <w:color w:val="auto"/>
              </w:rPr>
            </w:pPr>
            <w:r>
              <w:rPr>
                <w:rFonts w:ascii="Arial" w:cs="Arial" w:eastAsia="Arial" w:hAnsi="Arial"/>
                <w:sz w:val="14"/>
                <w:szCs w:val="14"/>
                <w:b w:val="1"/>
                <w:bCs w:val="1"/>
                <w:color w:val="auto"/>
                <w:w w:val="92"/>
              </w:rPr>
              <w:t>As of and for the Three Months Ended June 30, 2020</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ind w:left="220"/>
              <w:spacing w:after="0" w:line="160" w:lineRule="exact"/>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3"/>
                <w:szCs w:val="13"/>
                <w:color w:val="auto"/>
              </w:rPr>
            </w:pPr>
          </w:p>
        </w:tc>
        <w:tc>
          <w:tcPr>
            <w:tcW w:w="920" w:type="dxa"/>
            <w:vAlign w:val="bottom"/>
          </w:tcPr>
          <w:p>
            <w:pPr>
              <w:jc w:val="right"/>
              <w:ind w:right="112"/>
              <w:spacing w:after="0" w:line="160" w:lineRule="exact"/>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3"/>
                <w:szCs w:val="13"/>
                <w:color w:val="auto"/>
              </w:rPr>
            </w:pPr>
          </w:p>
        </w:tc>
        <w:tc>
          <w:tcPr>
            <w:tcW w:w="980" w:type="dxa"/>
            <w:vAlign w:val="bottom"/>
          </w:tcPr>
          <w:p>
            <w:pPr>
              <w:jc w:val="center"/>
              <w:ind w:right="9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6"/>
                <w:szCs w:val="16"/>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Real Estate</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Pr>
          <w:p>
            <w:pPr>
              <w:spacing w:after="0"/>
              <w:rPr>
                <w:sz w:val="16"/>
                <w:szCs w:val="16"/>
                <w:color w:val="auto"/>
              </w:rPr>
            </w:pPr>
          </w:p>
        </w:tc>
        <w:tc>
          <w:tcPr>
            <w:tcW w:w="98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Estate</w:t>
            </w:r>
          </w:p>
        </w:tc>
        <w:tc>
          <w:tcPr>
            <w:tcW w:w="11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22,725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35,967</w:t>
            </w:r>
          </w:p>
        </w:tc>
        <w:tc>
          <w:tcPr>
            <w:tcW w:w="2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7,193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17,454</w:t>
            </w:r>
          </w:p>
        </w:tc>
        <w:tc>
          <w:tcPr>
            <w:tcW w:w="5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1,045</w:t>
            </w:r>
          </w:p>
        </w:tc>
        <w:tc>
          <w:tcPr>
            <w:tcW w:w="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2,473</w:t>
            </w:r>
          </w:p>
        </w:tc>
        <w:tc>
          <w:tcPr>
            <w:tcW w:w="24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6,861</w:t>
            </w:r>
          </w:p>
        </w:tc>
        <w:tc>
          <w:tcPr>
            <w:tcW w:w="24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2,981</w:t>
            </w:r>
          </w:p>
        </w:tc>
        <w:tc>
          <w:tcPr>
            <w:tcW w:w="56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(292)</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262</w:t>
            </w: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42,680</w:t>
            </w:r>
          </w:p>
        </w:tc>
        <w:tc>
          <w:tcPr>
            <w:tcW w:w="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7,792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20,405</w:t>
            </w:r>
          </w:p>
        </w:tc>
        <w:tc>
          <w:tcPr>
            <w:tcW w:w="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1,023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gridSpan w:val="6"/>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3860" w:type="dxa"/>
            <w:vAlign w:val="bottom"/>
            <w:tcBorders>
              <w:bottom w:val="single" w:sz="8" w:color="auto"/>
            </w:tcBorders>
            <w:gridSpan w:val="6"/>
            <w:shd w:val="clear" w:color="auto" w:fill="CCEEFF"/>
          </w:tcPr>
          <w:p>
            <w:pPr>
              <w:jc w:val="center"/>
              <w:ind w:left="374"/>
              <w:spacing w:after="0"/>
              <w:rPr>
                <w:sz w:val="20"/>
                <w:szCs w:val="20"/>
                <w:color w:val="auto"/>
              </w:rPr>
            </w:pPr>
            <w:r>
              <w:rPr>
                <w:rFonts w:ascii="Arial" w:cs="Arial" w:eastAsia="Arial" w:hAnsi="Arial"/>
                <w:sz w:val="14"/>
                <w:szCs w:val="14"/>
                <w:b w:val="1"/>
                <w:bCs w:val="1"/>
                <w:color w:val="auto"/>
                <w:w w:val="92"/>
              </w:rPr>
              <w:t>As of and for the Six Months Ended June 30, 2020</w:t>
            </w:r>
          </w:p>
        </w:tc>
        <w:tc>
          <w:tcPr>
            <w:tcW w:w="6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Real Estate</w:t>
            </w:r>
          </w:p>
        </w:tc>
        <w:tc>
          <w:tcPr>
            <w:tcW w:w="240" w:type="dxa"/>
            <w:vAlign w:val="bottom"/>
          </w:tcPr>
          <w:p>
            <w:pPr>
              <w:spacing w:after="0"/>
              <w:rPr>
                <w:sz w:val="15"/>
                <w:szCs w:val="15"/>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Retail Real</w:t>
            </w: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w w:val="92"/>
              </w:rPr>
              <w:t>Real Estate</w:t>
            </w:r>
          </w:p>
        </w:tc>
        <w:tc>
          <w:tcPr>
            <w:tcW w:w="116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4"/>
                <w:szCs w:val="14"/>
                <w:b w:val="1"/>
                <w:bCs w:val="1"/>
                <w:color w:val="auto"/>
                <w:w w:val="90"/>
              </w:rPr>
              <w:t>Estate</w:t>
            </w:r>
          </w:p>
        </w:tc>
        <w:tc>
          <w:tcPr>
            <w:tcW w:w="118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60" w:type="dxa"/>
            <w:vAlign w:val="bottom"/>
          </w:tcPr>
          <w:p>
            <w:pPr>
              <w:ind w:left="20"/>
              <w:spacing w:after="0"/>
              <w:rPr>
                <w:sz w:val="20"/>
                <w:szCs w:val="20"/>
                <w:color w:val="auto"/>
              </w:rPr>
            </w:pPr>
            <w:r>
              <w:rPr>
                <w:rFonts w:ascii="Arial" w:cs="Arial" w:eastAsia="Arial" w:hAnsi="Arial"/>
                <w:sz w:val="16"/>
                <w:szCs w:val="16"/>
                <w:color w:val="auto"/>
              </w:rPr>
              <w:t>Beginning balance, prior to</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color w:val="auto"/>
              </w:rPr>
              <w:t>18,291</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4"/>
              <w:spacing w:after="0"/>
              <w:rPr>
                <w:sz w:val="20"/>
                <w:szCs w:val="20"/>
                <w:color w:val="auto"/>
              </w:rPr>
            </w:pPr>
            <w:r>
              <w:rPr>
                <w:rFonts w:ascii="Arial" w:cs="Arial" w:eastAsia="Arial" w:hAnsi="Arial"/>
                <w:sz w:val="18"/>
                <w:szCs w:val="18"/>
                <w:color w:val="auto"/>
              </w:rPr>
              <w:t>21,190</w:t>
            </w:r>
          </w:p>
        </w:tc>
        <w:tc>
          <w:tcPr>
            <w:tcW w:w="240" w:type="dxa"/>
            <w:vAlign w:val="bottom"/>
            <w:vMerge w:val="restart"/>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color w:val="auto"/>
              </w:rPr>
              <w:t>3,204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5"/>
              <w:spacing w:after="0"/>
              <w:rPr>
                <w:sz w:val="20"/>
                <w:szCs w:val="20"/>
                <w:color w:val="auto"/>
              </w:rPr>
            </w:pPr>
            <w:r>
              <w:rPr>
                <w:rFonts w:ascii="Arial" w:cs="Arial" w:eastAsia="Arial" w:hAnsi="Arial"/>
                <w:sz w:val="18"/>
                <w:szCs w:val="18"/>
                <w:color w:val="auto"/>
              </w:rPr>
              <w:t>10,495</w:t>
            </w:r>
          </w:p>
        </w:tc>
        <w:tc>
          <w:tcPr>
            <w:tcW w:w="560" w:type="dxa"/>
            <w:vAlign w:val="bottom"/>
            <w:vMerge w:val="restart"/>
          </w:tcPr>
          <w:p>
            <w:pPr>
              <w:jc w:val="right"/>
              <w:ind w:right="256"/>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568</w:t>
            </w: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53,748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60" w:type="dxa"/>
            <w:vAlign w:val="bottom"/>
          </w:tcPr>
          <w:p>
            <w:pPr>
              <w:ind w:left="140"/>
              <w:spacing w:after="0"/>
              <w:rPr>
                <w:sz w:val="20"/>
                <w:szCs w:val="20"/>
                <w:color w:val="auto"/>
              </w:rPr>
            </w:pPr>
            <w:r>
              <w:rPr>
                <w:rFonts w:ascii="Arial" w:cs="Arial" w:eastAsia="Arial" w:hAnsi="Arial"/>
                <w:sz w:val="16"/>
                <w:szCs w:val="16"/>
                <w:color w:val="auto"/>
              </w:rPr>
              <w:t>adoption of ASC 326</w:t>
            </w:r>
          </w:p>
        </w:tc>
        <w:tc>
          <w:tcPr>
            <w:tcW w:w="24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ASC 326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9,306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2,954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3,292</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566</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8,146</w:t>
            </w:r>
          </w:p>
        </w:tc>
        <w:tc>
          <w:tcPr>
            <w:tcW w:w="24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13,387</w:t>
            </w:r>
          </w:p>
        </w:tc>
        <w:tc>
          <w:tcPr>
            <w:tcW w:w="24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1,463</w:t>
            </w:r>
          </w:p>
        </w:tc>
        <w:tc>
          <w:tcPr>
            <w:tcW w:w="24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7,018</w:t>
            </w:r>
          </w:p>
        </w:tc>
        <w:tc>
          <w:tcPr>
            <w:tcW w:w="56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600</w:t>
            </w: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42,680</w:t>
            </w:r>
          </w:p>
        </w:tc>
        <w:tc>
          <w:tcPr>
            <w:tcW w:w="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7,792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20,405</w:t>
            </w:r>
          </w:p>
        </w:tc>
        <w:tc>
          <w:tcPr>
            <w:tcW w:w="5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1,023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gridSpan w:val="6"/>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334"/>
              <w:spacing w:after="0"/>
              <w:rPr>
                <w:sz w:val="20"/>
                <w:szCs w:val="20"/>
                <w:color w:val="auto"/>
              </w:rPr>
            </w:pPr>
            <w:r>
              <w:rPr>
                <w:rFonts w:ascii="Arial" w:cs="Arial" w:eastAsia="Arial" w:hAnsi="Arial"/>
                <w:sz w:val="14"/>
                <w:szCs w:val="14"/>
                <w:b w:val="1"/>
                <w:bCs w:val="1"/>
                <w:color w:val="auto"/>
                <w:w w:val="92"/>
              </w:rPr>
              <w:t>As of and for the Three Months Ended June 30, 2019</w:t>
            </w: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jc w:val="right"/>
              <w:ind w:right="134"/>
              <w:spacing w:after="0" w:line="160" w:lineRule="exact"/>
              <w:rPr>
                <w:sz w:val="20"/>
                <w:szCs w:val="20"/>
                <w:color w:val="auto"/>
              </w:rPr>
            </w:pPr>
            <w:r>
              <w:rPr>
                <w:rFonts w:ascii="Arial" w:cs="Arial" w:eastAsia="Arial" w:hAnsi="Arial"/>
                <w:sz w:val="14"/>
                <w:szCs w:val="14"/>
                <w:b w:val="1"/>
                <w:bCs w:val="1"/>
                <w:color w:val="auto"/>
              </w:rPr>
              <w:t>Commercial</w:t>
            </w:r>
          </w:p>
        </w:tc>
        <w:tc>
          <w:tcPr>
            <w:tcW w:w="1160" w:type="dxa"/>
            <w:vAlign w:val="bottom"/>
            <w:gridSpan w:val="2"/>
          </w:tcPr>
          <w:p>
            <w:pPr>
              <w:ind w:left="220"/>
              <w:spacing w:after="0" w:line="160" w:lineRule="exact"/>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3"/>
                <w:szCs w:val="13"/>
                <w:color w:val="auto"/>
              </w:rPr>
            </w:pPr>
          </w:p>
        </w:tc>
        <w:tc>
          <w:tcPr>
            <w:tcW w:w="980" w:type="dxa"/>
            <w:vAlign w:val="bottom"/>
          </w:tcPr>
          <w:p>
            <w:pPr>
              <w:jc w:val="center"/>
              <w:ind w:right="175"/>
              <w:spacing w:after="0" w:line="160" w:lineRule="exact"/>
              <w:rPr>
                <w:sz w:val="20"/>
                <w:szCs w:val="20"/>
                <w:color w:val="auto"/>
              </w:rPr>
            </w:pPr>
            <w:r>
              <w:rPr>
                <w:rFonts w:ascii="Arial" w:cs="Arial" w:eastAsia="Arial" w:hAnsi="Arial"/>
                <w:sz w:val="14"/>
                <w:szCs w:val="14"/>
                <w:b w:val="1"/>
                <w:bCs w:val="1"/>
                <w:color w:val="auto"/>
                <w:w w:val="94"/>
              </w:rPr>
              <w:t>Retail Real</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9"/>
              </w:rPr>
              <w:t>Commercial</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Real Estate</w:t>
            </w:r>
          </w:p>
        </w:tc>
        <w:tc>
          <w:tcPr>
            <w:tcW w:w="11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Pr>
          <w:p>
            <w:pPr>
              <w:spacing w:after="0"/>
              <w:rPr>
                <w:sz w:val="16"/>
                <w:szCs w:val="16"/>
                <w:color w:val="auto"/>
              </w:rPr>
            </w:pPr>
          </w:p>
        </w:tc>
        <w:tc>
          <w:tcPr>
            <w:tcW w:w="98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Estate</w:t>
            </w:r>
          </w:p>
        </w:tc>
        <w:tc>
          <w:tcPr>
            <w:tcW w:w="11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Pr>
          <w:p>
            <w:pPr>
              <w:spacing w:after="0"/>
              <w:rPr>
                <w:sz w:val="16"/>
                <w:szCs w:val="16"/>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17,998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20,097</w:t>
            </w: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2,807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9,503</w:t>
            </w:r>
          </w:p>
        </w:tc>
        <w:tc>
          <w:tcPr>
            <w:tcW w:w="56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510</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6"/>
                <w:szCs w:val="16"/>
                <w:color w:val="auto"/>
              </w:rPr>
              <w:t>Provision for loan 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941</w:t>
            </w:r>
          </w:p>
        </w:tc>
        <w:tc>
          <w:tcPr>
            <w:tcW w:w="5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(200)</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369</w:t>
            </w: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103</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16,733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20,188</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3,305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10,613</w:t>
            </w:r>
          </w:p>
        </w:tc>
        <w:tc>
          <w:tcPr>
            <w:tcW w:w="5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gridSpan w:val="6"/>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860" w:type="dxa"/>
            <w:vAlign w:val="bottom"/>
            <w:tcBorders>
              <w:bottom w:val="single" w:sz="8" w:color="auto"/>
            </w:tcBorders>
            <w:gridSpan w:val="6"/>
            <w:shd w:val="clear" w:color="auto" w:fill="CCEEFF"/>
          </w:tcPr>
          <w:p>
            <w:pPr>
              <w:jc w:val="center"/>
              <w:ind w:left="334"/>
              <w:spacing w:after="0"/>
              <w:rPr>
                <w:sz w:val="20"/>
                <w:szCs w:val="20"/>
                <w:color w:val="auto"/>
              </w:rPr>
            </w:pPr>
            <w:r>
              <w:rPr>
                <w:rFonts w:ascii="Arial" w:cs="Arial" w:eastAsia="Arial" w:hAnsi="Arial"/>
                <w:sz w:val="14"/>
                <w:szCs w:val="14"/>
                <w:b w:val="1"/>
                <w:bCs w:val="1"/>
                <w:color w:val="auto"/>
                <w:w w:val="92"/>
              </w:rPr>
              <w:t>As of and for the Six Months Ended June 30, 2019</w:t>
            </w:r>
          </w:p>
        </w:tc>
        <w:tc>
          <w:tcPr>
            <w:tcW w:w="6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Commercial</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8"/>
                <w:szCs w:val="18"/>
                <w:color w:val="auto"/>
              </w:rPr>
            </w:pPr>
          </w:p>
        </w:tc>
        <w:tc>
          <w:tcPr>
            <w:tcW w:w="98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Retail Real</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b w:val="1"/>
                <w:bCs w:val="1"/>
                <w:color w:val="auto"/>
                <w:w w:val="99"/>
              </w:rPr>
              <w:t>Commercial</w:t>
            </w:r>
          </w:p>
        </w:tc>
        <w:tc>
          <w:tcPr>
            <w:tcW w:w="11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Real Estate</w:t>
            </w:r>
          </w:p>
        </w:tc>
        <w:tc>
          <w:tcPr>
            <w:tcW w:w="1160" w:type="dxa"/>
            <w:vAlign w:val="bottom"/>
            <w:tcBorders>
              <w:bottom w:val="single" w:sz="8" w:color="auto"/>
            </w:tcBorders>
            <w:gridSpan w:val="2"/>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right="195"/>
              <w:spacing w:after="0"/>
              <w:rPr>
                <w:sz w:val="20"/>
                <w:szCs w:val="20"/>
                <w:color w:val="auto"/>
              </w:rPr>
            </w:pPr>
            <w:r>
              <w:rPr>
                <w:rFonts w:ascii="Arial" w:cs="Arial" w:eastAsia="Arial" w:hAnsi="Arial"/>
                <w:sz w:val="14"/>
                <w:szCs w:val="14"/>
                <w:b w:val="1"/>
                <w:bCs w:val="1"/>
                <w:color w:val="auto"/>
                <w:w w:val="90"/>
              </w:rPr>
              <w:t>Estate</w:t>
            </w:r>
          </w:p>
        </w:tc>
        <w:tc>
          <w:tcPr>
            <w:tcW w:w="118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17,829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21,137</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2,723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8,471</w:t>
            </w:r>
          </w:p>
        </w:tc>
        <w:tc>
          <w:tcPr>
            <w:tcW w:w="5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488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loan losses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(1,186)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2,298</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6"/>
                <w:szCs w:val="16"/>
                <w:color w:val="auto"/>
              </w:rPr>
              <w:t>Charged-off</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(4,370)</w:t>
            </w:r>
          </w:p>
        </w:tc>
        <w:tc>
          <w:tcPr>
            <w:tcW w:w="24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(717)</w:t>
            </w:r>
          </w:p>
        </w:tc>
        <w:tc>
          <w:tcPr>
            <w:tcW w:w="56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Recoveries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320</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252</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561</w:t>
            </w:r>
          </w:p>
        </w:tc>
        <w:tc>
          <w:tcPr>
            <w:tcW w:w="5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207</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16,733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20,188</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10,613</w:t>
            </w:r>
          </w:p>
        </w:tc>
        <w:tc>
          <w:tcPr>
            <w:tcW w:w="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The following table presents the allowance and amortized cost of portfolio loans by category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As of June 30, 2020</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Commercial</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5"/>
                <w:szCs w:val="15"/>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Retail Real</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Real Estate</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8"/>
              </w:rPr>
              <w:t>Construction</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Estate</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Allowance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8"/>
              </w:rPr>
              <w:t>Loans individually evaluated for</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30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22,898</w:t>
            </w:r>
          </w:p>
        </w:tc>
        <w:tc>
          <w:tcPr>
            <w:tcW w:w="200" w:type="dxa"/>
            <w:vAlign w:val="bottom"/>
          </w:tcPr>
          <w:p>
            <w:pPr>
              <w:spacing w:after="0"/>
              <w:rPr>
                <w:sz w:val="20"/>
                <w:szCs w:val="2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42,194</w:t>
            </w:r>
          </w:p>
        </w:tc>
        <w:tc>
          <w:tcPr>
            <w:tcW w:w="220" w:type="dxa"/>
            <w:vAlign w:val="bottom"/>
          </w:tcPr>
          <w:p>
            <w:pPr>
              <w:spacing w:after="0"/>
              <w:rPr>
                <w:sz w:val="20"/>
                <w:szCs w:val="2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color w:val="auto"/>
              </w:rPr>
              <w:t>7,792</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19,931</w:t>
            </w:r>
          </w:p>
        </w:tc>
        <w:tc>
          <w:tcPr>
            <w:tcW w:w="26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93,838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42,680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20,405</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8"/>
              </w:rPr>
              <w:t>Loans individually evaluated for</w:t>
            </w: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6,263</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10,105</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color w:val="auto"/>
              </w:rPr>
              <w:t>559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5,179</w:t>
            </w:r>
          </w:p>
        </w:tc>
        <w:tc>
          <w:tcPr>
            <w:tcW w:w="2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impairment</w:t>
            </w:r>
          </w:p>
        </w:tc>
        <w:tc>
          <w:tcPr>
            <w:tcW w:w="300" w:type="dxa"/>
            <w:vAlign w:val="bottom"/>
            <w:gridSpan w:val="3"/>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2"/>
              </w:rPr>
              <w:t>2,351,687</w:t>
            </w: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4"/>
              </w:rPr>
              <w:t>2,834,987</w:t>
            </w:r>
          </w:p>
        </w:tc>
        <w:tc>
          <w:tcPr>
            <w:tcW w:w="22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8"/>
              </w:rPr>
              <w:t>432,217</w:t>
            </w:r>
          </w:p>
        </w:tc>
        <w:tc>
          <w:tcPr>
            <w:tcW w:w="18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4"/>
              </w:rPr>
              <w:t>1,542,624</w:t>
            </w:r>
          </w:p>
        </w:tc>
        <w:tc>
          <w:tcPr>
            <w:tcW w:w="26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42,806</w:t>
            </w:r>
          </w:p>
        </w:tc>
        <w:tc>
          <w:tcPr>
            <w:tcW w:w="24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7,204,321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PCD loans evaluated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1,922</w:t>
            </w:r>
          </w:p>
        </w:tc>
        <w:tc>
          <w:tcPr>
            <w:tcW w:w="220" w:type="dxa"/>
            <w:vAlign w:val="bottom"/>
          </w:tcPr>
          <w:p>
            <w:pPr>
              <w:spacing w:after="0"/>
              <w:rPr>
                <w:sz w:val="20"/>
                <w:szCs w:val="20"/>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2,357,954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2,847,014</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433,031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1,548,215</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42,806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7,229,020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w w:val="92"/>
              </w:rPr>
              <w:t>As of December 31, 2019</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4"/>
              </w:rPr>
              <w:t>Commercial</w:t>
            </w:r>
          </w:p>
        </w:tc>
        <w:tc>
          <w:tcPr>
            <w:tcW w:w="1000" w:type="dxa"/>
            <w:vAlign w:val="bottom"/>
            <w:gridSpan w:val="2"/>
          </w:tcPr>
          <w:p>
            <w:pPr>
              <w:jc w:val="right"/>
              <w:ind w:right="52"/>
              <w:spacing w:after="0" w:line="160" w:lineRule="exact"/>
              <w:rPr>
                <w:sz w:val="20"/>
                <w:szCs w:val="20"/>
                <w:color w:val="auto"/>
              </w:rPr>
            </w:pPr>
            <w:r>
              <w:rPr>
                <w:rFonts w:ascii="Arial" w:cs="Arial" w:eastAsia="Arial" w:hAnsi="Arial"/>
                <w:sz w:val="14"/>
                <w:szCs w:val="14"/>
                <w:b w:val="1"/>
                <w:bCs w:val="1"/>
                <w:color w:val="auto"/>
              </w:rPr>
              <w:t>Real Estate</w:t>
            </w:r>
          </w:p>
        </w:tc>
        <w:tc>
          <w:tcPr>
            <w:tcW w:w="180" w:type="dxa"/>
            <w:vAlign w:val="bottom"/>
          </w:tcPr>
          <w:p>
            <w:pPr>
              <w:spacing w:after="0"/>
              <w:rPr>
                <w:sz w:val="13"/>
                <w:szCs w:val="13"/>
                <w:color w:val="auto"/>
              </w:rPr>
            </w:pPr>
          </w:p>
        </w:tc>
        <w:tc>
          <w:tcPr>
            <w:tcW w:w="900" w:type="dxa"/>
            <w:vAlign w:val="bottom"/>
          </w:tcPr>
          <w:p>
            <w:pPr>
              <w:jc w:val="center"/>
              <w:ind w:right="94"/>
              <w:spacing w:after="0" w:line="160" w:lineRule="exact"/>
              <w:rPr>
                <w:sz w:val="20"/>
                <w:szCs w:val="20"/>
                <w:color w:val="auto"/>
              </w:rPr>
            </w:pPr>
            <w:r>
              <w:rPr>
                <w:rFonts w:ascii="Arial" w:cs="Arial" w:eastAsia="Arial" w:hAnsi="Arial"/>
                <w:sz w:val="14"/>
                <w:szCs w:val="14"/>
                <w:b w:val="1"/>
                <w:bCs w:val="1"/>
                <w:color w:val="auto"/>
                <w:w w:val="94"/>
              </w:rPr>
              <w:t>Retail Real</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6"/>
                <w:szCs w:val="16"/>
                <w:color w:val="auto"/>
              </w:rPr>
            </w:pPr>
          </w:p>
        </w:tc>
        <w:tc>
          <w:tcPr>
            <w:tcW w:w="90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Real Estate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Pr>
          <w:p>
            <w:pPr>
              <w:spacing w:after="0"/>
              <w:rPr>
                <w:sz w:val="16"/>
                <w:szCs w:val="16"/>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Estate</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Pr>
          <w:p>
            <w:pPr>
              <w:spacing w:after="0"/>
              <w:rPr>
                <w:sz w:val="16"/>
                <w:szCs w:val="16"/>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Allowance</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Loans individually evaluated for</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3,330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1,049</w:t>
            </w: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474</w:t>
            </w:r>
          </w:p>
        </w:tc>
        <w:tc>
          <w:tcPr>
            <w:tcW w:w="26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30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14,961</w:t>
            </w:r>
          </w:p>
        </w:tc>
        <w:tc>
          <w:tcPr>
            <w:tcW w:w="200" w:type="dxa"/>
            <w:vAlign w:val="bottom"/>
          </w:tcPr>
          <w:p>
            <w:pPr>
              <w:spacing w:after="0"/>
              <w:rPr>
                <w:sz w:val="20"/>
                <w:szCs w:val="2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20,141</w:t>
            </w:r>
          </w:p>
        </w:tc>
        <w:tc>
          <w:tcPr>
            <w:tcW w:w="220" w:type="dxa"/>
            <w:vAlign w:val="bottom"/>
          </w:tcPr>
          <w:p>
            <w:pPr>
              <w:spacing w:after="0"/>
              <w:rPr>
                <w:sz w:val="20"/>
                <w:szCs w:val="2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3,204</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10,021</w:t>
            </w:r>
          </w:p>
        </w:tc>
        <w:tc>
          <w:tcPr>
            <w:tcW w:w="26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48,895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21,190</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10,495</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9"/>
              </w:rPr>
              <w:t>Loans individually evaluated for</w:t>
            </w: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9,740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10,018</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539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13,676</w:t>
            </w:r>
          </w:p>
        </w:tc>
        <w:tc>
          <w:tcPr>
            <w:tcW w:w="2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34,031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impairment</w:t>
            </w:r>
          </w:p>
        </w:tc>
        <w:tc>
          <w:tcPr>
            <w:tcW w:w="300" w:type="dxa"/>
            <w:vAlign w:val="bottom"/>
            <w:gridSpan w:val="3"/>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Loans collectively evaluated for</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9"/>
              </w:rPr>
              <w:t>1,738,615</w:t>
            </w:r>
          </w:p>
        </w:tc>
        <w:tc>
          <w:tcPr>
            <w:tcW w:w="2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4"/>
              </w:rPr>
              <w:t>2,781,495</w:t>
            </w:r>
          </w:p>
        </w:tc>
        <w:tc>
          <w:tcPr>
            <w:tcW w:w="22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5"/>
              </w:rPr>
              <w:t>400,887</w:t>
            </w:r>
          </w:p>
        </w:tc>
        <w:tc>
          <w:tcPr>
            <w:tcW w:w="18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4"/>
              </w:rPr>
              <w:t>1,679,397</w:t>
            </w:r>
          </w:p>
        </w:tc>
        <w:tc>
          <w:tcPr>
            <w:tcW w:w="26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49,776</w:t>
            </w:r>
          </w:p>
        </w:tc>
        <w:tc>
          <w:tcPr>
            <w:tcW w:w="24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6,650,170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PCI loans evaluated for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1,904</w:t>
            </w:r>
          </w:p>
        </w:tc>
        <w:tc>
          <w:tcPr>
            <w:tcW w:w="220" w:type="dxa"/>
            <w:vAlign w:val="bottom"/>
          </w:tcPr>
          <w:p>
            <w:pPr>
              <w:spacing w:after="0"/>
              <w:rPr>
                <w:sz w:val="20"/>
                <w:szCs w:val="20"/>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0"/>
                <w:szCs w:val="20"/>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20"/>
                <w:szCs w:val="20"/>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1,748,368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2,793,417</w:t>
            </w:r>
          </w:p>
        </w:tc>
        <w:tc>
          <w:tcPr>
            <w:tcW w:w="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5"/>
              </w:rPr>
              <w:t>401,861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1,693,769</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49,834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6,687,249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Deposits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39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December 31, 2019</w:t>
            </w:r>
          </w:p>
        </w:tc>
      </w:tr>
      <w:tr>
        <w:trPr>
          <w:trHeight w:val="22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2,764,408</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1,832,619</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Interest-bearing transaction deposits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ind w:right="93"/>
              <w:spacing w:after="0"/>
              <w:rPr>
                <w:sz w:val="20"/>
                <w:szCs w:val="20"/>
                <w:color w:val="auto"/>
              </w:rPr>
            </w:pPr>
            <w:r>
              <w:rPr>
                <w:rFonts w:ascii="Arial" w:cs="Arial" w:eastAsia="Arial" w:hAnsi="Arial"/>
                <w:sz w:val="18"/>
                <w:szCs w:val="18"/>
                <w:color w:val="auto"/>
              </w:rPr>
              <w:t>2,226,488</w:t>
            </w: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1,989,854</w:t>
            </w: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Saving deposits and money market deposits</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2,555,273</w:t>
            </w: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2,545,073</w:t>
            </w:r>
          </w:p>
        </w:tc>
      </w:tr>
      <w:tr>
        <w:trPr>
          <w:trHeight w:val="229"/>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deposits</w:t>
            </w:r>
          </w:p>
        </w:tc>
        <w:tc>
          <w:tcPr>
            <w:tcW w:w="8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1,363,497</w:t>
            </w: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1,534,850</w:t>
            </w: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8,909,666</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7,902,396</w:t>
            </w:r>
          </w:p>
        </w:tc>
      </w:tr>
      <w:tr>
        <w:trPr>
          <w:trHeight w:val="20"/>
        </w:trPr>
        <w:tc>
          <w:tcPr>
            <w:tcW w:w="3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The Company held brokered saving deposits and money market deposits of $31.3 million and $12.5 million at June 30, 2020 and December 31, 2019, respectively.</w:t>
      </w:r>
    </w:p>
    <w:p>
      <w:pPr>
        <w:spacing w:after="0" w:line="18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aggregate amount of time deposits with a minimum denomination of $100,000 was approximately $745.1 million and $854.1 million at June 30, 2020 and December 31, 2019, respectively. The aggregate amount of time deposits with a minimum denomination that meets or exceeds the Federal Deposit Insurance Corporation (“FDIC”) insurance limit of $250,000 was approximately $282.9 million and $297.4 million at June 30, 2020 and December 31, 2019, respectively. The Company held brokered time deposits of $5.3 million and $5.5 million at June 30, 2020 and December 31, 2019, respectively.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As of June 30, 2020,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July 1, 2020 - June 31, 2021</w:t>
            </w:r>
          </w:p>
        </w:tc>
        <w:tc>
          <w:tcPr>
            <w:tcW w:w="308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893,481</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July 1, 2021 - June 31, 2022</w:t>
            </w:r>
          </w:p>
        </w:tc>
        <w:tc>
          <w:tcPr>
            <w:tcW w:w="2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291,959</w:t>
            </w:r>
          </w:p>
        </w:tc>
      </w:tr>
      <w:tr>
        <w:trPr>
          <w:trHeight w:val="22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July 1, 2022 - June 31, 2023</w:t>
            </w:r>
          </w:p>
        </w:tc>
        <w:tc>
          <w:tcPr>
            <w:tcW w:w="2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80,966</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July 1, 2023 - June 31, 2024</w:t>
            </w:r>
          </w:p>
        </w:tc>
        <w:tc>
          <w:tcPr>
            <w:tcW w:w="2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75,481</w:t>
            </w: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July 1, 2024 - June 31, 2025</w:t>
            </w:r>
          </w:p>
        </w:tc>
        <w:tc>
          <w:tcPr>
            <w:tcW w:w="2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21,596</w:t>
            </w:r>
          </w:p>
        </w:tc>
      </w:tr>
      <w:tr>
        <w:trPr>
          <w:trHeight w:val="230"/>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1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1,363,497</w:t>
            </w:r>
          </w:p>
        </w:tc>
      </w:tr>
      <w:tr>
        <w:trPr>
          <w:trHeight w:val="20"/>
        </w:trPr>
        <w:tc>
          <w:tcPr>
            <w:tcW w:w="4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Borrowings</w:t>
      </w:r>
    </w:p>
    <w:p>
      <w:pPr>
        <w:spacing w:after="0" w:line="229" w:lineRule="exact"/>
        <w:rPr>
          <w:sz w:val="20"/>
          <w:szCs w:val="20"/>
          <w:color w:val="auto"/>
        </w:rPr>
      </w:pPr>
    </w:p>
    <w:p>
      <w:pPr>
        <w:ind w:left="60" w:right="339"/>
        <w:spacing w:after="0" w:line="262" w:lineRule="auto"/>
        <w:rPr>
          <w:sz w:val="20"/>
          <w:szCs w:val="20"/>
          <w:color w:val="auto"/>
        </w:rPr>
      </w:pPr>
      <w:r>
        <w:rPr>
          <w:rFonts w:ascii="Arial" w:cs="Arial" w:eastAsia="Arial" w:hAnsi="Arial"/>
          <w:sz w:val="17"/>
          <w:szCs w:val="17"/>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Short-term borrowings include $4.6 million of FHLB advances which mature in less than one year from date of origination.</w:t>
      </w:r>
    </w:p>
    <w:p>
      <w:pPr>
        <w:spacing w:after="0" w:line="248"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On January 29, 2019, the Company entered into an Amended and Restated Credit Agreement providing for a $60.0 million term loan (the “Term Loan”) with a maturity date of November 30, 2023. The Term Loan had an annual interest rate of one-month LIBOR plus a spread of 1.50%. The proceeds of the Term Loan were used to fund the cash consideration related to the acquisition of Banc Ed. The Company, at its option, repaid the balance of the Term Loan during the first quarter of 2020.</w:t>
      </w:r>
    </w:p>
    <w:p>
      <w:pPr>
        <w:spacing w:after="0" w:line="203" w:lineRule="exact"/>
        <w:rPr>
          <w:sz w:val="20"/>
          <w:szCs w:val="20"/>
          <w:color w:val="auto"/>
        </w:rPr>
      </w:pPr>
    </w:p>
    <w:p>
      <w:pPr>
        <w:ind w:left="60" w:right="59"/>
        <w:spacing w:after="0" w:line="279" w:lineRule="auto"/>
        <w:rPr>
          <w:sz w:val="20"/>
          <w:szCs w:val="20"/>
          <w:color w:val="auto"/>
        </w:rPr>
      </w:pPr>
      <w:r>
        <w:rPr>
          <w:rFonts w:ascii="Arial" w:cs="Arial" w:eastAsia="Arial" w:hAnsi="Arial"/>
          <w:sz w:val="16"/>
          <w:szCs w:val="16"/>
          <w:color w:val="auto"/>
        </w:rPr>
        <w:t>The Amended and Restated Credit Agreement also retained the Company’s $20.0 million revolving facility with a maturity date of April 30, 2019. On April 19, 2019, the Company entered into an amendment to the Amended and Restated Credit Agreement to extend the maturity of its revolving loan facility to April 30, 2020. On April 24, 2020, the revolving loan facility maturity was extended one year to April 30, 2021 with an annual interest rate of one-month LIBOR plus a spread of 1.75%. The revolving facility incurs a non-usage fee based on the undrawn amount. At June 30,</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59"/>
        <w:spacing w:after="0" w:line="261" w:lineRule="auto"/>
        <w:rPr>
          <w:sz w:val="20"/>
          <w:szCs w:val="20"/>
          <w:color w:val="auto"/>
        </w:rPr>
      </w:pPr>
      <w:r>
        <w:rPr>
          <w:rFonts w:ascii="Arial" w:cs="Arial" w:eastAsia="Arial" w:hAnsi="Arial"/>
          <w:sz w:val="18"/>
          <w:szCs w:val="18"/>
          <w:color w:val="auto"/>
        </w:rPr>
        <w:t>2020 the Company had $20.0 million outstanding and recorded in short-term borrowings under the revolving facility. The Company had no outstanding balance under the revolving facility on December 31,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77"/>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5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FHLB, ranging in original maturity from 5 to 10 years,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collateralized by FHLB deposits, residential and commercial real estate</w:t>
            </w:r>
          </w:p>
        </w:tc>
        <w:tc>
          <w:tcPr>
            <w:tcW w:w="54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35,101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and FHLB stock.</w:t>
            </w:r>
          </w:p>
        </w:tc>
        <w:tc>
          <w:tcPr>
            <w:tcW w:w="54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Term Loan</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35,101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279"/>
        <w:spacing w:after="0" w:line="259" w:lineRule="auto"/>
        <w:rPr>
          <w:sz w:val="20"/>
          <w:szCs w:val="20"/>
          <w:color w:val="auto"/>
        </w:rPr>
      </w:pPr>
      <w:r>
        <w:rPr>
          <w:rFonts w:ascii="Arial" w:cs="Arial" w:eastAsia="Arial" w:hAnsi="Arial"/>
          <w:sz w:val="17"/>
          <w:szCs w:val="17"/>
          <w:color w:val="auto"/>
        </w:rPr>
        <w:t>As of June 30, 2020, long-term debt from the FHLB consisted of variable-rate notes maturing through September 2024, with interest rates ranging from 0.05% to 3.04%. The weighted average rate on the long-term advances was 0.48% as of June 30, 2020. As of December 31, 2019, funds borrowed from the FHLB, listed above, consisted of variable-rate notes maturing through September 2024, with interest rates ranging from 1.25% to 3.04%. The weighted average rate on the long-term advances was 1.53% as of December 31, 2019.</w:t>
      </w:r>
    </w:p>
    <w:p>
      <w:pPr>
        <w:spacing w:after="0" w:line="187" w:lineRule="exact"/>
        <w:rPr>
          <w:sz w:val="20"/>
          <w:szCs w:val="20"/>
          <w:color w:val="auto"/>
        </w:rPr>
      </w:pPr>
    </w:p>
    <w:p>
      <w:pPr>
        <w:ind w:left="60" w:right="59"/>
        <w:spacing w:after="0" w:line="269"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 Unamortized debt issuance costs related to the senior notes and subordinated notes issued in 2017 totaled $0.3 million and $0.7 million, respectively, at June 30, 2020. Unamortized debt issuance costs related to the senior notes and subordinated notes issued in 2017 totaled $0.3 million and $0.8 million, respectively, at December 31, 2019.</w:t>
      </w:r>
    </w:p>
    <w:p>
      <w:pPr>
        <w:spacing w:after="0" w:line="181" w:lineRule="exact"/>
        <w:rPr>
          <w:sz w:val="20"/>
          <w:szCs w:val="20"/>
          <w:color w:val="auto"/>
        </w:rPr>
      </w:pPr>
    </w:p>
    <w:p>
      <w:pPr>
        <w:ind w:left="60" w:right="219"/>
        <w:spacing w:after="0" w:line="271" w:lineRule="auto"/>
        <w:rPr>
          <w:sz w:val="20"/>
          <w:szCs w:val="20"/>
          <w:color w:val="auto"/>
        </w:rPr>
      </w:pPr>
      <w:r>
        <w:rPr>
          <w:rFonts w:ascii="Arial" w:cs="Arial" w:eastAsia="Arial" w:hAnsi="Arial"/>
          <w:sz w:val="16"/>
          <w:szCs w:val="16"/>
          <w:color w:val="auto"/>
        </w:rPr>
        <w:t>To further enhance the Company’s strong capital and liquidity positions, 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 Unamortized debt issuance costs related to the subordinated notes issued in 2020 totaled $2.3 million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Earnings Per Common Share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62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25,806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24,085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41,170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49,554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54,489</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55,638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54,576</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54,464</w:t>
            </w: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Dilutive effect of outstanding options, warrants and restricted</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20" w:type="dxa"/>
            <w:vAlign w:val="bottom"/>
          </w:tcPr>
          <w:p>
            <w:pPr>
              <w:ind w:left="320"/>
              <w:spacing w:after="0"/>
              <w:rPr>
                <w:sz w:val="20"/>
                <w:szCs w:val="20"/>
                <w:color w:val="auto"/>
              </w:rPr>
            </w:pPr>
            <w:r>
              <w:rPr>
                <w:rFonts w:ascii="Arial" w:cs="Arial" w:eastAsia="Arial" w:hAnsi="Arial"/>
                <w:sz w:val="18"/>
                <w:szCs w:val="18"/>
                <w:color w:val="auto"/>
              </w:rPr>
              <w:t>stock units as determined by the application of the treasury</w:t>
            </w:r>
          </w:p>
        </w:tc>
        <w:tc>
          <w:tcPr>
            <w:tcW w:w="140" w:type="dxa"/>
            <w:vAlign w:val="bottom"/>
          </w:tcPr>
          <w:p>
            <w:pPr>
              <w:spacing w:after="0"/>
              <w:rPr>
                <w:sz w:val="20"/>
                <w:szCs w:val="20"/>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20"/>
                <w:szCs w:val="2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restart"/>
          </w:tcPr>
          <w:p>
            <w:pPr>
              <w:jc w:val="right"/>
              <w:ind w:right="36"/>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7"/>
        </w:trPr>
        <w:tc>
          <w:tcPr>
            <w:tcW w:w="5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stock method</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 as adjusted for</w:t>
            </w:r>
          </w:p>
        </w:tc>
        <w:tc>
          <w:tcPr>
            <w:tcW w:w="140" w:type="dxa"/>
            <w:vAlign w:val="bottom"/>
          </w:tcPr>
          <w:p>
            <w:pPr>
              <w:spacing w:after="0"/>
              <w:rPr>
                <w:sz w:val="20"/>
                <w:szCs w:val="20"/>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8"/>
                <w:szCs w:val="18"/>
                <w:color w:val="auto"/>
              </w:rPr>
              <w:t>54,705</w:t>
            </w:r>
          </w:p>
        </w:tc>
        <w:tc>
          <w:tcPr>
            <w:tcW w:w="280" w:type="dxa"/>
            <w:vAlign w:val="bottom"/>
          </w:tcPr>
          <w:p>
            <w:pPr>
              <w:spacing w:after="0"/>
              <w:rPr>
                <w:sz w:val="20"/>
                <w:szCs w:val="2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90"/>
              </w:rPr>
              <w:t>55,941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restart"/>
          </w:tcPr>
          <w:p>
            <w:pPr>
              <w:jc w:val="right"/>
              <w:ind w:right="36"/>
              <w:spacing w:after="0"/>
              <w:rPr>
                <w:sz w:val="20"/>
                <w:szCs w:val="20"/>
                <w:color w:val="auto"/>
              </w:rPr>
            </w:pPr>
            <w:r>
              <w:rPr>
                <w:rFonts w:ascii="Arial" w:cs="Arial" w:eastAsia="Arial" w:hAnsi="Arial"/>
                <w:sz w:val="18"/>
                <w:szCs w:val="18"/>
                <w:color w:val="auto"/>
              </w:rPr>
              <w:t>54,807</w:t>
            </w:r>
          </w:p>
        </w:tc>
        <w:tc>
          <w:tcPr>
            <w:tcW w:w="28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54,764</w:t>
            </w:r>
          </w:p>
        </w:tc>
        <w:tc>
          <w:tcPr>
            <w:tcW w:w="0" w:type="dxa"/>
            <w:vAlign w:val="bottom"/>
          </w:tcPr>
          <w:p>
            <w:pPr>
              <w:spacing w:after="0"/>
              <w:rPr>
                <w:sz w:val="1"/>
                <w:szCs w:val="1"/>
                <w:color w:val="auto"/>
              </w:rPr>
            </w:pPr>
          </w:p>
        </w:tc>
      </w:tr>
      <w:tr>
        <w:trPr>
          <w:trHeight w:val="255"/>
        </w:trPr>
        <w:tc>
          <w:tcPr>
            <w:tcW w:w="5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diluted earnings per share calculation</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299"/>
        <w:spacing w:after="0" w:line="293" w:lineRule="auto"/>
        <w:rPr>
          <w:sz w:val="20"/>
          <w:szCs w:val="20"/>
          <w:color w:val="auto"/>
        </w:rPr>
      </w:pPr>
      <w:r>
        <w:rPr>
          <w:rFonts w:ascii="Arial" w:cs="Arial" w:eastAsia="Arial" w:hAnsi="Arial"/>
          <w:sz w:val="18"/>
          <w:szCs w:val="18"/>
          <w:color w:val="auto"/>
        </w:rPr>
        <w:t>Basic earnings per share is computed by dividing net income for the period by the weighted average number of common shares outstanding, which include deferred stock units that are vested but not delivered.</w:t>
      </w:r>
    </w:p>
    <w:p>
      <w:pPr>
        <w:spacing w:after="0" w:line="48"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Diluted earnings per common share is computed using the treasury stock method and reflects the potential dilution that could occur if the Company’s outstanding stock options and warrants were exercised and restricted stock units were vested. At June 30, 2020, 367,121 outstanding restricted stock units, 39,525 outstanding stock options and 191,278 warrants were anti-dilutive and excluded from the calculation of common stock equivalents. At June 30, 2019, 169,258 outstanding restricted stock equivalents, 48,107 outstanding stock options and 191,278 warrants were anti-dilutive and excluded from the calculation of common stock equivalents.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ind w:left="60" w:right="299"/>
        <w:spacing w:after="0" w:line="250" w:lineRule="auto"/>
        <w:rPr>
          <w:sz w:val="20"/>
          <w:szCs w:val="20"/>
          <w:color w:val="auto"/>
        </w:rPr>
      </w:pPr>
      <w:r>
        <w:rPr>
          <w:rFonts w:ascii="Arial" w:cs="Arial" w:eastAsia="Arial" w:hAnsi="Arial"/>
          <w:sz w:val="18"/>
          <w:szCs w:val="18"/>
          <w:color w:val="auto"/>
        </w:rPr>
        <w:t xml:space="preserve">The following table represents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Three Months Ended</w:t>
      </w:r>
    </w:p>
    <w:p>
      <w:pPr>
        <w:spacing w:after="0" w:line="16"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8255</wp:posOffset>
            </wp:positionV>
            <wp:extent cx="3180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p>
      <w:pPr>
        <w:spacing w:after="0" w:line="17"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15240</wp:posOffset>
            </wp:positionV>
            <wp:extent cx="1543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 w:lineRule="exact"/>
        <w:rPr>
          <w:sz w:val="20"/>
          <w:szCs w:val="20"/>
          <w:color w:val="auto"/>
        </w:rPr>
      </w:pPr>
    </w:p>
    <w:p>
      <w:pPr>
        <w:jc w:val="center"/>
        <w:ind w:left="4100"/>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15240</wp:posOffset>
            </wp:positionV>
            <wp:extent cx="1543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 w:lineRule="exact"/>
        <w:rPr>
          <w:sz w:val="20"/>
          <w:szCs w:val="20"/>
          <w:color w:val="auto"/>
        </w:rPr>
      </w:pPr>
    </w:p>
    <w:p>
      <w:pPr>
        <w:jc w:val="center"/>
        <w:ind w:right="79"/>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5" w:lineRule="exact"/>
        <w:rPr>
          <w:sz w:val="20"/>
          <w:szCs w:val="20"/>
          <w:color w:val="auto"/>
        </w:rPr>
      </w:pPr>
    </w:p>
    <w:p>
      <w:pPr>
        <w:sectPr>
          <w:pgSz w:w="11900" w:h="16838" w:orient="portrait"/>
          <w:cols w:equalWidth="0" w:num="2">
            <w:col w:w="6360" w:space="320"/>
            <w:col w:w="233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Unrealized gains (losses) on debt securities available for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sale:</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390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49,722</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(14,173)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35,549</w:t>
            </w:r>
          </w:p>
        </w:tc>
        <w:tc>
          <w:tcPr>
            <w:tcW w:w="16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2,235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(640)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gains (losses) on debt securities</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5,857</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18,214</w:t>
            </w: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(5,189)</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13,025</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 for sale,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120"/>
              <w:spacing w:after="0"/>
              <w:rPr>
                <w:sz w:val="20"/>
                <w:szCs w:val="20"/>
                <w:color w:val="auto"/>
              </w:rPr>
            </w:pPr>
            <w:r>
              <w:rPr>
                <w:rFonts w:ascii="Arial" w:cs="Arial" w:eastAsia="Arial" w:hAnsi="Arial"/>
                <w:sz w:val="14"/>
                <w:szCs w:val="14"/>
                <w:color w:val="auto"/>
              </w:rPr>
              <w:t>Unrealized gains on debt securities transferred from held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4"/>
                <w:szCs w:val="14"/>
                <w:color w:val="auto"/>
              </w:rPr>
              <w:t>to</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4"/>
                <w:szCs w:val="14"/>
                <w:color w:val="auto"/>
              </w:rPr>
              <w:t>maturity to available for sale</w:t>
            </w: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(102)</w:t>
            </w: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55,436</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(15,802)</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39,634</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20,459</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(5,832)</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14,627</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Arial" w:cs="Arial" w:eastAsia="Arial" w:hAnsi="Arial"/>
                <w:sz w:val="14"/>
                <w:szCs w:val="14"/>
                <w:color w:val="auto"/>
              </w:rPr>
              <w:t>Unrealized gains (losses) on cash flow hedges: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beginning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(3,424)</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(2,448)</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900" w:type="dxa"/>
            <w:vAlign w:val="bottom"/>
          </w:tcPr>
          <w:p>
            <w:pPr>
              <w:ind w:left="120"/>
              <w:spacing w:after="0"/>
              <w:rPr>
                <w:sz w:val="20"/>
                <w:szCs w:val="20"/>
                <w:color w:val="auto"/>
              </w:rPr>
            </w:pPr>
            <w:r>
              <w:rPr>
                <w:rFonts w:ascii="Arial" w:cs="Arial" w:eastAsia="Arial" w:hAnsi="Arial"/>
                <w:sz w:val="14"/>
                <w:szCs w:val="14"/>
                <w:color w:val="auto"/>
              </w:rPr>
              <w:t>Unrealized holding gains (losses) on cash flow hedges,</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Arial" w:cs="Arial" w:eastAsia="Arial" w:hAnsi="Arial"/>
                <w:sz w:val="14"/>
                <w:szCs w:val="14"/>
                <w:color w:val="auto"/>
              </w:rPr>
              <w:t>net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(139)</w:t>
            </w: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(3,633)</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(2,597)</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accumulated other comprehensive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51,803</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(14,766)</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37,037</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20,459</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(5,832)</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8255</wp:posOffset>
            </wp:positionV>
            <wp:extent cx="3180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p>
      <w:pPr>
        <w:spacing w:after="0" w:line="17"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15240</wp:posOffset>
            </wp:positionV>
            <wp:extent cx="1543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 w:lineRule="exact"/>
        <w:rPr>
          <w:sz w:val="20"/>
          <w:szCs w:val="20"/>
          <w:color w:val="auto"/>
        </w:rPr>
      </w:pPr>
    </w:p>
    <w:p>
      <w:pPr>
        <w:jc w:val="center"/>
        <w:ind w:left="4100"/>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15240</wp:posOffset>
            </wp:positionV>
            <wp:extent cx="15430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8" w:lineRule="exact"/>
        <w:rPr>
          <w:sz w:val="20"/>
          <w:szCs w:val="20"/>
          <w:color w:val="auto"/>
        </w:rPr>
      </w:pPr>
    </w:p>
    <w:p>
      <w:pPr>
        <w:jc w:val="center"/>
        <w:ind w:right="79"/>
        <w:spacing w:after="0"/>
        <w:tabs>
          <w:tab w:leader="none" w:pos="160" w:val="left"/>
          <w:tab w:leader="none" w:pos="140" w:val="left"/>
        </w:tabs>
        <w:rPr>
          <w:sz w:val="20"/>
          <w:szCs w:val="20"/>
          <w:color w:val="auto"/>
        </w:rPr>
      </w:pPr>
      <w:r>
        <w:rPr>
          <w:rFonts w:ascii="Arial" w:cs="Arial" w:eastAsia="Arial" w:hAnsi="Arial"/>
          <w:sz w:val="14"/>
          <w:szCs w:val="14"/>
          <w:b w:val="1"/>
          <w:bCs w:val="1"/>
          <w:color w:val="auto"/>
        </w:rPr>
        <w:t>Before Tax</w:t>
        <w:tab/>
        <w:t>Tax Effect</w:t>
      </w:r>
      <w:r>
        <w:rPr>
          <w:sz w:val="20"/>
          <w:szCs w:val="20"/>
          <w:color w:val="auto"/>
        </w:rPr>
        <w:tab/>
      </w:r>
      <w:r>
        <w:rPr>
          <w:rFonts w:ascii="Arial" w:cs="Arial" w:eastAsia="Arial" w:hAnsi="Arial"/>
          <w:sz w:val="13"/>
          <w:szCs w:val="13"/>
          <w:b w:val="1"/>
          <w:bCs w:val="1"/>
          <w:color w:val="auto"/>
        </w:rPr>
        <w:t>Net of Tax</w:t>
      </w:r>
    </w:p>
    <w:p>
      <w:pPr>
        <w:spacing w:after="0" w:line="25" w:lineRule="exact"/>
        <w:rPr>
          <w:sz w:val="20"/>
          <w:szCs w:val="20"/>
          <w:color w:val="auto"/>
        </w:rPr>
      </w:pPr>
    </w:p>
    <w:p>
      <w:pPr>
        <w:sectPr>
          <w:pgSz w:w="11900" w:h="16838" w:orient="portrait"/>
          <w:cols w:equalWidth="0" w:num="2">
            <w:col w:w="6360" w:space="320"/>
            <w:col w:w="233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Unrealized gains (losses) on debt securities available for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sale:</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900" w:type="dxa"/>
            <w:vAlign w:val="bottom"/>
          </w:tcPr>
          <w:p>
            <w:pPr>
              <w:ind w:left="120"/>
              <w:spacing w:after="0"/>
              <w:rPr>
                <w:sz w:val="20"/>
                <w:szCs w:val="20"/>
                <w:color w:val="auto"/>
              </w:rPr>
            </w:pPr>
            <w:r>
              <w:rPr>
                <w:rFonts w:ascii="Arial" w:cs="Arial" w:eastAsia="Arial" w:hAnsi="Arial"/>
                <w:sz w:val="14"/>
                <w:szCs w:val="14"/>
                <w:color w:val="auto"/>
              </w:rPr>
              <w:t>Balance at beginning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21,192</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(6,032)</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15,160</w:t>
            </w:r>
          </w:p>
        </w:tc>
        <w:tc>
          <w:tcPr>
            <w:tcW w:w="16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(9,528)</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2,716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gains (losses) on debt securities</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35,943</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(10,259)</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25,684</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25,014</w:t>
            </w: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(7,129)</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available for sale,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120"/>
              <w:spacing w:after="0"/>
              <w:rPr>
                <w:sz w:val="20"/>
                <w:szCs w:val="20"/>
                <w:color w:val="auto"/>
              </w:rPr>
            </w:pPr>
            <w:r>
              <w:rPr>
                <w:rFonts w:ascii="Arial" w:cs="Arial" w:eastAsia="Arial" w:hAnsi="Arial"/>
                <w:sz w:val="14"/>
                <w:szCs w:val="14"/>
                <w:color w:val="auto"/>
              </w:rPr>
              <w:t>Unrealized losses on debt securities transferred from held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4"/>
                <w:szCs w:val="14"/>
                <w:color w:val="auto"/>
              </w:rPr>
              <w:t>to</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4,780</w:t>
            </w:r>
          </w:p>
        </w:tc>
        <w:tc>
          <w:tcPr>
            <w:tcW w:w="2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3,416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tcPr>
          <w:p>
            <w:pPr>
              <w:ind w:left="220"/>
              <w:spacing w:after="0"/>
              <w:rPr>
                <w:sz w:val="20"/>
                <w:szCs w:val="20"/>
                <w:color w:val="auto"/>
              </w:rPr>
            </w:pPr>
            <w:r>
              <w:rPr>
                <w:rFonts w:ascii="Arial" w:cs="Arial" w:eastAsia="Arial" w:hAnsi="Arial"/>
                <w:sz w:val="14"/>
                <w:szCs w:val="14"/>
                <w:color w:val="auto"/>
              </w:rPr>
              <w:t>maturity to available for sale</w:t>
            </w: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2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(1,210)</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55,436</w:t>
            </w: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(15,802)</w:t>
            </w: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39,634</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20,459</w:t>
            </w: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(5,832)</w:t>
            </w: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Arial" w:cs="Arial" w:eastAsia="Arial" w:hAnsi="Arial"/>
                <w:sz w:val="14"/>
                <w:szCs w:val="14"/>
                <w:color w:val="auto"/>
              </w:rPr>
              <w:t>Unrealized gains (losses) on cash flow hedges:</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Balance at beginning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900" w:type="dxa"/>
            <w:vAlign w:val="bottom"/>
          </w:tcPr>
          <w:p>
            <w:pPr>
              <w:ind w:left="120"/>
              <w:spacing w:after="0"/>
              <w:rPr>
                <w:sz w:val="20"/>
                <w:szCs w:val="20"/>
                <w:color w:val="auto"/>
              </w:rPr>
            </w:pPr>
            <w:r>
              <w:rPr>
                <w:rFonts w:ascii="Arial" w:cs="Arial" w:eastAsia="Arial" w:hAnsi="Arial"/>
                <w:sz w:val="14"/>
                <w:szCs w:val="14"/>
                <w:color w:val="auto"/>
              </w:rPr>
              <w:t>Unrealized holding gains (losses) on cash flow hedges,</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0"/>
              <w:spacing w:after="0"/>
              <w:rPr>
                <w:sz w:val="20"/>
                <w:szCs w:val="20"/>
                <w:color w:val="auto"/>
              </w:rPr>
            </w:pPr>
            <w:r>
              <w:rPr>
                <w:rFonts w:ascii="Arial" w:cs="Arial" w:eastAsia="Arial" w:hAnsi="Arial"/>
                <w:sz w:val="14"/>
                <w:szCs w:val="14"/>
                <w:color w:val="auto"/>
              </w:rPr>
              <w:t>net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(3,143)</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896</w:t>
            </w:r>
          </w:p>
        </w:tc>
        <w:tc>
          <w:tcPr>
            <w:tcW w:w="2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(2,247)</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(150)</w:t>
            </w: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comprehensive income, net</w:t>
            </w: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Balance at end of period</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(3,633)</w:t>
            </w: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(2,597)</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accumulated other comprehensive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51,803</w:t>
            </w:r>
          </w:p>
        </w:tc>
        <w:tc>
          <w:tcPr>
            <w:tcW w:w="2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(14,766)</w:t>
            </w: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37,037</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20,459</w:t>
            </w: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(5,832)</w:t>
            </w: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jc w:val="both"/>
        <w:ind w:left="60" w:right="319"/>
        <w:spacing w:after="0" w:line="294" w:lineRule="auto"/>
        <w:rPr>
          <w:sz w:val="20"/>
          <w:szCs w:val="20"/>
          <w:color w:val="auto"/>
        </w:rPr>
      </w:pPr>
      <w:r>
        <w:rPr>
          <w:rFonts w:ascii="Arial" w:cs="Arial" w:eastAsia="Arial" w:hAnsi="Arial"/>
          <w:sz w:val="16"/>
          <w:szCs w:val="16"/>
          <w:color w:val="auto"/>
        </w:rPr>
        <w:t>The First Busey 2020 Equity Incentive Plan (the “2020 Equity Plan”) was approved by stockholders at the 2020 Annual Meeting of Stockholders. A description of the 2020 Equity Plan can be found in the Company’s Proxy Statement for the 2020 Annual Meeting of Stockholders filed on April 9, 2020. The 2020 Equity Plan replaces the 2010 Equity Incentive</w:t>
      </w:r>
    </w:p>
    <w:p>
      <w:pPr>
        <w:sectPr>
          <w:pgSz w:w="11900" w:h="16838" w:orient="portrait"/>
          <w:cols w:equalWidth="0" w:num="1">
            <w:col w:w="9019"/>
          </w:cols>
          <w:pgMar w:left="1440" w:top="530" w:right="1440" w:bottom="1440" w:gutter="0" w:footer="0" w:header="0"/>
          <w:type w:val="continuous"/>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Plan and the First Community Financial Partners, Inc. 2016 Equity Incentive Plan, which from time to time, the Company used to grant equity awards to legacy employees of First Community Financial Partners, Inc.</w:t>
      </w:r>
    </w:p>
    <w:p>
      <w:pPr>
        <w:spacing w:after="0" w:line="184" w:lineRule="exact"/>
        <w:rPr>
          <w:sz w:val="20"/>
          <w:szCs w:val="20"/>
          <w:color w:val="auto"/>
        </w:rPr>
      </w:pPr>
    </w:p>
    <w:p>
      <w:pPr>
        <w:ind w:left="60" w:right="59"/>
        <w:spacing w:after="0" w:line="270" w:lineRule="auto"/>
        <w:rPr>
          <w:sz w:val="20"/>
          <w:szCs w:val="20"/>
          <w:color w:val="auto"/>
        </w:rPr>
      </w:pPr>
      <w:r>
        <w:rPr>
          <w:rFonts w:ascii="Arial" w:cs="Arial" w:eastAsia="Arial" w:hAnsi="Arial"/>
          <w:sz w:val="16"/>
          <w:szCs w:val="16"/>
          <w:color w:val="auto"/>
        </w:rPr>
        <w:t>The Company currently grants share-based compensation in the form of restricted stock units and deferred stock units. Starting in July 2020, the Company granted performance-based restricted stock unit awards. The Company grants restricted stock units to members of management periodically throughout the year. Each restricted stock unit is equivalent to one share of the Company’s common stock. These units have requisite service periods ranging from one to five years. The Company annually grants share-based awards in the form of deferred stock units, which are restricted stock units with a deferred settlement date, to its directors. Each deferred stock unit is equivalent to one share of the Company’s common stock. The deferred stock units vest over a 12-month period following the grant date. These units generally are subject to the same terms as restricted stock units under the Company’s 2020 Equity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 and stock options assumed from acquisitions.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left="60" w:right="439"/>
        <w:spacing w:after="0" w:line="250" w:lineRule="auto"/>
        <w:rPr>
          <w:sz w:val="20"/>
          <w:szCs w:val="20"/>
          <w:color w:val="auto"/>
        </w:rPr>
      </w:pPr>
      <w:r>
        <w:rPr>
          <w:rFonts w:ascii="Arial" w:cs="Arial" w:eastAsia="Arial" w:hAnsi="Arial"/>
          <w:sz w:val="18"/>
          <w:szCs w:val="18"/>
          <w:color w:val="auto"/>
        </w:rPr>
        <w:t>A summary of the status of and changes in the Company's stock option awards for the six months ended June 30, 2020 follows:</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3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jc w:val="center"/>
              <w:ind w:left="500"/>
              <w:spacing w:after="0"/>
              <w:rPr>
                <w:sz w:val="20"/>
                <w:szCs w:val="20"/>
                <w:color w:val="auto"/>
              </w:rPr>
            </w:pPr>
            <w:r>
              <w:rPr>
                <w:rFonts w:ascii="Arial" w:cs="Arial" w:eastAsia="Arial" w:hAnsi="Arial"/>
                <w:sz w:val="14"/>
                <w:szCs w:val="14"/>
                <w:b w:val="1"/>
                <w:bCs w:val="1"/>
                <w:color w:val="auto"/>
                <w:w w:val="94"/>
              </w:rPr>
              <w:t>Weighted-</w:t>
            </w:r>
          </w:p>
        </w:tc>
        <w:tc>
          <w:tcPr>
            <w:tcW w:w="500" w:type="dxa"/>
            <w:vAlign w:val="bottom"/>
          </w:tcPr>
          <w:p>
            <w:pPr>
              <w:spacing w:after="0"/>
              <w:rPr>
                <w:sz w:val="14"/>
                <w:szCs w:val="14"/>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4"/>
              </w:rPr>
              <w:t>Weighted-</w:t>
            </w:r>
          </w:p>
        </w:tc>
      </w:tr>
      <w:tr>
        <w:trPr>
          <w:trHeight w:val="176"/>
        </w:trPr>
        <w:tc>
          <w:tcPr>
            <w:tcW w:w="3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jc w:val="center"/>
              <w:ind w:left="480"/>
              <w:spacing w:after="0"/>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5"/>
                <w:szCs w:val="15"/>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4"/>
              </w:rPr>
              <w:t>Average</w:t>
            </w:r>
          </w:p>
        </w:tc>
      </w:tr>
      <w:tr>
        <w:trPr>
          <w:trHeight w:val="175"/>
        </w:trPr>
        <w:tc>
          <w:tcPr>
            <w:tcW w:w="3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jc w:val="center"/>
              <w:ind w:left="500"/>
              <w:spacing w:after="0"/>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5"/>
                <w:szCs w:val="15"/>
                <w:color w:val="auto"/>
              </w:rPr>
            </w:pPr>
          </w:p>
        </w:tc>
        <w:tc>
          <w:tcPr>
            <w:tcW w:w="216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Remaining Contractual</w:t>
            </w:r>
          </w:p>
        </w:tc>
      </w:tr>
      <w:tr>
        <w:trPr>
          <w:trHeight w:val="185"/>
        </w:trPr>
        <w:tc>
          <w:tcPr>
            <w:tcW w:w="32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500"/>
              <w:spacing w:after="0"/>
              <w:rPr>
                <w:sz w:val="20"/>
                <w:szCs w:val="20"/>
                <w:color w:val="auto"/>
              </w:rPr>
            </w:pPr>
            <w:r>
              <w:rPr>
                <w:rFonts w:ascii="Arial" w:cs="Arial" w:eastAsia="Arial" w:hAnsi="Arial"/>
                <w:sz w:val="14"/>
                <w:szCs w:val="14"/>
                <w:b w:val="1"/>
                <w:bCs w:val="1"/>
                <w:color w:val="auto"/>
                <w:w w:val="93"/>
              </w:rPr>
              <w:t>Price</w:t>
            </w:r>
          </w:p>
        </w:tc>
        <w:tc>
          <w:tcPr>
            <w:tcW w:w="5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Term</w:t>
            </w:r>
          </w:p>
        </w:tc>
      </w:tr>
      <w:tr>
        <w:trPr>
          <w:trHeight w:val="223"/>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53,185</w:t>
            </w:r>
          </w:p>
        </w:tc>
        <w:tc>
          <w:tcPr>
            <w:tcW w:w="126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22.00</w:t>
            </w:r>
          </w:p>
        </w:tc>
        <w:tc>
          <w:tcPr>
            <w:tcW w:w="2160" w:type="dxa"/>
            <w:vAlign w:val="bottom"/>
            <w:shd w:val="clear" w:color="auto" w:fill="CCEEFF"/>
          </w:tcPr>
          <w:p>
            <w:pPr>
              <w:spacing w:after="0"/>
              <w:rPr>
                <w:sz w:val="19"/>
                <w:szCs w:val="19"/>
                <w:color w:val="auto"/>
              </w:rPr>
            </w:pPr>
          </w:p>
        </w:tc>
      </w:tr>
      <w:tr>
        <w:trPr>
          <w:trHeight w:val="230"/>
        </w:trPr>
        <w:tc>
          <w:tcPr>
            <w:tcW w:w="4260" w:type="dxa"/>
            <w:vAlign w:val="bottom"/>
            <w:gridSpan w:val="2"/>
          </w:tcPr>
          <w:p>
            <w:pPr>
              <w:ind w:left="220"/>
              <w:spacing w:after="0"/>
              <w:rPr>
                <w:sz w:val="20"/>
                <w:szCs w:val="20"/>
                <w:color w:val="auto"/>
              </w:rPr>
            </w:pPr>
            <w:r>
              <w:rPr>
                <w:rFonts w:ascii="Arial" w:cs="Arial" w:eastAsia="Arial" w:hAnsi="Arial"/>
                <w:sz w:val="18"/>
                <w:szCs w:val="18"/>
                <w:color w:val="auto"/>
              </w:rPr>
              <w:t>Exercised</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89"/>
              </w:rPr>
              <w:t>(12,956)</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22.73</w:t>
            </w:r>
          </w:p>
        </w:tc>
        <w:tc>
          <w:tcPr>
            <w:tcW w:w="2160" w:type="dxa"/>
            <w:vAlign w:val="bottom"/>
          </w:tcPr>
          <w:p>
            <w:pPr>
              <w:spacing w:after="0"/>
              <w:rPr>
                <w:sz w:val="19"/>
                <w:szCs w:val="19"/>
                <w:color w:val="auto"/>
              </w:rPr>
            </w:pPr>
          </w:p>
        </w:tc>
      </w:tr>
      <w:tr>
        <w:trPr>
          <w:trHeight w:val="230"/>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spacing w:after="0"/>
              <w:rPr>
                <w:sz w:val="19"/>
                <w:szCs w:val="19"/>
                <w:color w:val="auto"/>
              </w:rPr>
            </w:pPr>
          </w:p>
        </w:tc>
      </w:tr>
      <w:tr>
        <w:trPr>
          <w:trHeight w:val="229"/>
        </w:trPr>
        <w:tc>
          <w:tcPr>
            <w:tcW w:w="3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Expired</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w:t>
            </w: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19.98</w:t>
            </w:r>
          </w:p>
        </w:tc>
        <w:tc>
          <w:tcPr>
            <w:tcW w:w="2160" w:type="dxa"/>
            <w:vAlign w:val="bottom"/>
            <w:tcBorders>
              <w:bottom w:val="single" w:sz="8" w:color="CCEEFF"/>
            </w:tcBorders>
          </w:tcPr>
          <w:p>
            <w:pPr>
              <w:spacing w:after="0"/>
              <w:rPr>
                <w:sz w:val="19"/>
                <w:szCs w:val="19"/>
                <w:color w:val="auto"/>
              </w:rPr>
            </w:pP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39,525</w:t>
            </w:r>
          </w:p>
        </w:tc>
        <w:tc>
          <w:tcPr>
            <w:tcW w:w="126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23.53</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0"/>
        </w:trPr>
        <w:tc>
          <w:tcPr>
            <w:tcW w:w="4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11"/>
        </w:trPr>
        <w:tc>
          <w:tcPr>
            <w:tcW w:w="3220" w:type="dxa"/>
            <w:vAlign w:val="bottom"/>
          </w:tcPr>
          <w:p>
            <w:pPr>
              <w:spacing w:after="0"/>
              <w:rPr>
                <w:sz w:val="20"/>
                <w:szCs w:val="20"/>
                <w:color w:val="auto"/>
              </w:rPr>
            </w:pPr>
            <w:r>
              <w:rPr>
                <w:rFonts w:ascii="Arial" w:cs="Arial" w:eastAsia="Arial" w:hAnsi="Arial"/>
                <w:sz w:val="18"/>
                <w:szCs w:val="18"/>
                <w:color w:val="auto"/>
              </w:rPr>
              <w:t>Exercisable at end of period</w:t>
            </w:r>
          </w:p>
        </w:tc>
        <w:tc>
          <w:tcPr>
            <w:tcW w:w="10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39,525</w:t>
            </w:r>
          </w:p>
        </w:tc>
        <w:tc>
          <w:tcPr>
            <w:tcW w:w="1260" w:type="dxa"/>
            <w:vAlign w:val="bottom"/>
            <w:tcBorders>
              <w:top w:val="single" w:sz="8" w:color="auto"/>
            </w:tcBorders>
          </w:tcPr>
          <w:p>
            <w:pPr>
              <w:jc w:val="right"/>
              <w:ind w:right="10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23.53</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r>
    </w:tbl>
    <w:p>
      <w:pPr>
        <w:spacing w:after="0" w:line="214" w:lineRule="exact"/>
        <w:rPr>
          <w:sz w:val="20"/>
          <w:szCs w:val="20"/>
          <w:color w:val="auto"/>
        </w:rPr>
      </w:pPr>
    </w:p>
    <w:p>
      <w:pPr>
        <w:jc w:val="both"/>
        <w:ind w:left="60" w:right="279"/>
        <w:spacing w:after="0" w:line="243" w:lineRule="auto"/>
        <w:rPr>
          <w:sz w:val="20"/>
          <w:szCs w:val="20"/>
          <w:color w:val="auto"/>
        </w:rPr>
      </w:pPr>
      <w:r>
        <w:rPr>
          <w:rFonts w:ascii="Arial" w:cs="Arial" w:eastAsia="Arial" w:hAnsi="Arial"/>
          <w:sz w:val="18"/>
          <w:szCs w:val="18"/>
          <w:color w:val="auto"/>
        </w:rPr>
        <w:t>The Company did not record any stock option compensation expense for the three and six months ended June 30, 2020. The Company recorded an insignificant amount and $0.1 million of stock option compensation expense for the three and six months ended June 30, 2019, respectively, related to the converted options from First Community Financial Partners, Inc.</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summary of the changes in the Company’s stock unit awards for the six months ended June 30, 2020, is as follows: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377"/>
              <w:spacing w:after="0"/>
              <w:rPr>
                <w:sz w:val="20"/>
                <w:szCs w:val="20"/>
                <w:color w:val="auto"/>
              </w:rPr>
            </w:pPr>
            <w:r>
              <w:rPr>
                <w:rFonts w:ascii="Arial" w:cs="Arial" w:eastAsia="Arial" w:hAnsi="Arial"/>
                <w:sz w:val="14"/>
                <w:szCs w:val="14"/>
                <w:b w:val="1"/>
                <w:bCs w:val="1"/>
                <w:color w:val="auto"/>
                <w:w w:val="94"/>
              </w:rPr>
              <w:t>Weighted-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320" w:type="dxa"/>
            <w:vAlign w:val="bottom"/>
          </w:tcPr>
          <w:p>
            <w:pPr>
              <w:spacing w:after="0"/>
              <w:rPr>
                <w:sz w:val="15"/>
                <w:szCs w:val="15"/>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Restricted</w:t>
            </w:r>
          </w:p>
        </w:tc>
        <w:tc>
          <w:tcPr>
            <w:tcW w:w="240" w:type="dxa"/>
            <w:vAlign w:val="bottom"/>
          </w:tcPr>
          <w:p>
            <w:pPr>
              <w:spacing w:after="0"/>
              <w:rPr>
                <w:sz w:val="15"/>
                <w:szCs w:val="15"/>
                <w:color w:val="auto"/>
              </w:rPr>
            </w:pPr>
          </w:p>
        </w:tc>
        <w:tc>
          <w:tcPr>
            <w:tcW w:w="1340" w:type="dxa"/>
            <w:vAlign w:val="bottom"/>
          </w:tcPr>
          <w:p>
            <w:pPr>
              <w:jc w:val="center"/>
              <w:ind w:right="357"/>
              <w:spacing w:after="0"/>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320" w:type="dxa"/>
            <w:vAlign w:val="bottom"/>
          </w:tcPr>
          <w:p>
            <w:pPr>
              <w:spacing w:after="0"/>
              <w:rPr>
                <w:sz w:val="15"/>
                <w:szCs w:val="15"/>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5"/>
                <w:szCs w:val="15"/>
                <w:color w:val="auto"/>
              </w:rPr>
            </w:pPr>
          </w:p>
        </w:tc>
        <w:tc>
          <w:tcPr>
            <w:tcW w:w="1340" w:type="dxa"/>
            <w:vAlign w:val="bottom"/>
          </w:tcPr>
          <w:p>
            <w:pPr>
              <w:jc w:val="center"/>
              <w:ind w:right="357"/>
              <w:spacing w:after="0"/>
              <w:rPr>
                <w:sz w:val="20"/>
                <w:szCs w:val="20"/>
                <w:color w:val="auto"/>
              </w:rPr>
            </w:pPr>
            <w:r>
              <w:rPr>
                <w:rFonts w:ascii="Arial" w:cs="Arial" w:eastAsia="Arial" w:hAnsi="Arial"/>
                <w:sz w:val="14"/>
                <w:szCs w:val="14"/>
                <w:b w:val="1"/>
                <w:bCs w:val="1"/>
                <w:color w:val="auto"/>
                <w:w w:val="97"/>
              </w:rPr>
              <w:t>Grant Date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5"/>
                <w:szCs w:val="15"/>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20" w:type="dxa"/>
            <w:vAlign w:val="bottom"/>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7"/>
              <w:spacing w:after="0"/>
              <w:rPr>
                <w:sz w:val="20"/>
                <w:szCs w:val="20"/>
                <w:color w:val="auto"/>
              </w:rPr>
            </w:pPr>
            <w:r>
              <w:rPr>
                <w:rFonts w:ascii="Arial" w:cs="Arial" w:eastAsia="Arial" w:hAnsi="Arial"/>
                <w:sz w:val="14"/>
                <w:szCs w:val="14"/>
                <w:b w:val="1"/>
                <w:bCs w:val="1"/>
                <w:color w:val="auto"/>
                <w:w w:val="95"/>
              </w:rPr>
              <w:t>Fair Value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period</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778,317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27.27</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21,261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r>
      <w:tr>
        <w:trPr>
          <w:trHeight w:val="229"/>
        </w:trPr>
        <w:tc>
          <w:tcPr>
            <w:tcW w:w="2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3,808</w:t>
            </w:r>
          </w:p>
        </w:tc>
        <w:tc>
          <w:tcPr>
            <w:tcW w:w="240" w:type="dxa"/>
            <w:vAlign w:val="bottom"/>
          </w:tcPr>
          <w:p>
            <w:pPr>
              <w:spacing w:after="0"/>
              <w:rPr>
                <w:sz w:val="19"/>
                <w:szCs w:val="19"/>
                <w:color w:val="auto"/>
              </w:rPr>
            </w:pP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26.26</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equivalents earned</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16,167</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20.92</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1,912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r>
      <w:tr>
        <w:trPr>
          <w:trHeight w:val="230"/>
        </w:trPr>
        <w:tc>
          <w:tcPr>
            <w:tcW w:w="2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Vested</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(117,641)</w:t>
            </w:r>
          </w:p>
        </w:tc>
        <w:tc>
          <w:tcPr>
            <w:tcW w:w="240" w:type="dxa"/>
            <w:vAlign w:val="bottom"/>
          </w:tcPr>
          <w:p>
            <w:pPr>
              <w:spacing w:after="0"/>
              <w:rPr>
                <w:sz w:val="19"/>
                <w:szCs w:val="19"/>
                <w:color w:val="auto"/>
              </w:rPr>
            </w:pPr>
          </w:p>
        </w:tc>
        <w:tc>
          <w:tcPr>
            <w:tcW w:w="1340" w:type="dxa"/>
            <w:vAlign w:val="bottom"/>
          </w:tcPr>
          <w:p>
            <w:pPr>
              <w:jc w:val="right"/>
              <w:ind w:right="257"/>
              <w:spacing w:after="0"/>
              <w:rPr>
                <w:sz w:val="20"/>
                <w:szCs w:val="20"/>
                <w:color w:val="auto"/>
              </w:rPr>
            </w:pPr>
            <w:r>
              <w:rPr>
                <w:rFonts w:ascii="Arial" w:cs="Arial" w:eastAsia="Arial" w:hAnsi="Arial"/>
                <w:sz w:val="18"/>
                <w:szCs w:val="18"/>
                <w:color w:val="auto"/>
              </w:rPr>
              <w:t>21.38</w:t>
            </w:r>
          </w:p>
        </w:tc>
        <w:tc>
          <w:tcPr>
            <w:tcW w:w="1220" w:type="dxa"/>
            <w:vAlign w:val="bottom"/>
          </w:tcPr>
          <w:p>
            <w:pPr>
              <w:jc w:val="right"/>
              <w:spacing w:after="0"/>
              <w:rPr>
                <w:sz w:val="20"/>
                <w:szCs w:val="20"/>
                <w:color w:val="auto"/>
              </w:rPr>
            </w:pPr>
            <w:r>
              <w:rPr>
                <w:rFonts w:ascii="Arial" w:cs="Arial" w:eastAsia="Arial" w:hAnsi="Arial"/>
                <w:sz w:val="18"/>
                <w:szCs w:val="18"/>
                <w:color w:val="auto"/>
              </w:rPr>
              <w:t>(23,173)</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26.29</w:t>
            </w:r>
          </w:p>
        </w:tc>
      </w:tr>
      <w:tr>
        <w:trPr>
          <w:trHeight w:val="229"/>
        </w:trPr>
        <w:tc>
          <w:tcPr>
            <w:tcW w:w="20" w:type="dxa"/>
            <w:vAlign w:val="bottom"/>
          </w:tcPr>
          <w:p>
            <w:pPr>
              <w:spacing w:after="0"/>
              <w:rPr>
                <w:sz w:val="19"/>
                <w:szCs w:val="19"/>
                <w:color w:val="auto"/>
              </w:rPr>
            </w:pPr>
          </w:p>
        </w:tc>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(13,522)</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28.45</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Non-vested at end of period</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667,129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28.13</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1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667,129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rPr>
              <w:t>28.13</w:t>
            </w:r>
          </w:p>
        </w:tc>
        <w:tc>
          <w:tcPr>
            <w:tcW w:w="12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69,406</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87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19"/>
        <w:spacing w:after="0" w:line="248" w:lineRule="auto"/>
        <w:rPr>
          <w:sz w:val="20"/>
          <w:szCs w:val="20"/>
          <w:color w:val="auto"/>
        </w:rPr>
      </w:pPr>
      <w:r>
        <w:rPr>
          <w:rFonts w:ascii="Arial" w:cs="Arial" w:eastAsia="Arial" w:hAnsi="Arial"/>
          <w:sz w:val="18"/>
          <w:szCs w:val="18"/>
          <w:color w:val="auto"/>
        </w:rPr>
        <w:t>Recipients earn quarterly dividend equivalents on their respective units which entitle the recipients to additional units. Therefore, dividends earned each quarter compound based upon the updated unit balances. Upon vesting/delivery, shares are expected (though not required) to be issued from treasury.</w:t>
      </w:r>
    </w:p>
    <w:p>
      <w:pPr>
        <w:spacing w:after="0" w:line="195"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On February 5, 2020, under the terms of the 2010 Equity Incentive Plan, the Company granted 3,808 restricted stock units to a member of management. As the stock price on the grant date of February 5, 2020 was $26.26, total compensation cost to be recognized is $0.1 million. This cost will be recognized over a period of three years. Subsequent to the requisite service period, the awards will become 100% vested.</w:t>
      </w:r>
    </w:p>
    <w:p>
      <w:pPr>
        <w:spacing w:after="0" w:line="201" w:lineRule="exact"/>
        <w:rPr>
          <w:sz w:val="20"/>
          <w:szCs w:val="20"/>
          <w:color w:val="auto"/>
        </w:rPr>
      </w:pPr>
    </w:p>
    <w:p>
      <w:pPr>
        <w:ind w:left="60" w:right="299"/>
        <w:spacing w:after="0" w:line="257" w:lineRule="auto"/>
        <w:rPr>
          <w:sz w:val="20"/>
          <w:szCs w:val="20"/>
          <w:color w:val="auto"/>
        </w:rPr>
      </w:pPr>
      <w:r>
        <w:rPr>
          <w:rFonts w:ascii="Arial" w:cs="Arial" w:eastAsia="Arial" w:hAnsi="Arial"/>
          <w:sz w:val="17"/>
          <w:szCs w:val="17"/>
          <w:color w:val="auto"/>
        </w:rPr>
        <w:t>The Company recognized $1.1 million and $1.0 million of compensation expense related to both non-vested restricted stock units and deferred stock units for the three months ended June 30, 2020 and 2019, respectively. The Company recognized $2.2 million and $1.9 million of compensation expense related to both non-vested restricted stock units and deferred stock units for the six months ended June 30, 2020 and 2019, respectively. As of June 30, 2020, there was $9.8 million of total unrecognized compensation cost related to these non-vested stock awards. This cost is expected to be recognized over a weighted average period of 3.2 years.</w:t>
      </w:r>
    </w:p>
    <w:p>
      <w:pPr>
        <w:spacing w:after="0" w:line="189" w:lineRule="exact"/>
        <w:rPr>
          <w:sz w:val="20"/>
          <w:szCs w:val="20"/>
          <w:color w:val="auto"/>
        </w:rPr>
      </w:pPr>
    </w:p>
    <w:p>
      <w:pPr>
        <w:ind w:left="60" w:right="79"/>
        <w:spacing w:after="0" w:line="324" w:lineRule="auto"/>
        <w:rPr>
          <w:sz w:val="20"/>
          <w:szCs w:val="20"/>
          <w:color w:val="auto"/>
        </w:rPr>
      </w:pPr>
      <w:r>
        <w:rPr>
          <w:rFonts w:ascii="Arial" w:cs="Arial" w:eastAsia="Arial" w:hAnsi="Arial"/>
          <w:sz w:val="16"/>
          <w:szCs w:val="16"/>
          <w:color w:val="auto"/>
        </w:rPr>
        <w:t>As of June 30, 2020, 1,829,606 shares remain available for issuance pursuant to the Company’s 2020 Equity Incentive Plan and 24,761 shares remain available for issuance pursuant to the Company’s Employee Stock Purchase Plan.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Outstanding Commitments and Contingent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left="60" w:right="259"/>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1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30, 2020</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5"/>
              </w:rPr>
              <w:t>Financial instruments whose contract amounts represent credit risk:</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Commitments to extend credit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1,705,344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1,649,565</w:t>
            </w:r>
          </w:p>
        </w:tc>
      </w:tr>
      <w:tr>
        <w:trPr>
          <w:trHeight w:val="23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47,886</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42,581</w:t>
            </w:r>
          </w:p>
        </w:tc>
      </w:tr>
    </w:tbl>
    <w:p>
      <w:pPr>
        <w:spacing w:after="0" w:line="229"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Upon adoption of CECL, the Company recorded a $5.5 million reserve for unfunded commitments. The Company recorded provision expense of $0.6 million and $1.6 million in the three and six months ended June 30, 2020, respectively, in other non-interest expense for a total unfunded reserve of $7.1 million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Regulatory Capital</w:t>
      </w:r>
    </w:p>
    <w:p>
      <w:pPr>
        <w:spacing w:after="0" w:line="229"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The capital amounts and classification also are subject to qualitative judgments by the regulators about components, risk weightings and other factors.</w:t>
      </w:r>
    </w:p>
    <w:p>
      <w:pPr>
        <w:spacing w:after="0" w:line="203" w:lineRule="exact"/>
        <w:rPr>
          <w:sz w:val="20"/>
          <w:szCs w:val="20"/>
          <w:color w:val="auto"/>
        </w:rPr>
      </w:pPr>
    </w:p>
    <w:p>
      <w:pPr>
        <w:ind w:left="60" w:right="719"/>
        <w:spacing w:after="0" w:line="274" w:lineRule="auto"/>
        <w:rPr>
          <w:sz w:val="20"/>
          <w:szCs w:val="20"/>
          <w:color w:val="auto"/>
        </w:rPr>
      </w:pPr>
      <w:r>
        <w:rPr>
          <w:rFonts w:ascii="Arial" w:cs="Arial" w:eastAsia="Arial" w:hAnsi="Arial"/>
          <w:sz w:val="16"/>
          <w:szCs w:val="16"/>
          <w:color w:val="auto"/>
        </w:rPr>
        <w:t>Banking regulations identify five capital categories for insured depository institutions: well capitalized, adequately capitalized, undercapitalized, significantly undercapitalized and critically undercapitalized. As of June 30, 2020</w:t>
      </w:r>
    </w:p>
    <w:p>
      <w:pPr>
        <w:spacing w:after="0" w:line="1" w:lineRule="exact"/>
        <w:rPr>
          <w:sz w:val="20"/>
          <w:szCs w:val="20"/>
          <w:color w:val="auto"/>
        </w:rPr>
      </w:pPr>
    </w:p>
    <w:p>
      <w:pPr>
        <w:ind w:left="60" w:right="239"/>
        <w:spacing w:after="0" w:line="239" w:lineRule="auto"/>
        <w:rPr>
          <w:sz w:val="20"/>
          <w:szCs w:val="20"/>
          <w:color w:val="auto"/>
        </w:rPr>
      </w:pPr>
      <w:r>
        <w:rPr>
          <w:rFonts w:ascii="Arial" w:cs="Arial" w:eastAsia="Arial" w:hAnsi="Arial"/>
          <w:sz w:val="18"/>
          <w:szCs w:val="18"/>
          <w:color w:val="auto"/>
        </w:rPr>
        <w:t>and December 31, 2019, all capital ratios of the Company and Busey Bank exceeded the well capitalized levels under the applicable regulatory capital adequacy guidelines. Management believes that no events or changes have occurred subsequent to June 30, 2020 that would change this designation.</w:t>
      </w:r>
    </w:p>
    <w:p>
      <w:pPr>
        <w:spacing w:after="0" w:line="203"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 year period. Under this interim final rule, because the Company has elected to use the deferral option, the regulatory capital impact of our transition adjustments recorded on January 1, 2020 from the adoption of CECL will be deferred for two years. In addition, 25 percent of the ongoing impact of CECL on our allowance for credit losses, retained earnings, and average total consolidated assets from January 1, 2020 through the end of the two-year deferral period, each as reported for regulatory capital purposes, will be added to the deferred transition amounts (“adjusted transition amounts”) and deferred for the two-year period. At the conclusion of the two-year period (January 1, 2022), the adjusted transition amounts will be phased-in for regulatory capital purposes at a rate of 25 percent per year, with the phased-in amounts included in regulatory capital at the beginning of each year.</w:t>
      </w:r>
    </w:p>
    <w:p>
      <w:pPr>
        <w:spacing w:after="0" w:line="213" w:lineRule="exact"/>
        <w:rPr>
          <w:sz w:val="20"/>
          <w:szCs w:val="20"/>
          <w:color w:val="auto"/>
        </w:rPr>
      </w:pPr>
    </w:p>
    <w:p>
      <w:pPr>
        <w:ind w:left="60" w:right="359"/>
        <w:spacing w:after="0" w:line="293"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which qualify as Tier 2 capital for regulatory purposes.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99"/>
        <w:spacing w:after="0" w:line="250"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left="236"/>
              <w:spacing w:after="0"/>
              <w:rPr>
                <w:sz w:val="20"/>
                <w:szCs w:val="20"/>
                <w:color w:val="auto"/>
              </w:rPr>
            </w:pPr>
            <w:r>
              <w:rPr>
                <w:rFonts w:ascii="Arial" w:cs="Arial" w:eastAsia="Arial" w:hAnsi="Arial"/>
                <w:sz w:val="14"/>
                <w:szCs w:val="14"/>
                <w:b w:val="1"/>
                <w:bCs w:val="1"/>
                <w:color w:val="auto"/>
                <w:w w:val="97"/>
              </w:rPr>
              <w:t>Minimum</w:t>
            </w:r>
          </w:p>
        </w:tc>
        <w:tc>
          <w:tcPr>
            <w:tcW w:w="7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0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Minimum</w:t>
            </w:r>
          </w:p>
        </w:tc>
        <w:tc>
          <w:tcPr>
            <w:tcW w:w="240" w:type="dxa"/>
            <w:vAlign w:val="bottom"/>
          </w:tcPr>
          <w:p>
            <w:pPr>
              <w:spacing w:after="0"/>
              <w:rPr>
                <w:sz w:val="15"/>
                <w:szCs w:val="15"/>
                <w:color w:val="auto"/>
              </w:rPr>
            </w:pPr>
          </w:p>
        </w:tc>
        <w:tc>
          <w:tcPr>
            <w:tcW w:w="1040" w:type="dxa"/>
            <w:vAlign w:val="bottom"/>
          </w:tcPr>
          <w:p>
            <w:pPr>
              <w:jc w:val="center"/>
              <w:ind w:left="236"/>
              <w:spacing w:after="0"/>
              <w:rPr>
                <w:sz w:val="20"/>
                <w:szCs w:val="20"/>
                <w:color w:val="auto"/>
              </w:rPr>
            </w:pPr>
            <w:r>
              <w:rPr>
                <w:rFonts w:ascii="Arial" w:cs="Arial" w:eastAsia="Arial" w:hAnsi="Arial"/>
                <w:sz w:val="14"/>
                <w:szCs w:val="14"/>
                <w:b w:val="1"/>
                <w:bCs w:val="1"/>
                <w:color w:val="auto"/>
                <w:w w:val="94"/>
              </w:rPr>
              <w:t>To Be Well</w:t>
            </w:r>
          </w:p>
        </w:tc>
        <w:tc>
          <w:tcPr>
            <w:tcW w:w="7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Actual</w:t>
            </w:r>
          </w:p>
        </w:tc>
        <w:tc>
          <w:tcPr>
            <w:tcW w:w="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Capital Requirement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7"/>
              </w:rPr>
              <w:t>Capitalized</w:t>
            </w:r>
          </w:p>
        </w:tc>
        <w:tc>
          <w:tcPr>
            <w:tcW w:w="700" w:type="dxa"/>
            <w:vAlign w:val="bottom"/>
            <w:tcBorders>
              <w:bottom w:val="single" w:sz="8" w:color="auto"/>
            </w:tcBorders>
          </w:tcPr>
          <w:p>
            <w:pPr>
              <w:spacing w:after="0"/>
              <w:rPr>
                <w:sz w:val="16"/>
                <w:szCs w:val="16"/>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1"/>
              </w:rPr>
              <w:t>Ratio</w:t>
            </w:r>
          </w:p>
        </w:tc>
      </w:tr>
      <w:tr>
        <w:trPr>
          <w:trHeight w:val="223"/>
        </w:trPr>
        <w:tc>
          <w:tcPr>
            <w:tcW w:w="30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 2020: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7"/>
              </w:rPr>
              <w:t>Total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2"/>
              </w:rPr>
              <w:t>1,200,278</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16.23 %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$ 591,499</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739,374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r>
      <w:tr>
        <w:trPr>
          <w:trHeight w:val="229"/>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1,056,068</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14.30 %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$ 590,746</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738,433</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10.00 %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5"/>
              </w:rPr>
              <w:t>Tier 1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941,243</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12.73 %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$ 443,624</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591,499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982,033</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13.30 %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$ 443,060</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590,746</w:t>
            </w:r>
          </w:p>
        </w:tc>
        <w:tc>
          <w:tcPr>
            <w:tcW w:w="700" w:type="dxa"/>
            <w:vAlign w:val="bottom"/>
          </w:tcPr>
          <w:p>
            <w:pPr>
              <w:jc w:val="right"/>
              <w:spacing w:after="0"/>
              <w:rPr>
                <w:sz w:val="20"/>
                <w:szCs w:val="20"/>
                <w:color w:val="auto"/>
              </w:rPr>
            </w:pPr>
            <w:r>
              <w:rPr>
                <w:rFonts w:ascii="Arial" w:cs="Arial" w:eastAsia="Arial" w:hAnsi="Arial"/>
                <w:sz w:val="18"/>
                <w:szCs w:val="18"/>
                <w:color w:val="auto"/>
              </w:rPr>
              <w:t>8.00 %</w:t>
            </w:r>
          </w:p>
        </w:tc>
      </w:tr>
      <w:tr>
        <w:trPr>
          <w:trHeight w:val="229"/>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4220" w:type="dxa"/>
            <w:vAlign w:val="bottom"/>
            <w:gridSpan w:val="8"/>
          </w:tcPr>
          <w:p>
            <w:pPr>
              <w:ind w:left="20"/>
              <w:spacing w:after="0" w:line="189" w:lineRule="exact"/>
              <w:rPr>
                <w:sz w:val="20"/>
                <w:szCs w:val="20"/>
                <w:color w:val="auto"/>
              </w:rPr>
            </w:pPr>
            <w:r>
              <w:rPr>
                <w:rFonts w:ascii="Arial" w:cs="Arial" w:eastAsia="Arial" w:hAnsi="Arial"/>
                <w:sz w:val="18"/>
                <w:szCs w:val="18"/>
                <w:color w:val="auto"/>
                <w:w w:val="92"/>
              </w:rPr>
              <w:t>Common Equity Tier 1 Capital (to Risk Weighted Assets)</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867,243</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11.73 %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$ 332,718</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480,593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29"/>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982,033</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13.30 %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$ 332,295</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479,981</w:t>
            </w:r>
          </w:p>
        </w:tc>
        <w:tc>
          <w:tcPr>
            <w:tcW w:w="70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941,243</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$ 399,631</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20"/>
                <w:szCs w:val="20"/>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982,033</w:t>
            </w:r>
          </w:p>
        </w:tc>
        <w:tc>
          <w:tcPr>
            <w:tcW w:w="6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9.82 %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$ 399,926</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499,907</w:t>
            </w:r>
          </w:p>
        </w:tc>
        <w:tc>
          <w:tcPr>
            <w:tcW w:w="70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408"/>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left="236"/>
              <w:spacing w:after="0"/>
              <w:rPr>
                <w:sz w:val="20"/>
                <w:szCs w:val="20"/>
                <w:color w:val="auto"/>
              </w:rPr>
            </w:pPr>
            <w:r>
              <w:rPr>
                <w:rFonts w:ascii="Arial" w:cs="Arial" w:eastAsia="Arial" w:hAnsi="Arial"/>
                <w:sz w:val="14"/>
                <w:szCs w:val="14"/>
                <w:b w:val="1"/>
                <w:bCs w:val="1"/>
                <w:color w:val="auto"/>
                <w:w w:val="97"/>
              </w:rPr>
              <w:t>Minimum</w:t>
            </w:r>
          </w:p>
        </w:tc>
        <w:tc>
          <w:tcPr>
            <w:tcW w:w="70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0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Minimum</w:t>
            </w:r>
          </w:p>
        </w:tc>
        <w:tc>
          <w:tcPr>
            <w:tcW w:w="240" w:type="dxa"/>
            <w:vAlign w:val="bottom"/>
          </w:tcPr>
          <w:p>
            <w:pPr>
              <w:spacing w:after="0"/>
              <w:rPr>
                <w:sz w:val="15"/>
                <w:szCs w:val="15"/>
                <w:color w:val="auto"/>
              </w:rPr>
            </w:pPr>
          </w:p>
        </w:tc>
        <w:tc>
          <w:tcPr>
            <w:tcW w:w="1040" w:type="dxa"/>
            <w:vAlign w:val="bottom"/>
          </w:tcPr>
          <w:p>
            <w:pPr>
              <w:jc w:val="center"/>
              <w:ind w:left="236"/>
              <w:spacing w:after="0"/>
              <w:rPr>
                <w:sz w:val="20"/>
                <w:szCs w:val="20"/>
                <w:color w:val="auto"/>
              </w:rPr>
            </w:pPr>
            <w:r>
              <w:rPr>
                <w:rFonts w:ascii="Arial" w:cs="Arial" w:eastAsia="Arial" w:hAnsi="Arial"/>
                <w:sz w:val="14"/>
                <w:szCs w:val="14"/>
                <w:b w:val="1"/>
                <w:bCs w:val="1"/>
                <w:color w:val="auto"/>
                <w:w w:val="94"/>
              </w:rPr>
              <w:t>To Be Well</w:t>
            </w:r>
          </w:p>
        </w:tc>
        <w:tc>
          <w:tcPr>
            <w:tcW w:w="7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Actual</w:t>
            </w:r>
          </w:p>
        </w:tc>
        <w:tc>
          <w:tcPr>
            <w:tcW w:w="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Capital Requirement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236"/>
              <w:spacing w:after="0"/>
              <w:rPr>
                <w:sz w:val="20"/>
                <w:szCs w:val="20"/>
                <w:color w:val="auto"/>
              </w:rPr>
            </w:pPr>
            <w:r>
              <w:rPr>
                <w:rFonts w:ascii="Arial" w:cs="Arial" w:eastAsia="Arial" w:hAnsi="Arial"/>
                <w:sz w:val="14"/>
                <w:szCs w:val="14"/>
                <w:b w:val="1"/>
                <w:bCs w:val="1"/>
                <w:color w:val="auto"/>
                <w:w w:val="97"/>
              </w:rPr>
              <w:t>Capitalized</w:t>
            </w:r>
          </w:p>
        </w:tc>
        <w:tc>
          <w:tcPr>
            <w:tcW w:w="700" w:type="dxa"/>
            <w:vAlign w:val="bottom"/>
            <w:tcBorders>
              <w:bottom w:val="single" w:sz="8" w:color="auto"/>
            </w:tcBorders>
          </w:tcPr>
          <w:p>
            <w:pPr>
              <w:spacing w:after="0"/>
              <w:rPr>
                <w:sz w:val="16"/>
                <w:szCs w:val="16"/>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1"/>
              </w:rPr>
              <w:t>Ratio</w:t>
            </w:r>
          </w:p>
        </w:tc>
      </w:tr>
      <w:tr>
        <w:trPr>
          <w:trHeight w:val="223"/>
        </w:trPr>
        <w:tc>
          <w:tcPr>
            <w:tcW w:w="308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7"/>
              </w:rPr>
              <w:t>Total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2"/>
              </w:rPr>
              <w:t>1,036,143</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14.03 %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$ 590,826</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738,532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1,099,449</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14.92 %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$ 589,681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737,101</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10.00 %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w w:val="95"/>
              </w:rPr>
              <w:t>Tier 1 Capital (to Risk Weighted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922,395</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12.49 %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$ 443,120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590,826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1,045,701</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$ 442,261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589,681</w:t>
            </w:r>
          </w:p>
        </w:tc>
        <w:tc>
          <w:tcPr>
            <w:tcW w:w="700" w:type="dxa"/>
            <w:vAlign w:val="bottom"/>
          </w:tcPr>
          <w:p>
            <w:pPr>
              <w:jc w:val="right"/>
              <w:spacing w:after="0"/>
              <w:rPr>
                <w:sz w:val="20"/>
                <w:szCs w:val="20"/>
                <w:color w:val="auto"/>
              </w:rPr>
            </w:pPr>
            <w:r>
              <w:rPr>
                <w:rFonts w:ascii="Arial" w:cs="Arial" w:eastAsia="Arial" w:hAnsi="Arial"/>
                <w:sz w:val="18"/>
                <w:szCs w:val="18"/>
                <w:color w:val="auto"/>
              </w:rPr>
              <w:t>8.00 %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4220" w:type="dxa"/>
            <w:vAlign w:val="bottom"/>
            <w:gridSpan w:val="8"/>
          </w:tcPr>
          <w:p>
            <w:pPr>
              <w:ind w:left="20"/>
              <w:spacing w:after="0" w:line="189" w:lineRule="exact"/>
              <w:rPr>
                <w:sz w:val="20"/>
                <w:szCs w:val="20"/>
                <w:color w:val="auto"/>
              </w:rPr>
            </w:pPr>
            <w:r>
              <w:rPr>
                <w:rFonts w:ascii="Arial" w:cs="Arial" w:eastAsia="Arial" w:hAnsi="Arial"/>
                <w:sz w:val="18"/>
                <w:szCs w:val="18"/>
                <w:color w:val="auto"/>
                <w:w w:val="92"/>
              </w:rPr>
              <w:t>Common Equity Tier 1 Capital (to Risk Weighted Assets)</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848,395</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11.49 %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$ 332,340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480,046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1,045,701</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$ 331,696</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479,116</w:t>
            </w:r>
          </w:p>
        </w:tc>
        <w:tc>
          <w:tcPr>
            <w:tcW w:w="70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30"/>
        </w:trPr>
        <w:tc>
          <w:tcPr>
            <w:tcW w:w="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9"/>
        </w:trPr>
        <w:tc>
          <w:tcPr>
            <w:tcW w:w="308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922,395</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9.88 %</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$ 373,360</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19"/>
                <w:szCs w:val="19"/>
                <w:color w:val="auto"/>
              </w:rPr>
            </w:pPr>
          </w:p>
        </w:tc>
        <w:tc>
          <w:tcPr>
            <w:tcW w:w="306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4"/>
              <w:spacing w:after="0"/>
              <w:rPr>
                <w:sz w:val="20"/>
                <w:szCs w:val="20"/>
                <w:color w:val="auto"/>
              </w:rPr>
            </w:pPr>
            <w:r>
              <w:rPr>
                <w:rFonts w:ascii="Arial" w:cs="Arial" w:eastAsia="Arial" w:hAnsi="Arial"/>
                <w:sz w:val="18"/>
                <w:szCs w:val="18"/>
                <w:color w:val="auto"/>
                <w:w w:val="92"/>
              </w:rPr>
              <w:t>1,045,701</w:t>
            </w:r>
          </w:p>
        </w:tc>
        <w:tc>
          <w:tcPr>
            <w:tcW w:w="6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11.19 %</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$ 373,639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4.00 %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467,049</w:t>
            </w:r>
          </w:p>
        </w:tc>
        <w:tc>
          <w:tcPr>
            <w:tcW w:w="70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57"/>
        </w:trPr>
        <w:tc>
          <w:tcPr>
            <w:tcW w:w="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bl>
    <w:p>
      <w:pPr>
        <w:spacing w:after="0" w:line="21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In July 2013, the U.S. federal banking authorities approved the Basel III Rule for strengthening international capital standards. The Basel III Rule introduced a capital conservation buffer, composed entirely of Common Equity Tier 1 Capital (“CET1”), which is added to the minimum risk-weighted asset ratios. The capital conservation buffer is not a</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79"/>
        <w:spacing w:after="0" w:line="279" w:lineRule="auto"/>
        <w:rPr>
          <w:sz w:val="20"/>
          <w:szCs w:val="20"/>
          <w:color w:val="auto"/>
        </w:rPr>
      </w:pPr>
      <w:r>
        <w:rPr>
          <w:rFonts w:ascii="Arial" w:cs="Arial" w:eastAsia="Arial" w:hAnsi="Arial"/>
          <w:sz w:val="16"/>
          <w:szCs w:val="16"/>
          <w:color w:val="auto"/>
        </w:rPr>
        <w:t>minimum capital requirement; however, banking institutions with a ratio of CET1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CET1 to risk-weighted assets of at least 7.00%, (ii) tier 1 capital to risk-weighted assets of at least 8.50%, and (iii) total capital to risk-weighted assets of at least 10.50%.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Operating Segments and Related Information</w:t>
      </w:r>
    </w:p>
    <w:p>
      <w:pPr>
        <w:spacing w:after="0" w:line="22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the St. Louis, Missouri metropolitan area, southwest Florida and through its banking center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204" w:lineRule="exact"/>
        <w:rPr>
          <w:sz w:val="20"/>
          <w:szCs w:val="20"/>
          <w:color w:val="auto"/>
        </w:rPr>
      </w:pPr>
    </w:p>
    <w:p>
      <w:pPr>
        <w:jc w:val="both"/>
        <w:ind w:left="60" w:right="279"/>
        <w:spacing w:after="0" w:line="248"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95"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the “Note 1. Significant Accounting Policies” to Form 10-K. The Company accounts for intersegment revenue and transfers at current market value.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Following is a summary of selected financial information for the Company’s operating segments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ectPr>
          <w:pgSz w:w="11900" w:h="16838" w:orient="portrait"/>
          <w:cols w:equalWidth="0" w:num="1">
            <w:col w:w="9019"/>
          </w:cols>
          <w:pgMar w:left="1440" w:top="530" w:right="1440" w:bottom="1440" w:gutter="0" w:footer="0" w:header="0"/>
        </w:sectPr>
      </w:pPr>
    </w:p>
    <w:p>
      <w:pPr>
        <w:spacing w:after="0" w:line="267"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15240</wp:posOffset>
            </wp:positionV>
            <wp:extent cx="18173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8" w:lineRule="exact"/>
        <w:rPr>
          <w:sz w:val="20"/>
          <w:szCs w:val="20"/>
          <w:color w:val="auto"/>
        </w:rPr>
      </w:pPr>
    </w:p>
    <w:p>
      <w:pPr>
        <w:ind w:left="3200"/>
        <w:spacing w:after="0"/>
        <w:tabs>
          <w:tab w:leader="none" w:pos="458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15240</wp:posOffset>
            </wp:positionV>
            <wp:extent cx="18345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8"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June 30, 2020</w:t>
      </w:r>
      <w:r>
        <w:rPr>
          <w:sz w:val="20"/>
          <w:szCs w:val="20"/>
          <w:color w:val="auto"/>
        </w:rPr>
        <w:tab/>
      </w:r>
      <w:r>
        <w:rPr>
          <w:rFonts w:ascii="Arial" w:cs="Arial" w:eastAsia="Arial" w:hAnsi="Arial"/>
          <w:sz w:val="12"/>
          <w:szCs w:val="12"/>
          <w:b w:val="1"/>
          <w:bCs w:val="1"/>
          <w:color w:val="auto"/>
        </w:rPr>
        <w:t>December 31, 2019</w:t>
      </w:r>
    </w:p>
    <w:p>
      <w:pPr>
        <w:spacing w:after="0" w:line="44" w:lineRule="exact"/>
        <w:rPr>
          <w:sz w:val="20"/>
          <w:szCs w:val="20"/>
          <w:color w:val="auto"/>
        </w:rPr>
      </w:pPr>
    </w:p>
    <w:p>
      <w:pPr>
        <w:sectPr>
          <w:pgSz w:w="11900" w:h="16838" w:orient="portrait"/>
          <w:cols w:equalWidth="0" w:num="2">
            <w:col w:w="5760" w:space="540"/>
            <w:col w:w="2719"/>
          </w:cols>
          <w:pgMar w:left="1440" w:top="530"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Banking</w:t>
            </w:r>
          </w:p>
        </w:tc>
        <w:tc>
          <w:tcPr>
            <w:tcW w:w="1020" w:type="dxa"/>
            <w:vAlign w:val="bottom"/>
            <w:gridSpan w:val="2"/>
            <w:shd w:val="clear" w:color="auto" w:fill="CCEEFF"/>
          </w:tcPr>
          <w:p>
            <w:pPr>
              <w:jc w:val="right"/>
              <w:ind w:right="227"/>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288,436</w:t>
            </w:r>
          </w:p>
        </w:tc>
        <w:tc>
          <w:tcPr>
            <w:tcW w:w="580" w:type="dxa"/>
            <w:vAlign w:val="bottom"/>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288,436</w:t>
            </w:r>
          </w:p>
        </w:tc>
        <w:tc>
          <w:tcPr>
            <w:tcW w:w="50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10,765,956</w:t>
            </w:r>
          </w:p>
        </w:tc>
        <w:tc>
          <w:tcPr>
            <w:tcW w:w="4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9,632,368</w:t>
            </w: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Remittance Processing</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8,992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45,334</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44,209</w:t>
            </w:r>
          </w:p>
        </w:tc>
      </w:tr>
      <w:tr>
        <w:trPr>
          <w:trHeight w:val="230"/>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14,108</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40,361</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32,760</w:t>
            </w:r>
          </w:p>
        </w:tc>
      </w:tr>
      <w:tr>
        <w:trPr>
          <w:trHeight w:val="229"/>
        </w:trPr>
        <w:tc>
          <w:tcPr>
            <w:tcW w:w="20" w:type="dxa"/>
            <w:vAlign w:val="bottom"/>
          </w:tcPr>
          <w:p>
            <w:pPr>
              <w:spacing w:after="0"/>
              <w:rPr>
                <w:sz w:val="19"/>
                <w:szCs w:val="19"/>
                <w:color w:val="auto"/>
              </w:rPr>
            </w:pPr>
          </w:p>
        </w:tc>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(15,686)</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(13,608)</w:t>
            </w: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6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311,536</w:t>
            </w:r>
          </w:p>
        </w:tc>
        <w:tc>
          <w:tcPr>
            <w:tcW w:w="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10,835,965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9,695,729</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type w:val="continuous"/>
        </w:sectPr>
      </w:pPr>
    </w:p>
    <w:bookmarkStart w:id="34" w:name="page35"/>
    <w:bookmarkEnd w:id="34"/>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22225</wp:posOffset>
            </wp:positionV>
            <wp:extent cx="16973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 w:lineRule="exact"/>
        <w:rPr>
          <w:sz w:val="20"/>
          <w:szCs w:val="20"/>
          <w:color w:val="auto"/>
        </w:rPr>
      </w:pPr>
    </w:p>
    <w:p>
      <w:pPr>
        <w:ind w:left="3780"/>
        <w:spacing w:after="0"/>
        <w:tabs>
          <w:tab w:leader="none" w:pos="5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15240</wp:posOffset>
            </wp:positionV>
            <wp:extent cx="564070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07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22225</wp:posOffset>
            </wp:positionV>
            <wp:extent cx="1714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p>
    <w:p>
      <w:pPr>
        <w:spacing w:after="0"/>
        <w:tabs>
          <w:tab w:leader="none" w:pos="146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47" w:lineRule="exact"/>
        <w:rPr>
          <w:sz w:val="20"/>
          <w:szCs w:val="20"/>
          <w:color w:val="auto"/>
        </w:rPr>
      </w:pPr>
    </w:p>
    <w:p>
      <w:pPr>
        <w:sectPr>
          <w:pgSz w:w="11900" w:h="16838" w:orient="portrait"/>
          <w:cols w:equalWidth="0" w:num="2">
            <w:col w:w="5980" w:space="720"/>
            <w:col w:w="231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8"/>
          <w:szCs w:val="18"/>
          <w:u w:val="single" w:color="auto"/>
          <w:color w:val="auto"/>
        </w:rPr>
        <w:t>Net interest income:</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Banking</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73,318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75,944</w:t>
            </w:r>
          </w:p>
        </w:tc>
        <w:tc>
          <w:tcPr>
            <w:tcW w:w="260" w:type="dxa"/>
            <w:vAlign w:val="bottom"/>
          </w:tcPr>
          <w:p>
            <w:pPr>
              <w:spacing w:after="0"/>
              <w:rPr>
                <w:sz w:val="19"/>
                <w:szCs w:val="19"/>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144,891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(2,524)</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(4,683)</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tcBorders>
              <w:bottom w:val="single" w:sz="8" w:color="CCEEFF"/>
            </w:tcBorders>
            <w:gridSpan w:val="5"/>
          </w:tcPr>
          <w:p>
            <w:pPr>
              <w:ind w:left="300"/>
              <w:spacing w:after="0"/>
              <w:rPr>
                <w:sz w:val="20"/>
                <w:szCs w:val="20"/>
                <w:color w:val="auto"/>
              </w:rPr>
            </w:pPr>
            <w:r>
              <w:rPr>
                <w:rFonts w:ascii="Arial" w:cs="Arial" w:eastAsia="Arial" w:hAnsi="Arial"/>
                <w:sz w:val="18"/>
                <w:szCs w:val="18"/>
                <w:color w:val="auto"/>
              </w:rPr>
              <w:t>Total net interest income</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70,813</w:t>
            </w: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73,428</w:t>
            </w: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140,246</w:t>
            </w:r>
          </w:p>
        </w:tc>
        <w:tc>
          <w:tcPr>
            <w:tcW w:w="4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gridSpan w:val="5"/>
          </w:tcPr>
          <w:p>
            <w:pPr>
              <w:spacing w:after="0" w:line="189" w:lineRule="exact"/>
              <w:rPr>
                <w:sz w:val="20"/>
                <w:szCs w:val="20"/>
                <w:color w:val="auto"/>
              </w:rPr>
            </w:pPr>
            <w:r>
              <w:rPr>
                <w:rFonts w:ascii="Arial" w:cs="Arial" w:eastAsia="Arial" w:hAnsi="Arial"/>
                <w:sz w:val="18"/>
                <w:szCs w:val="18"/>
                <w:color w:val="auto"/>
              </w:rPr>
              <w:t>Non-interest income:</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14,026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w:t>
            </w:r>
          </w:p>
        </w:tc>
        <w:tc>
          <w:tcPr>
            <w:tcW w:w="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27,194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3,962</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8,031</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10,310</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22,019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5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(1,763)</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top w:val="single" w:sz="8" w:color="CCEEFF"/>
              <w:bottom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rPr>
              <w:t>Total non-interest income</w:t>
            </w: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27,964</w:t>
            </w:r>
          </w:p>
        </w:tc>
        <w:tc>
          <w:tcPr>
            <w:tcW w:w="5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55,481</w:t>
            </w:r>
          </w:p>
        </w:tc>
        <w:tc>
          <w:tcPr>
            <w:tcW w:w="4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87"/>
              </w:rPr>
              <w:t>Non-interest expense:</w:t>
            </w:r>
          </w:p>
        </w:tc>
        <w:tc>
          <w:tcPr>
            <w:tcW w:w="168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Banking</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41,659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56,895</w:t>
            </w:r>
          </w:p>
        </w:tc>
        <w:tc>
          <w:tcPr>
            <w:tcW w:w="260" w:type="dxa"/>
            <w:vAlign w:val="bottom"/>
          </w:tcPr>
          <w:p>
            <w:pPr>
              <w:spacing w:after="0"/>
              <w:rPr>
                <w:sz w:val="19"/>
                <w:szCs w:val="19"/>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90,174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3,243</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6,146</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6,254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13,228</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1,912</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4,034</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tcBorders>
              <w:bottom w:val="single" w:sz="8" w:color="CCEEFF"/>
            </w:tcBorders>
            <w:gridSpan w:val="5"/>
          </w:tcPr>
          <w:p>
            <w:pPr>
              <w:ind w:left="300"/>
              <w:spacing w:after="0"/>
              <w:rPr>
                <w:sz w:val="20"/>
                <w:szCs w:val="20"/>
                <w:color w:val="auto"/>
              </w:rPr>
            </w:pPr>
            <w:r>
              <w:rPr>
                <w:rFonts w:ascii="Arial" w:cs="Arial" w:eastAsia="Arial" w:hAnsi="Arial"/>
                <w:sz w:val="18"/>
                <w:szCs w:val="18"/>
                <w:color w:val="auto"/>
              </w:rPr>
              <w:t>Total non-interest expense</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53,068</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68,020</w:t>
            </w: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113,582</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40" w:type="dxa"/>
            <w:vAlign w:val="bottom"/>
            <w:gridSpan w:val="5"/>
          </w:tcPr>
          <w:p>
            <w:pPr>
              <w:spacing w:after="0" w:line="189" w:lineRule="exact"/>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32,794</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w:t>
            </w:r>
          </w:p>
        </w:tc>
        <w:tc>
          <w:tcPr>
            <w:tcW w:w="2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51,804</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738</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1,923</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4,056</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8,791</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(4,770)</w:t>
            </w:r>
          </w:p>
        </w:tc>
        <w:tc>
          <w:tcPr>
            <w:tcW w:w="5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(6,795)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(10,480)</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top w:val="single" w:sz="8" w:color="CCEEFF"/>
              <w:bottom w:val="single" w:sz="8" w:color="CCEEFF"/>
            </w:tcBorders>
            <w:gridSpan w:val="5"/>
            <w:shd w:val="clear" w:color="auto" w:fill="CCEEFF"/>
          </w:tcPr>
          <w:p>
            <w:pPr>
              <w:ind w:left="300"/>
              <w:spacing w:after="0"/>
              <w:rPr>
                <w:sz w:val="20"/>
                <w:szCs w:val="20"/>
                <w:color w:val="auto"/>
              </w:rPr>
            </w:pPr>
            <w:r>
              <w:rPr>
                <w:rFonts w:ascii="Arial" w:cs="Arial" w:eastAsia="Arial" w:hAnsi="Arial"/>
                <w:sz w:val="18"/>
                <w:szCs w:val="18"/>
                <w:color w:val="auto"/>
              </w:rPr>
              <w:t>Total income before income taxes</w:t>
            </w: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32,818</w:t>
            </w:r>
          </w:p>
        </w:tc>
        <w:tc>
          <w:tcPr>
            <w:tcW w:w="5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52,038</w:t>
            </w:r>
          </w:p>
        </w:tc>
        <w:tc>
          <w:tcPr>
            <w:tcW w:w="4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Banking</w:t>
            </w:r>
          </w:p>
        </w:tc>
        <w:tc>
          <w:tcPr>
            <w:tcW w:w="2380" w:type="dxa"/>
            <w:vAlign w:val="bottom"/>
            <w:tcBorders>
              <w:top w:val="single" w:sz="8" w:color="CCEEFF"/>
            </w:tcBorders>
            <w:gridSpan w:val="4"/>
          </w:tcPr>
          <w:p>
            <w:pPr>
              <w:spacing w:after="0"/>
              <w:rPr>
                <w:sz w:val="19"/>
                <w:szCs w:val="19"/>
                <w:color w:val="auto"/>
              </w:rPr>
            </w:pPr>
          </w:p>
        </w:tc>
        <w:tc>
          <w:tcPr>
            <w:tcW w:w="360" w:type="dxa"/>
            <w:vAlign w:val="bottom"/>
            <w:tcBorders>
              <w:top w:val="single" w:sz="8" w:color="CCEEFF"/>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25,985</w:t>
            </w:r>
          </w:p>
        </w:tc>
        <w:tc>
          <w:tcPr>
            <w:tcW w:w="52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24,441</w:t>
            </w:r>
          </w:p>
        </w:tc>
        <w:tc>
          <w:tcPr>
            <w:tcW w:w="2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40,909</w:t>
            </w:r>
          </w:p>
        </w:tc>
        <w:tc>
          <w:tcPr>
            <w:tcW w:w="4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528</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1,388</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tcPr>
          <w:p>
            <w:pPr>
              <w:ind w:left="100"/>
              <w:spacing w:after="0"/>
              <w:rPr>
                <w:sz w:val="20"/>
                <w:szCs w:val="20"/>
                <w:color w:val="auto"/>
              </w:rPr>
            </w:pPr>
            <w:r>
              <w:rPr>
                <w:rFonts w:ascii="Arial" w:cs="Arial" w:eastAsia="Arial" w:hAnsi="Arial"/>
                <w:sz w:val="18"/>
                <w:szCs w:val="18"/>
                <w:color w:val="auto"/>
              </w:rPr>
              <w:t>Wealth Management</w:t>
            </w:r>
          </w:p>
        </w:tc>
        <w:tc>
          <w:tcPr>
            <w:tcW w:w="3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3,082</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6,681</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(3,789)</w:t>
            </w: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(4,306)</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(7,808)</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gridSpan w:val="5"/>
          </w:tcPr>
          <w:p>
            <w:pPr>
              <w:ind w:left="300"/>
              <w:spacing w:after="0"/>
              <w:rPr>
                <w:sz w:val="20"/>
                <w:szCs w:val="20"/>
                <w:color w:val="auto"/>
              </w:rPr>
            </w:pPr>
            <w:r>
              <w:rPr>
                <w:rFonts w:ascii="Arial" w:cs="Arial" w:eastAsia="Arial" w:hAnsi="Arial"/>
                <w:sz w:val="18"/>
                <w:szCs w:val="18"/>
                <w:color w:val="auto"/>
              </w:rPr>
              <w:t>Total net income</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25,806</w:t>
            </w:r>
          </w:p>
        </w:tc>
        <w:tc>
          <w:tcPr>
            <w:tcW w:w="5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41,170</w:t>
            </w:r>
          </w:p>
        </w:tc>
        <w:tc>
          <w:tcPr>
            <w:tcW w:w="4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ind w:left="60" w:right="299"/>
        <w:spacing w:after="0" w:line="279"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“Note 14: Fair Value Measurements” for further discussion of the fair value measurement of such derivatives.</w:t>
      </w:r>
    </w:p>
    <w:p>
      <w:pPr>
        <w:spacing w:after="0" w:line="173" w:lineRule="exact"/>
        <w:rPr>
          <w:sz w:val="20"/>
          <w:szCs w:val="20"/>
          <w:color w:val="auto"/>
        </w:rPr>
      </w:pPr>
    </w:p>
    <w:p>
      <w:pPr>
        <w:ind w:left="60" w:right="439"/>
        <w:spacing w:after="0" w:line="324" w:lineRule="auto"/>
        <w:rPr>
          <w:sz w:val="20"/>
          <w:szCs w:val="20"/>
          <w:color w:val="auto"/>
        </w:rPr>
      </w:pPr>
      <w:r>
        <w:rPr>
          <w:rFonts w:ascii="Arial" w:cs="Arial" w:eastAsia="Arial" w:hAnsi="Arial"/>
          <w:sz w:val="16"/>
          <w:szCs w:val="16"/>
          <w:i w:val="1"/>
          <w:iCs w:val="1"/>
          <w:color w:val="auto"/>
        </w:rPr>
        <w:t xml:space="preserve">Interest Rate Swaps Designated as Cash Flow Hedges: </w:t>
      </w:r>
      <w:r>
        <w:rPr>
          <w:rFonts w:ascii="Arial" w:cs="Arial" w:eastAsia="Arial" w:hAnsi="Arial"/>
          <w:sz w:val="16"/>
          <w:szCs w:val="16"/>
          <w:color w:val="auto"/>
        </w:rPr>
        <w:t>Starting in the third quarter of 2019, the Company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designated as cash flow hedges. For derivative instruments that are designated and qualify as 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259"/>
        <w:spacing w:after="0" w:line="294" w:lineRule="auto"/>
        <w:rPr>
          <w:sz w:val="20"/>
          <w:szCs w:val="20"/>
          <w:color w:val="auto"/>
        </w:rPr>
      </w:pPr>
      <w:r>
        <w:rPr>
          <w:rFonts w:ascii="Arial" w:cs="Arial" w:eastAsia="Arial" w:hAnsi="Arial"/>
          <w:sz w:val="16"/>
          <w:szCs w:val="16"/>
          <w:color w:val="auto"/>
        </w:rPr>
        <w:t>cash flow hedge, the change in fair value of the derivative instrument is reported as a component of other comprehensive income and reclassified into earnings in the same period or periods during which the hedged transaction affects earnings. Change in fair value of components excluded from the assessment of effectiveness are recognized in current earnings.</w:t>
      </w:r>
    </w:p>
    <w:p>
      <w:pPr>
        <w:spacing w:after="0" w:line="16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Interest rate swaps with notional amounts totaling $70.0 million as of June 30, 2020 and December 31, 2019 were designated as cash flow hedges to hedge the risk of variability in cash flows (future interest payments) attributable to changes in the contractually specified 3 month LIBOR benchmark interest rate on the Company’s junior subordinated debt owed to unconsolidated trusts and were determined to be highly effective during the period. The gross aggregate fair value of the swaps of $3.6 million and $0.3 million is recorded in other liabilities in the unaudited consolidated financial statements at June 30, 2020 and December 31, 2019, respectively, with changes in fair value recorded net of tax in other comprehensive income (loss). The Company expects the hedges to remain highly effective during the remaining terms of the swaps.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 summary of the interest-rate swaps designated as cash flow hedges is presented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June 30, 2020</w:t>
            </w:r>
          </w:p>
        </w:tc>
        <w:tc>
          <w:tcPr>
            <w:tcW w:w="6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8"/>
              </w:rPr>
              <w:t>December 31, 2019</w:t>
            </w:r>
          </w:p>
        </w:tc>
        <w:tc>
          <w:tcPr>
            <w:tcW w:w="300" w:type="dxa"/>
            <w:vAlign w:val="bottom"/>
            <w:tcBorders>
              <w:bottom w:val="single" w:sz="8" w:color="auto"/>
            </w:tcBorders>
          </w:tcPr>
          <w:p>
            <w:pPr>
              <w:spacing w:after="0"/>
              <w:rPr>
                <w:sz w:val="16"/>
                <w:szCs w:val="16"/>
                <w:color w:val="auto"/>
              </w:rPr>
            </w:pPr>
          </w:p>
        </w:tc>
      </w:tr>
      <w:tr>
        <w:trPr>
          <w:trHeight w:val="196"/>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Notional amount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300" w:type="dxa"/>
            <w:vAlign w:val="bottom"/>
            <w:shd w:val="clear" w:color="auto" w:fill="CCEEFF"/>
          </w:tcPr>
          <w:p>
            <w:pPr>
              <w:spacing w:after="0"/>
              <w:rPr>
                <w:sz w:val="17"/>
                <w:szCs w:val="17"/>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Weighted average fixed pay rates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1.80</w:t>
            </w:r>
          </w:p>
        </w:tc>
        <w:tc>
          <w:tcPr>
            <w:tcW w:w="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79"/>
              <w:spacing w:after="0"/>
              <w:rPr>
                <w:sz w:val="20"/>
                <w:szCs w:val="20"/>
                <w:color w:val="auto"/>
              </w:rPr>
            </w:pPr>
            <w:r>
              <w:rPr>
                <w:rFonts w:ascii="Arial" w:cs="Arial" w:eastAsia="Arial" w:hAnsi="Arial"/>
                <w:sz w:val="16"/>
                <w:szCs w:val="16"/>
                <w:color w:val="auto"/>
              </w:rPr>
              <w:t>1.80 %</w:t>
            </w:r>
          </w:p>
        </w:tc>
      </w:tr>
      <w:tr>
        <w:trPr>
          <w:trHeight w:val="20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variable 3 month LIBOR receive rates</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6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Weighted average maturity</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3.36</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w w:val="84"/>
              </w:rPr>
              <w:t>yrs</w:t>
            </w:r>
          </w:p>
        </w:tc>
        <w:tc>
          <w:tcPr>
            <w:tcW w:w="1580" w:type="dxa"/>
            <w:vAlign w:val="bottom"/>
          </w:tcPr>
          <w:p>
            <w:pPr>
              <w:jc w:val="right"/>
              <w:spacing w:after="0"/>
              <w:rPr>
                <w:sz w:val="20"/>
                <w:szCs w:val="20"/>
                <w:color w:val="auto"/>
              </w:rPr>
            </w:pPr>
            <w:r>
              <w:rPr>
                <w:rFonts w:ascii="Arial" w:cs="Arial" w:eastAsia="Arial" w:hAnsi="Arial"/>
                <w:sz w:val="16"/>
                <w:szCs w:val="16"/>
                <w:color w:val="auto"/>
              </w:rPr>
              <w:t>3.86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w w:val="84"/>
              </w:rPr>
              <w:t>yrs</w:t>
            </w:r>
          </w:p>
        </w:tc>
      </w:tr>
      <w:tr>
        <w:trPr>
          <w:trHeight w:val="203"/>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(losses), net of tax</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30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Interest expense recorded on these swap transactions were $0.2 million during the three and six months ended June 30, 2020. The Company expects $0.3 million of the unrealized loss to be reclassified from Other Comprehensive Income (Loss) (“OCI”) to interest expense during the next 12 months. This reclassified amount could differ from amounts actually recognized due to changes in interest rates, hedge de-designations and the addition of other hedges subsequent to June 30, 2020.</w:t>
      </w:r>
    </w:p>
    <w:p>
      <w:pPr>
        <w:spacing w:after="0" w:line="203"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 xml:space="preserve">The following table presents the net gains (losses) recorded in accumulated other comprehensive income (loss) and the unaudited Consolidated Statements of Income relating to cash flow derivative instruments for the period presented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June 30, 2020</w:t>
            </w:r>
          </w:p>
        </w:tc>
        <w:tc>
          <w:tcPr>
            <w:tcW w:w="100" w:type="dxa"/>
            <w:vAlign w:val="bottom"/>
          </w:tcPr>
          <w:p>
            <w:pPr>
              <w:spacing w:after="0"/>
              <w:rPr>
                <w:sz w:val="16"/>
                <w:szCs w:val="16"/>
                <w:color w:val="auto"/>
              </w:rPr>
            </w:pPr>
          </w:p>
        </w:tc>
        <w:tc>
          <w:tcPr>
            <w:tcW w:w="266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Six Months Ended June 30, 2020</w:t>
            </w:r>
          </w:p>
        </w:tc>
      </w:tr>
      <w:tr>
        <w:trPr>
          <w:trHeight w:val="186"/>
        </w:trPr>
        <w:tc>
          <w:tcPr>
            <w:tcW w:w="3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Amount of (gain)</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Amount of (gain)</w:t>
            </w:r>
          </w:p>
        </w:tc>
      </w:tr>
      <w:tr>
        <w:trPr>
          <w:trHeight w:val="202"/>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81"/>
              <w:spacing w:after="0"/>
              <w:rPr>
                <w:sz w:val="20"/>
                <w:szCs w:val="20"/>
                <w:color w:val="auto"/>
              </w:rPr>
            </w:pPr>
            <w:r>
              <w:rPr>
                <w:rFonts w:ascii="Arial" w:cs="Arial" w:eastAsia="Arial" w:hAnsi="Arial"/>
                <w:sz w:val="16"/>
                <w:szCs w:val="16"/>
                <w:color w:val="auto"/>
                <w:w w:val="94"/>
              </w:rPr>
              <w:t>Amount of (gain)</w:t>
            </w:r>
          </w:p>
        </w:tc>
        <w:tc>
          <w:tcPr>
            <w:tcW w:w="28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loss reclassified</w:t>
            </w:r>
          </w:p>
        </w:tc>
        <w:tc>
          <w:tcPr>
            <w:tcW w:w="10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Amount of (gain)</w:t>
            </w: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loss reclassified</w:t>
            </w:r>
          </w:p>
        </w:tc>
      </w:tr>
      <w:tr>
        <w:trPr>
          <w:trHeight w:val="203"/>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81"/>
              <w:spacing w:after="0"/>
              <w:rPr>
                <w:sz w:val="20"/>
                <w:szCs w:val="20"/>
                <w:color w:val="auto"/>
              </w:rPr>
            </w:pPr>
            <w:r>
              <w:rPr>
                <w:rFonts w:ascii="Arial" w:cs="Arial" w:eastAsia="Arial" w:hAnsi="Arial"/>
                <w:sz w:val="16"/>
                <w:szCs w:val="16"/>
                <w:color w:val="auto"/>
                <w:w w:val="89"/>
              </w:rPr>
              <w:t>loss recognized</w:t>
            </w:r>
          </w:p>
        </w:tc>
        <w:tc>
          <w:tcPr>
            <w:tcW w:w="28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from OCI to</w:t>
            </w: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loss recognized</w:t>
            </w: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from OCI to</w:t>
            </w:r>
          </w:p>
        </w:tc>
      </w:tr>
      <w:tr>
        <w:trPr>
          <w:trHeight w:val="209"/>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81"/>
              <w:spacing w:after="0"/>
              <w:rPr>
                <w:sz w:val="20"/>
                <w:szCs w:val="20"/>
                <w:color w:val="auto"/>
              </w:rPr>
            </w:pPr>
            <w:r>
              <w:rPr>
                <w:rFonts w:ascii="Arial" w:cs="Arial" w:eastAsia="Arial" w:hAnsi="Arial"/>
                <w:sz w:val="16"/>
                <w:szCs w:val="16"/>
                <w:color w:val="auto"/>
                <w:w w:val="96"/>
              </w:rPr>
              <w:t>in OCI</w:t>
            </w:r>
          </w:p>
        </w:tc>
        <w:tc>
          <w:tcPr>
            <w:tcW w:w="2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interest income</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in OCI</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interest income</w:t>
            </w:r>
          </w:p>
        </w:tc>
      </w:tr>
      <w:tr>
        <w:trPr>
          <w:trHeight w:val="213"/>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rate contracts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bl>
    <w:p>
      <w:pPr>
        <w:spacing w:after="0" w:line="215" w:lineRule="exact"/>
        <w:rPr>
          <w:sz w:val="20"/>
          <w:szCs w:val="20"/>
          <w:color w:val="auto"/>
        </w:rPr>
      </w:pPr>
    </w:p>
    <w:p>
      <w:pPr>
        <w:ind w:left="60" w:right="159"/>
        <w:spacing w:after="0" w:line="261" w:lineRule="auto"/>
        <w:rPr>
          <w:sz w:val="20"/>
          <w:szCs w:val="20"/>
          <w:color w:val="auto"/>
        </w:rPr>
      </w:pPr>
      <w:r>
        <w:rPr>
          <w:rFonts w:ascii="Arial" w:cs="Arial" w:eastAsia="Arial" w:hAnsi="Arial"/>
          <w:sz w:val="18"/>
          <w:szCs w:val="18"/>
          <w:color w:val="auto"/>
        </w:rPr>
        <w:t>The Company pledged $3.8 million and $0.3 million in cash to secure its obligation under these contracts at June 30, 2020 and December 31, 2019, respectively.</w:t>
      </w:r>
    </w:p>
    <w:p>
      <w:pPr>
        <w:spacing w:after="0" w:line="184"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i w:val="1"/>
          <w:iCs w:val="1"/>
          <w:color w:val="auto"/>
        </w:rPr>
        <w:t>Interest Rate Lock Commitments</w:t>
      </w:r>
      <w:r>
        <w:rPr>
          <w:rFonts w:ascii="Arial" w:cs="Arial" w:eastAsia="Arial" w:hAnsi="Arial"/>
          <w:sz w:val="17"/>
          <w:szCs w:val="17"/>
          <w:color w:val="auto"/>
        </w:rPr>
        <w:t>. At June 30, 2020 and December 31, 2019, the Company had issued $129.5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$69.1 million, respectively, of unexpired interest rate lock commitments to loan customers. Such interest rate lock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89" w:lineRule="exact"/>
        <w:rPr>
          <w:sz w:val="20"/>
          <w:szCs w:val="20"/>
          <w:color w:val="auto"/>
        </w:rPr>
      </w:pPr>
    </w:p>
    <w:p>
      <w:pPr>
        <w:ind w:left="60" w:right="119"/>
        <w:spacing w:after="0" w:line="279" w:lineRule="auto"/>
        <w:rPr>
          <w:sz w:val="20"/>
          <w:szCs w:val="20"/>
          <w:color w:val="auto"/>
        </w:rPr>
      </w:pPr>
      <w:r>
        <w:rPr>
          <w:rFonts w:ascii="Arial" w:cs="Arial" w:eastAsia="Arial" w:hAnsi="Arial"/>
          <w:sz w:val="16"/>
          <w:szCs w:val="16"/>
          <w:i w:val="1"/>
          <w:iCs w:val="1"/>
          <w:color w:val="auto"/>
        </w:rPr>
        <w:t>Forward Sales Commitments</w:t>
      </w:r>
      <w:r>
        <w:rPr>
          <w:rFonts w:ascii="Arial" w:cs="Arial" w:eastAsia="Arial" w:hAnsi="Arial"/>
          <w:sz w:val="16"/>
          <w:szCs w:val="16"/>
          <w:color w:val="auto"/>
        </w:rPr>
        <w:t>. At June 30, 2020 and December 31, 2019, the Company had issued $231.4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$135.3 million, respectively, of unexpired forward sales commitments to mortgage loan 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 xml:space="preserve">customers. Forward sales commitments that meet the definition of derivative financial instruments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While such forward sales commitments generally serve as an 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89" w:lineRule="exact"/>
        <w:rPr>
          <w:sz w:val="20"/>
          <w:szCs w:val="20"/>
          <w:color w:val="auto"/>
        </w:rPr>
      </w:pPr>
    </w:p>
    <w:p>
      <w:pPr>
        <w:ind w:left="60" w:right="119"/>
        <w:spacing w:after="0" w:line="324" w:lineRule="auto"/>
        <w:rPr>
          <w:sz w:val="20"/>
          <w:szCs w:val="20"/>
          <w:color w:val="auto"/>
        </w:rPr>
      </w:pPr>
      <w:r>
        <w:rPr>
          <w:rFonts w:ascii="Arial" w:cs="Arial" w:eastAsia="Arial" w:hAnsi="Arial"/>
          <w:sz w:val="16"/>
          <w:szCs w:val="16"/>
          <w:color w:val="auto"/>
        </w:rPr>
        <w:t xml:space="preserve">The fair values of derivative assets and liabilities related to interest rate lock commitments and forward sales commitments recorded in the unaudited Consolidated Balance Sheets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7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2,410</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4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4,974</w:t>
            </w:r>
          </w:p>
        </w:tc>
        <w:tc>
          <w:tcPr>
            <w:tcW w:w="4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2,187</w:t>
            </w:r>
          </w:p>
        </w:tc>
      </w:tr>
    </w:tbl>
    <w:p>
      <w:pPr>
        <w:spacing w:after="0" w:line="214"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8"/>
          <w:szCs w:val="18"/>
          <w:color w:val="auto"/>
        </w:rPr>
        <w:t xml:space="preserve">The gross gains and losses on these derivative assets and liabilities related to interest rate lock commitments and forward sales commitments recorded in non-interest income and expense in the unaudited Consolidated Statements of Income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19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3"/>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4,696</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11,366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r>
      <w:tr>
        <w:trPr>
          <w:trHeight w:val="229"/>
        </w:trPr>
        <w:tc>
          <w:tcPr>
            <w:tcW w:w="1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(4,974)</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(12,318)</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r>
      <w:tr>
        <w:trPr>
          <w:trHeight w:val="223"/>
        </w:trPr>
        <w:tc>
          <w:tcPr>
            <w:tcW w:w="1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gains (losses)</w:t>
            </w:r>
          </w:p>
        </w:tc>
        <w:tc>
          <w:tcPr>
            <w:tcW w:w="5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(278)</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(952)</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119"/>
        <w:spacing w:after="0" w:line="294"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61"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i w:val="1"/>
          <w:iCs w:val="1"/>
          <w:color w:val="auto"/>
        </w:rPr>
        <w:t xml:space="preserve">Interest Rate Swaps Not Designated as Hedges. </w:t>
      </w:r>
      <w:r>
        <w:rPr>
          <w:rFonts w:ascii="Arial" w:cs="Arial" w:eastAsia="Arial" w:hAnsi="Arial"/>
          <w:sz w:val="17"/>
          <w:szCs w:val="17"/>
          <w:color w:val="auto"/>
        </w:rPr>
        <w:t>The Company may offer derivative contracts to its customers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their risk management needs. The Company manages the risk associated with these contracts by entering into an equal and offsetting derivative with a third-party dealer. With notional values of $685.2 million and $580.8 million at June 30, 2020 and December 31, 2019, respectively, these contracts support variable rate, commercial loan relationships totaling $342.6 million and $290.4 million,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94"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 xml:space="preserve">The fair values of derivative assets and liabilities related to derivatives for customers for interest rate swaps recorded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June 30, 2020</w:t>
            </w: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38,693</w:t>
            </w:r>
          </w:p>
        </w:tc>
        <w:tc>
          <w:tcPr>
            <w:tcW w:w="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jc w:val="right"/>
              <w:ind w:right="96"/>
              <w:spacing w:after="0"/>
              <w:rPr>
                <w:sz w:val="20"/>
                <w:szCs w:val="20"/>
                <w:color w:val="auto"/>
              </w:rPr>
            </w:pPr>
            <w:r>
              <w:rPr>
                <w:rFonts w:ascii="Arial" w:cs="Arial" w:eastAsia="Arial" w:hAnsi="Arial"/>
                <w:sz w:val="18"/>
                <w:szCs w:val="18"/>
                <w:color w:val="auto"/>
              </w:rPr>
              <w:t>38,693</w:t>
            </w:r>
          </w:p>
        </w:tc>
        <w:tc>
          <w:tcPr>
            <w:tcW w:w="5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12,354</w:t>
            </w:r>
          </w:p>
        </w:tc>
      </w:tr>
      <w:tr>
        <w:trPr>
          <w:trHeight w:val="87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80" w:type="dxa"/>
            <w:vAlign w:val="bottom"/>
            <w:gridSpan w:val="2"/>
          </w:tcPr>
          <w:p>
            <w:pPr>
              <w:jc w:val="right"/>
              <w:ind w:right="207"/>
              <w:spacing w:after="0"/>
              <w:rPr>
                <w:sz w:val="20"/>
                <w:szCs w:val="20"/>
                <w:color w:val="auto"/>
              </w:rPr>
            </w:pPr>
            <w:r>
              <w:rPr>
                <w:rFonts w:ascii="Arial" w:cs="Arial" w:eastAsia="Arial" w:hAnsi="Arial"/>
                <w:sz w:val="18"/>
                <w:szCs w:val="18"/>
                <w:color w:val="auto"/>
              </w:rPr>
              <w:t>37</w:t>
            </w: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619"/>
        <w:spacing w:after="0" w:line="324" w:lineRule="auto"/>
        <w:rPr>
          <w:sz w:val="20"/>
          <w:szCs w:val="20"/>
          <w:color w:val="auto"/>
        </w:rPr>
      </w:pPr>
      <w:r>
        <w:rPr>
          <w:rFonts w:ascii="Arial" w:cs="Arial" w:eastAsia="Arial" w:hAnsi="Arial"/>
          <w:sz w:val="16"/>
          <w:szCs w:val="16"/>
          <w:color w:val="auto"/>
        </w:rPr>
        <w:t xml:space="preserve">The gross gains and losses on these derivative assets and liabilities recorded in non-interest income and non-interest expense in the unaudited Consolidated Statements of Income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17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2,861</w:t>
            </w:r>
          </w:p>
        </w:tc>
        <w:tc>
          <w:tcPr>
            <w:tcW w:w="11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26,339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losses</w:t>
            </w:r>
          </w:p>
        </w:tc>
        <w:tc>
          <w:tcPr>
            <w:tcW w:w="5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(2,861)</w:t>
            </w: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(26,339)</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5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The Company pledged $38.8 million and $18.1 million in cash to secure its obligation under these contracts at June 30, 2020 and December 31, 2019,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Fair Value Measurements</w:t>
      </w:r>
    </w:p>
    <w:p>
      <w:pPr>
        <w:spacing w:after="0" w:line="229"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87"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Level 1 Inputs - Unadjusted quoted prices in active markets for identical assets or liabilities that the Company has the ability to access at the measurement date.</w:t>
      </w:r>
    </w:p>
    <w:p>
      <w:pPr>
        <w:spacing w:after="0" w:line="184"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Level 2 Inputs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left="60" w:right="199"/>
        <w:spacing w:after="0" w:line="291" w:lineRule="auto"/>
        <w:rPr>
          <w:sz w:val="20"/>
          <w:szCs w:val="20"/>
          <w:color w:val="auto"/>
        </w:rPr>
      </w:pPr>
      <w:r>
        <w:rPr>
          <w:rFonts w:ascii="Arial" w:cs="Arial" w:eastAsia="Arial" w:hAnsi="Arial"/>
          <w:sz w:val="17"/>
          <w:szCs w:val="17"/>
          <w:color w:val="auto"/>
        </w:rPr>
        <w:t>Level 3 Inputs - Unobservable inputs for determining the fair values of assets or liabilities that reflect the Company’s own assumptions about the assumptions that market participants would use in pricing the assets or liabilities.</w:t>
      </w:r>
    </w:p>
    <w:p>
      <w:pPr>
        <w:spacing w:after="0" w:line="160" w:lineRule="exact"/>
        <w:rPr>
          <w:sz w:val="20"/>
          <w:szCs w:val="20"/>
          <w:color w:val="auto"/>
        </w:rPr>
      </w:pPr>
    </w:p>
    <w:p>
      <w:pPr>
        <w:ind w:left="60" w:right="359"/>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95"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81"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i w:val="1"/>
          <w:iCs w:val="1"/>
          <w:color w:val="auto"/>
        </w:rPr>
        <w:t xml:space="preserve">Debt Securities Available for Sale. </w:t>
      </w:r>
      <w:r>
        <w:rPr>
          <w:rFonts w:ascii="Arial" w:cs="Arial" w:eastAsia="Arial" w:hAnsi="Arial"/>
          <w:sz w:val="17"/>
          <w:szCs w:val="17"/>
          <w:color w:val="auto"/>
        </w:rPr>
        <w:t>Debt securities classified as available for sale are reported at fair value utilizing level 2</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69" w:lineRule="exact"/>
        <w:rPr>
          <w:sz w:val="20"/>
          <w:szCs w:val="20"/>
          <w:color w:val="auto"/>
        </w:rPr>
      </w:pPr>
    </w:p>
    <w:p>
      <w:pPr>
        <w:ind w:left="60" w:right="79"/>
        <w:spacing w:after="0" w:line="274"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77" w:lineRule="exact"/>
        <w:rPr>
          <w:sz w:val="20"/>
          <w:szCs w:val="20"/>
          <w:color w:val="auto"/>
        </w:rPr>
      </w:pPr>
    </w:p>
    <w:p>
      <w:pPr>
        <w:jc w:val="both"/>
        <w:ind w:left="60" w:right="159"/>
        <w:spacing w:after="0" w:line="243"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Equity securities are reported at fair value utilizing level 1 or level 2 measurements. For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unadjusted quoted prices in active markets for identical assets are utilized to determine fair value at the measurement date and have been classified as level 1. For stock, quoted prices for identical or similar assets in markets that are not active are utilized and classified as level 2.</w:t>
      </w:r>
    </w:p>
    <w:p>
      <w:pPr>
        <w:spacing w:after="0" w:line="201" w:lineRule="exact"/>
        <w:rPr>
          <w:sz w:val="20"/>
          <w:szCs w:val="20"/>
          <w:color w:val="auto"/>
        </w:rPr>
      </w:pPr>
    </w:p>
    <w:p>
      <w:pPr>
        <w:ind w:left="60" w:right="299"/>
        <w:spacing w:after="0" w:line="248"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w:t>
      </w:r>
    </w:p>
    <w:p>
      <w:pPr>
        <w:spacing w:after="0" w:line="195" w:lineRule="exact"/>
        <w:rPr>
          <w:sz w:val="20"/>
          <w:szCs w:val="20"/>
          <w:color w:val="auto"/>
        </w:rPr>
      </w:pPr>
    </w:p>
    <w:p>
      <w:pPr>
        <w:ind w:left="60" w:right="259"/>
        <w:spacing w:after="0" w:line="294" w:lineRule="auto"/>
        <w:rPr>
          <w:sz w:val="20"/>
          <w:szCs w:val="20"/>
          <w:color w:val="auto"/>
        </w:rPr>
      </w:pPr>
      <w:r>
        <w:rPr>
          <w:rFonts w:ascii="Arial" w:cs="Arial" w:eastAsia="Arial" w:hAnsi="Arial"/>
          <w:sz w:val="16"/>
          <w:szCs w:val="16"/>
          <w:i w:val="1"/>
          <w:iCs w:val="1"/>
          <w:color w:val="auto"/>
        </w:rPr>
        <w:t>Derivative Assets and Derivative Liabilities</w:t>
      </w:r>
      <w:r>
        <w:rPr>
          <w:rFonts w:ascii="Arial" w:cs="Arial" w:eastAsia="Arial" w:hAnsi="Arial"/>
          <w:sz w:val="16"/>
          <w:szCs w:val="16"/>
          <w:color w:val="auto"/>
        </w:rPr>
        <w:t>. Derivative assets and derivative liabilities are reported at fair value utilizing</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measurements. The fair value of derivative assets and liabilities is determined based on prices that are obtained from a third-party which uses observable market inputs. Derivative assets and liabilities are classified as level 2.</w:t>
      </w:r>
    </w:p>
    <w:p>
      <w:pPr>
        <w:spacing w:after="0" w:line="161" w:lineRule="exact"/>
        <w:rPr>
          <w:sz w:val="20"/>
          <w:szCs w:val="20"/>
          <w:color w:val="auto"/>
        </w:rPr>
      </w:pPr>
    </w:p>
    <w:p>
      <w:pPr>
        <w:ind w:left="60" w:right="499"/>
        <w:spacing w:after="0" w:line="248"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segregated by the level of the valuation inputs within the fair value hierarchy utilized to measure fair value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920" w:type="dxa"/>
            <w:vAlign w:val="bottom"/>
          </w:tcPr>
          <w:p>
            <w:pPr>
              <w:jc w:val="center"/>
              <w:ind w:left="399"/>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85"/>
        </w:trPr>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2020</w:t>
            </w:r>
          </w:p>
        </w:tc>
        <w:tc>
          <w:tcPr>
            <w:tcW w:w="920" w:type="dxa"/>
            <w:vAlign w:val="bottom"/>
          </w:tcPr>
          <w:p>
            <w:pPr>
              <w:jc w:val="center"/>
              <w:ind w:left="399"/>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00" w:type="dxa"/>
            <w:vAlign w:val="bottom"/>
          </w:tcPr>
          <w:p>
            <w:pPr>
              <w:spacing w:after="0"/>
              <w:rPr>
                <w:sz w:val="16"/>
                <w:szCs w:val="16"/>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6"/>
                <w:szCs w:val="16"/>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9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920" w:type="dxa"/>
            <w:vAlign w:val="bottom"/>
          </w:tcPr>
          <w:p>
            <w:pPr>
              <w:jc w:val="right"/>
              <w:ind w:right="5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33,236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33,236</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1"/>
              </w:rPr>
              <w:t>Obligations of U.S. government corporations and agencies</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80,044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80,044</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9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282,894</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282,894</w:t>
            </w: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241,305</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241,305</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9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970,193</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970,193</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89,194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89,194</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9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5,126</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5,126</w:t>
            </w:r>
          </w:p>
        </w:tc>
      </w:tr>
      <w:tr>
        <w:trPr>
          <w:trHeight w:val="229"/>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108,140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108,140</w:t>
            </w: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9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41,103</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41,103</w:t>
            </w:r>
          </w:p>
        </w:tc>
      </w:tr>
      <w:tr>
        <w:trPr>
          <w:trHeight w:val="230"/>
        </w:trPr>
        <w:tc>
          <w:tcPr>
            <w:tcW w:w="20" w:type="dxa"/>
            <w:vAlign w:val="bottom"/>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47,300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w:t>
            </w:r>
          </w:p>
        </w:tc>
      </w:tr>
      <w:tr>
        <w:trPr>
          <w:trHeight w:val="87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20" w:type="dxa"/>
            <w:vAlign w:val="bottom"/>
          </w:tcPr>
          <w:p>
            <w:pPr>
              <w:jc w:val="right"/>
              <w:ind w:right="579"/>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840" w:type="dxa"/>
            <w:vAlign w:val="bottom"/>
          </w:tcPr>
          <w:p>
            <w:pPr>
              <w:jc w:val="center"/>
              <w:ind w:left="322"/>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85"/>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2019</w:t>
            </w:r>
          </w:p>
        </w:tc>
        <w:tc>
          <w:tcPr>
            <w:tcW w:w="84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Inputs</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840" w:type="dxa"/>
            <w:vAlign w:val="bottom"/>
          </w:tcPr>
          <w:p>
            <w:pPr>
              <w:jc w:val="right"/>
              <w:ind w:right="52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51,737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51,737</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3"/>
              </w:rPr>
              <w:t>Obligations of U.S. government corporations and agencies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163,000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268,291</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268,291</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139,287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139,287</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Residential mortgage-backed securities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921,966</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921,966</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103,976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Equity securities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5,952</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5,952</w:t>
            </w:r>
          </w:p>
        </w:tc>
      </w:tr>
      <w:tr>
        <w:trPr>
          <w:trHeight w:val="229"/>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Loans held for sale</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68,699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68,699</w:t>
            </w:r>
          </w:p>
        </w:tc>
      </w:tr>
      <w:tr>
        <w:trPr>
          <w:trHeight w:val="229"/>
        </w:trPr>
        <w:tc>
          <w:tcPr>
            <w:tcW w:w="4360" w:type="dxa"/>
            <w:vAlign w:val="bottom"/>
          </w:tcPr>
          <w:p>
            <w:pPr>
              <w:spacing w:after="0"/>
              <w:rPr>
                <w:sz w:val="20"/>
                <w:szCs w:val="20"/>
                <w:color w:val="auto"/>
              </w:rPr>
            </w:pPr>
            <w:r>
              <w:rPr>
                <w:rFonts w:ascii="Arial" w:cs="Arial" w:eastAsia="Arial" w:hAnsi="Arial"/>
                <w:sz w:val="18"/>
                <w:szCs w:val="18"/>
                <w:b w:val="1"/>
                <w:bCs w:val="1"/>
                <w:i w:val="1"/>
                <w:iCs w:val="1"/>
                <w:color w:val="auto"/>
              </w:rPr>
              <w:t>Derivative assets</w:t>
            </w:r>
          </w:p>
        </w:tc>
        <w:tc>
          <w:tcPr>
            <w:tcW w:w="8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13,400</w:t>
            </w:r>
          </w:p>
        </w:tc>
        <w:tc>
          <w:tcPr>
            <w:tcW w:w="300" w:type="dxa"/>
            <w:vAlign w:val="bottom"/>
          </w:tcPr>
          <w:p>
            <w:pPr>
              <w:spacing w:after="0"/>
              <w:rPr>
                <w:sz w:val="19"/>
                <w:szCs w:val="19"/>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13,400</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 liabilities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14,821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r>
    </w:tbl>
    <w:p>
      <w:pPr>
        <w:spacing w:after="0" w:line="215"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95" w:lineRule="exact"/>
        <w:rPr>
          <w:sz w:val="20"/>
          <w:szCs w:val="20"/>
          <w:color w:val="auto"/>
        </w:rPr>
      </w:pPr>
    </w:p>
    <w:p>
      <w:pPr>
        <w:ind w:left="60" w:right="99"/>
        <w:spacing w:after="0" w:line="276" w:lineRule="auto"/>
        <w:rPr>
          <w:sz w:val="20"/>
          <w:szCs w:val="20"/>
          <w:color w:val="auto"/>
        </w:rPr>
      </w:pPr>
      <w:r>
        <w:rPr>
          <w:rFonts w:ascii="Arial" w:cs="Arial" w:eastAsia="Arial" w:hAnsi="Arial"/>
          <w:sz w:val="16"/>
          <w:szCs w:val="16"/>
          <w:i w:val="1"/>
          <w:iCs w:val="1"/>
          <w:color w:val="auto"/>
        </w:rPr>
        <w:t>Loans Evaluated Individually</w:t>
      </w:r>
      <w:r>
        <w:rPr>
          <w:rFonts w:ascii="Arial" w:cs="Arial" w:eastAsia="Arial" w:hAnsi="Arial"/>
          <w:sz w:val="16"/>
          <w:szCs w:val="16"/>
          <w:color w:val="auto"/>
        </w:rPr>
        <w:t>. The Company does not record portfolio loans at fair value on a recurring basis.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the unobservable inputs, the fair value of individually evaluated collateral dependent loans have been classified as level 3.</w:t>
      </w:r>
    </w:p>
    <w:p>
      <w:pPr>
        <w:spacing w:after="0" w:line="175"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i w:val="1"/>
          <w:iCs w:val="1"/>
          <w:color w:val="auto"/>
        </w:rPr>
        <w:t xml:space="preserve">OREO. </w:t>
      </w:r>
      <w:r>
        <w:rPr>
          <w:rFonts w:ascii="Arial" w:cs="Arial" w:eastAsia="Arial" w:hAnsi="Arial"/>
          <w:sz w:val="18"/>
          <w:szCs w:val="18"/>
          <w:color w:val="auto"/>
        </w:rPr>
        <w:t>Non-financial assets and non-financial liabilities measured at fair value include OREO (upon initial recognition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impairment). OREO properties are measured using a combination of observable inputs, including recent appraisals, and unobservable inputs. Due to the significance of the unobservable inputs, all OREO fair values have been classified as level 3.</w:t>
      </w:r>
    </w:p>
    <w:p>
      <w:pPr>
        <w:spacing w:after="0" w:line="201"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i w:val="1"/>
          <w:iCs w:val="1"/>
          <w:color w:val="auto"/>
        </w:rPr>
        <w:t xml:space="preserve">Bank Property Held for Sale. </w:t>
      </w:r>
      <w:r>
        <w:rPr>
          <w:rFonts w:ascii="Arial" w:cs="Arial" w:eastAsia="Arial" w:hAnsi="Arial"/>
          <w:sz w:val="18"/>
          <w:szCs w:val="18"/>
          <w:color w:val="auto"/>
        </w:rPr>
        <w:t>Bank property held for sale represents certain banking center office buildings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closed and consolidated with other existing banking centers. Bank property held for sale is measured at the lower of amortized cost or fair value less estimated costs to sell. The fair values were based upon discounted appraisals or real estate listing price. Due to the significance of the unobservable inputs, all bank property held for sale fair values have been classified as level 3.</w:t>
      </w:r>
    </w:p>
    <w:p>
      <w:pPr>
        <w:spacing w:after="0" w:line="203"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color w:val="auto"/>
        </w:rPr>
        <w:t xml:space="preserve">The following table summarizes assets and liabilities measured at fair value on a non-recurring basis,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ind w:left="340"/>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Arial" w:cs="Arial" w:eastAsia="Arial" w:hAnsi="Arial"/>
                <w:sz w:val="14"/>
                <w:szCs w:val="14"/>
                <w:b w:val="1"/>
                <w:bCs w:val="1"/>
                <w:color w:val="auto"/>
                <w:w w:val="96"/>
              </w:rPr>
              <w:t>Level 2</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9"/>
              </w:rPr>
              <w:t>Inputs</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Inputs</w:t>
            </w: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Inputs</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2020</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Loans evaluated individually</w:t>
            </w:r>
          </w:p>
        </w:tc>
        <w:tc>
          <w:tcPr>
            <w:tcW w:w="154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2,343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3,594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2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Loans evaluated individually</w:t>
            </w:r>
          </w:p>
        </w:tc>
        <w:tc>
          <w:tcPr>
            <w:tcW w:w="15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2,686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Bank property held for sale</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4,004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40</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39"/>
        <w:spacing w:after="0" w:line="265" w:lineRule="auto"/>
        <w:rPr>
          <w:sz w:val="20"/>
          <w:szCs w:val="20"/>
          <w:color w:val="auto"/>
        </w:rPr>
      </w:pPr>
      <w:r>
        <w:rPr>
          <w:rFonts w:ascii="Arial" w:cs="Arial" w:eastAsia="Arial" w:hAnsi="Arial"/>
          <w:sz w:val="17"/>
          <w:szCs w:val="17"/>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15"/>
              <w:spacing w:after="0" w:line="160" w:lineRule="exact"/>
              <w:rPr>
                <w:sz w:val="20"/>
                <w:szCs w:val="20"/>
                <w:color w:val="auto"/>
              </w:rPr>
            </w:pPr>
            <w:r>
              <w:rPr>
                <w:rFonts w:ascii="Arial" w:cs="Arial" w:eastAsia="Arial" w:hAnsi="Arial"/>
                <w:sz w:val="14"/>
                <w:szCs w:val="14"/>
                <w:b w:val="1"/>
                <w:bCs w:val="1"/>
                <w:color w:val="auto"/>
                <w:w w:val="95"/>
              </w:rPr>
              <w:t>Fair Value</w:t>
            </w:r>
          </w:p>
        </w:tc>
        <w:tc>
          <w:tcPr>
            <w:tcW w:w="18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5"/>
              </w:rPr>
              <w:t>Valuation</w:t>
            </w:r>
          </w:p>
        </w:tc>
        <w:tc>
          <w:tcPr>
            <w:tcW w:w="19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Unobservable</w:t>
            </w:r>
          </w:p>
        </w:tc>
        <w:tc>
          <w:tcPr>
            <w:tcW w:w="2100" w:type="dxa"/>
            <w:vAlign w:val="bottom"/>
          </w:tcPr>
          <w:p>
            <w:pPr>
              <w:jc w:val="center"/>
              <w:ind w:left="35"/>
              <w:spacing w:after="0" w:line="160" w:lineRule="exact"/>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Estimate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210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Loans evaluated</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5"/>
              <w:spacing w:after="0"/>
              <w:rPr>
                <w:sz w:val="20"/>
                <w:szCs w:val="20"/>
                <w:color w:val="auto"/>
              </w:rPr>
            </w:pPr>
            <w:r>
              <w:rPr>
                <w:rFonts w:ascii="Arial" w:cs="Arial" w:eastAsia="Arial" w:hAnsi="Arial"/>
                <w:sz w:val="18"/>
                <w:szCs w:val="18"/>
                <w:color w:val="auto"/>
              </w:rPr>
              <w:t>2,343</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vMerge w:val="restart"/>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vMerge w:val="restart"/>
          </w:tcPr>
          <w:p>
            <w:pPr>
              <w:jc w:val="center"/>
              <w:ind w:left="35"/>
              <w:spacing w:after="0"/>
              <w:rPr>
                <w:sz w:val="20"/>
                <w:szCs w:val="20"/>
                <w:color w:val="auto"/>
              </w:rPr>
            </w:pPr>
            <w:r>
              <w:rPr>
                <w:rFonts w:ascii="Arial" w:cs="Arial" w:eastAsia="Arial" w:hAnsi="Arial"/>
                <w:sz w:val="18"/>
                <w:szCs w:val="18"/>
                <w:color w:val="auto"/>
                <w:w w:val="91"/>
              </w:rPr>
              <w:t>-11.3% to -100% (-48.5)%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0" w:type="dxa"/>
            <w:vAlign w:val="bottom"/>
            <w:vMerge w:val="restart"/>
          </w:tcPr>
          <w:p>
            <w:pPr>
              <w:ind w:left="120"/>
              <w:spacing w:after="0"/>
              <w:rPr>
                <w:sz w:val="20"/>
                <w:szCs w:val="20"/>
                <w:color w:val="auto"/>
              </w:rPr>
            </w:pPr>
            <w:r>
              <w:rPr>
                <w:rFonts w:ascii="Arial" w:cs="Arial" w:eastAsia="Arial" w:hAnsi="Arial"/>
                <w:sz w:val="18"/>
                <w:szCs w:val="18"/>
                <w:color w:val="auto"/>
              </w:rPr>
              <w:t>individually</w:t>
            </w:r>
          </w:p>
        </w:tc>
        <w:tc>
          <w:tcPr>
            <w:tcW w:w="16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Appraisal adjustments</w:t>
            </w:r>
          </w:p>
        </w:tc>
        <w:tc>
          <w:tcPr>
            <w:tcW w:w="21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3"/>
              </w:rPr>
              <w:t>-25.0% to -100% (-65.0)%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92"/>
              </w:rPr>
              <w:t>Bank property held for sale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3,594</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or real estate listing</w:t>
            </w:r>
          </w:p>
        </w:tc>
        <w:tc>
          <w:tcPr>
            <w:tcW w:w="1900" w:type="dxa"/>
            <w:vAlign w:val="bottom"/>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tcPr>
          <w:p>
            <w:pPr>
              <w:jc w:val="center"/>
              <w:ind w:left="15"/>
              <w:spacing w:after="0"/>
              <w:rPr>
                <w:sz w:val="20"/>
                <w:szCs w:val="20"/>
                <w:color w:val="auto"/>
              </w:rPr>
            </w:pPr>
            <w:r>
              <w:rPr>
                <w:rFonts w:ascii="Arial" w:cs="Arial" w:eastAsia="Arial" w:hAnsi="Arial"/>
                <w:sz w:val="18"/>
                <w:szCs w:val="18"/>
                <w:color w:val="auto"/>
                <w:w w:val="92"/>
              </w:rPr>
              <w:t>-6.2% to -64.9% (-23.9)%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19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Loans evaluated</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2,686</w:t>
            </w: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vMerge w:val="restart"/>
            <w:shd w:val="clear" w:color="auto" w:fill="CCEEFF"/>
          </w:tcPr>
          <w:p>
            <w:pPr>
              <w:jc w:val="center"/>
              <w:ind w:left="35"/>
              <w:spacing w:after="0"/>
              <w:rPr>
                <w:sz w:val="20"/>
                <w:szCs w:val="20"/>
                <w:color w:val="auto"/>
              </w:rPr>
            </w:pPr>
            <w:r>
              <w:rPr>
                <w:rFonts w:ascii="Arial" w:cs="Arial" w:eastAsia="Arial" w:hAnsi="Arial"/>
                <w:sz w:val="18"/>
                <w:szCs w:val="18"/>
                <w:color w:val="auto"/>
                <w:w w:val="91"/>
              </w:rPr>
              <w:t>-2.9% to -100% (-57.8)%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individually</w:t>
            </w:r>
          </w:p>
        </w:tc>
        <w:tc>
          <w:tcPr>
            <w:tcW w:w="160" w:type="dxa"/>
            <w:vAlign w:val="bottom"/>
            <w:gridSpan w:val="2"/>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880" w:type="dxa"/>
            <w:vAlign w:val="bottom"/>
            <w:vMerge w:val="continue"/>
            <w:shd w:val="clear" w:color="auto" w:fill="CCEEFF"/>
          </w:tcPr>
          <w:p>
            <w:pPr>
              <w:spacing w:after="0"/>
              <w:rPr>
                <w:sz w:val="9"/>
                <w:szCs w:val="9"/>
                <w:color w:val="auto"/>
              </w:rPr>
            </w:pPr>
          </w:p>
        </w:tc>
        <w:tc>
          <w:tcPr>
            <w:tcW w:w="1900" w:type="dxa"/>
            <w:vAlign w:val="bottom"/>
            <w:vMerge w:val="continue"/>
            <w:shd w:val="clear" w:color="auto" w:fill="CCEEFF"/>
          </w:tcPr>
          <w:p>
            <w:pPr>
              <w:spacing w:after="0"/>
              <w:rPr>
                <w:sz w:val="9"/>
                <w:szCs w:val="9"/>
                <w:color w:val="auto"/>
              </w:rPr>
            </w:pPr>
          </w:p>
        </w:tc>
        <w:tc>
          <w:tcPr>
            <w:tcW w:w="2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880" w:type="dxa"/>
            <w:vAlign w:val="bottom"/>
            <w:vMerge w:val="continue"/>
            <w:shd w:val="clear" w:color="auto" w:fill="CCEEFF"/>
          </w:tcPr>
          <w:p>
            <w:pPr>
              <w:spacing w:after="0"/>
              <w:rPr>
                <w:sz w:val="10"/>
                <w:szCs w:val="10"/>
                <w:color w:val="auto"/>
              </w:rPr>
            </w:pPr>
          </w:p>
        </w:tc>
        <w:tc>
          <w:tcPr>
            <w:tcW w:w="1900" w:type="dxa"/>
            <w:vAlign w:val="bottom"/>
            <w:vMerge w:val="continue"/>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OREO</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55</w:t>
            </w: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Appraisal adjustments</w:t>
            </w:r>
          </w:p>
        </w:tc>
        <w:tc>
          <w:tcPr>
            <w:tcW w:w="2100" w:type="dxa"/>
            <w:vAlign w:val="bottom"/>
          </w:tcPr>
          <w:p>
            <w:pPr>
              <w:jc w:val="center"/>
              <w:ind w:left="35"/>
              <w:spacing w:after="0"/>
              <w:rPr>
                <w:sz w:val="20"/>
                <w:szCs w:val="20"/>
                <w:color w:val="auto"/>
              </w:rPr>
            </w:pPr>
            <w:r>
              <w:rPr>
                <w:rFonts w:ascii="Arial" w:cs="Arial" w:eastAsia="Arial" w:hAnsi="Arial"/>
                <w:sz w:val="18"/>
                <w:szCs w:val="18"/>
                <w:color w:val="auto"/>
                <w:w w:val="93"/>
              </w:rPr>
              <w:t>-25.0% to -100% (-65.0)%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2"/>
              </w:rPr>
              <w:t>Bank property held for sale</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4,004</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Appraisal of collateral</w:t>
            </w:r>
          </w:p>
        </w:tc>
        <w:tc>
          <w:tcPr>
            <w:tcW w:w="19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or real estate listing</w:t>
            </w:r>
          </w:p>
        </w:tc>
        <w:tc>
          <w:tcPr>
            <w:tcW w:w="1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Appraisal adjustments</w:t>
            </w:r>
          </w:p>
        </w:tc>
        <w:tc>
          <w:tcPr>
            <w:tcW w:w="21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-6.2% to -71.3% (-40.7)%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price</w:t>
            </w:r>
          </w:p>
        </w:tc>
        <w:tc>
          <w:tcPr>
            <w:tcW w:w="19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479"/>
        <w:spacing w:after="0" w:line="245" w:lineRule="auto"/>
        <w:rPr>
          <w:sz w:val="20"/>
          <w:szCs w:val="20"/>
          <w:color w:val="auto"/>
        </w:rPr>
      </w:pPr>
      <w:r>
        <w:rPr>
          <w:rFonts w:ascii="Arial" w:cs="Arial" w:eastAsia="Arial" w:hAnsi="Arial"/>
          <w:sz w:val="18"/>
          <w:szCs w:val="18"/>
          <w:color w:val="auto"/>
        </w:rPr>
        <w:t xml:space="preserve">The estimated fair values of financial instruments that are reported at amortized cost in the Company’s unaudited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93"/>
              <w:spacing w:after="0" w:line="160"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920" w:type="dxa"/>
            <w:vAlign w:val="bottom"/>
          </w:tcPr>
          <w:p>
            <w:pPr>
              <w:jc w:val="right"/>
              <w:ind w:right="372"/>
              <w:spacing w:after="0" w:line="160"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920" w:type="dxa"/>
            <w:vAlign w:val="bottom"/>
          </w:tcPr>
          <w:p>
            <w:pPr>
              <w:jc w:val="right"/>
              <w:ind w:right="213"/>
              <w:spacing w:after="0" w:line="160"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840" w:type="dxa"/>
            <w:vAlign w:val="bottom"/>
          </w:tcPr>
          <w:p>
            <w:pPr>
              <w:jc w:val="right"/>
              <w:ind w:right="292"/>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Level 1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2"/>
              </w:rPr>
              <w:t>1,050,072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4"/>
              </w:rPr>
              <w:t>1,050,072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529,288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Level 2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34,035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34,035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27,109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Level 3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Portfolio loans, net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2"/>
              </w:rPr>
              <w:t>7,132,974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4"/>
              </w:rPr>
              <w:t>7,148,040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6,633,501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6,648,560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12,085</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12,481</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12,326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servicing rights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1,623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1,071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Level 2 inputs: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2"/>
              </w:rPr>
              <w:t>1,363,497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4"/>
              </w:rPr>
              <w:t>1,381,268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4"/>
              </w:rPr>
              <w:t>1,534,850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1,538,597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Securities sold under agreements to repurchase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194,249</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194,249</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205,491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24,648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24,642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8,551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35,101</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35,252</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83,600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83,614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Junior subordinated debt owed to unconsolidated</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71,387</w:t>
            </w:r>
          </w:p>
        </w:tc>
        <w:tc>
          <w:tcPr>
            <w:tcW w:w="30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58,954</w:t>
            </w:r>
          </w:p>
        </w:tc>
        <w:tc>
          <w:tcPr>
            <w:tcW w:w="28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71,308</w:t>
            </w:r>
          </w:p>
        </w:tc>
        <w:tc>
          <w:tcPr>
            <w:tcW w:w="3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74,153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trusts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4,659</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4,659</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Senior notes, net of unamortized issuance costs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39,741</w:t>
            </w:r>
          </w:p>
        </w:tc>
        <w:tc>
          <w:tcPr>
            <w:tcW w:w="3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40,111</w:t>
            </w:r>
          </w:p>
        </w:tc>
        <w:tc>
          <w:tcPr>
            <w:tcW w:w="28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39,674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Subordinated notes, net of unamortized issuance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181,995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175,284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59,248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gridSpan w:val="3"/>
          </w:tcPr>
          <w:p>
            <w:pPr>
              <w:jc w:val="right"/>
              <w:ind w:right="713"/>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Leases</w:t>
      </w:r>
    </w:p>
    <w:p>
      <w:pPr>
        <w:spacing w:after="0" w:line="229"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 Company has operating leases consisting primarily of equipment leases and real estate leases. The Company leases real estate property for banking centers, ATM locations, and office space with terms extending through 2032. As of June 30, 2020, the Company reported $8.5 million of right-of-use asset and $8.6 million lease liability in its unaudited Consolidated Balance Sheets.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tables represents lease costs and other lease information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80" w:lineRule="exact"/>
        <w:rPr>
          <w:sz w:val="20"/>
          <w:szCs w:val="20"/>
          <w:color w:val="auto"/>
        </w:rPr>
      </w:pPr>
    </w:p>
    <w:tbl>
      <w:tblPr>
        <w:tblLayout w:type="fixed"/>
        <w:tblInd w:w="5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2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Lease Costs</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9"/>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Variable lease costs</w:t>
            </w:r>
          </w:p>
        </w:tc>
        <w:tc>
          <w:tcPr>
            <w:tcW w:w="20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38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Sublease income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0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40" w:type="dxa"/>
            <w:vAlign w:val="bottom"/>
            <w:tcBorders>
              <w:left w:val="single" w:sz="8" w:color="CCEEFF"/>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Cash paid for amounts included in the</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gridSpan w:val="3"/>
          </w:tcPr>
          <w:p>
            <w:pPr>
              <w:ind w:left="140"/>
              <w:spacing w:after="0"/>
              <w:rPr>
                <w:sz w:val="20"/>
                <w:szCs w:val="20"/>
                <w:color w:val="auto"/>
              </w:rPr>
            </w:pPr>
            <w:r>
              <w:rPr>
                <w:rFonts w:ascii="Arial" w:cs="Arial" w:eastAsia="Arial" w:hAnsi="Arial"/>
                <w:sz w:val="18"/>
                <w:szCs w:val="18"/>
                <w:color w:val="auto"/>
              </w:rPr>
              <w:t>measurement of lease 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cash flows – Fixed payments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9"/>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Operating lease cash flows – Liability reduction</w:t>
            </w:r>
          </w:p>
        </w:tc>
        <w:tc>
          <w:tcPr>
            <w:tcW w:w="20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534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0"/>
        </w:trPr>
        <w:tc>
          <w:tcPr>
            <w:tcW w:w="38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Right of use assets obtained during the period in</w:t>
            </w:r>
          </w:p>
        </w:tc>
        <w:tc>
          <w:tcPr>
            <w:tcW w:w="20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3800" w:type="dxa"/>
            <w:vAlign w:val="bottom"/>
            <w:tcBorders>
              <w:lef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exchange for operating lease liabilities</w:t>
            </w: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3"/>
          </w:tcPr>
          <w:p>
            <w:pPr>
              <w:ind w:left="20"/>
              <w:spacing w:after="0"/>
              <w:rPr>
                <w:sz w:val="20"/>
                <w:szCs w:val="20"/>
                <w:color w:val="auto"/>
              </w:rPr>
            </w:pPr>
            <w:r>
              <w:rPr>
                <w:rFonts w:ascii="Arial" w:cs="Arial" w:eastAsia="Arial" w:hAnsi="Arial"/>
                <w:sz w:val="18"/>
                <w:szCs w:val="18"/>
                <w:color w:val="auto"/>
              </w:rPr>
              <w:t>Weighted average lease term (in years)</w:t>
            </w:r>
          </w:p>
        </w:tc>
        <w:tc>
          <w:tcPr>
            <w:tcW w:w="20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6.44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9"/>
        </w:trPr>
        <w:tc>
          <w:tcPr>
            <w:tcW w:w="38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At June 30, 2020, the Company was obligated under noncancelable operating leases for office space and other commitments. Rent expense under operating leases, included in net occupancy and equipment expense, was $0.8 million for the three months ended June 30, 2020 and 2019, respectively and $1.6 million and $1.4 million for the six months ended June 30, 2020 and 2019, respectively.</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Rent commitments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40" w:type="dxa"/>
            <w:vAlign w:val="bottom"/>
          </w:tcPr>
          <w:p>
            <w:pPr>
              <w:jc w:val="right"/>
              <w:ind w:right="734"/>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9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2,876</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representing interest</w:t>
            </w:r>
          </w:p>
        </w:tc>
        <w:tc>
          <w:tcPr>
            <w:tcW w:w="56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Present value of net future minimum lease payments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w:t>
            </w:r>
          </w:p>
        </w:tc>
      </w:tr>
      <w:tr>
        <w:trPr>
          <w:trHeight w:val="20"/>
        </w:trPr>
        <w:tc>
          <w:tcPr>
            <w:tcW w:w="5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60" w:right="99"/>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0"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The following discussion and analysis is intended to assist readers in understanding the financial condition and results of operations of the Company during the three and six months ended June 30, 2020 and should be read in conjunction with the Company’s unaudited consolidated financial statements and notes thereto included in this Form 10-Q, as well as the Company’s 2019 Form 10-K.</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In the face of the challenges and risks posed by COVID-19, the Company remains resolute in its focus on protecting the strength and flexibility of its balance sheet. The progression of the COVID-19 pandemic in the United States began to negatively impact the Company’s results of operations during the first quarter of 2020. In future quarters, COVID-19 is expected to have a complex and continued adverse impact on the economy, the banking industry and First Busey, all subject to a high degree of uncertainty as it relates to both timing and severity. Primary areas of potential future impact to the Company may include further margin compression, increased provision expense, a deterioration in credit quality and lower wealth management and fees for customer services.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on Our Market Areas.</w:t>
      </w:r>
    </w:p>
    <w:p>
      <w:pPr>
        <w:spacing w:after="0" w:line="225"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Our commercial and consumer banking products and services are delivered in Illinois, Missouri, Indiana and Florida. Each state has experienced a dramatic increase in unemployment claims as a result of the curtailment of business activities. Each state has taken different steps to reopen after COVID-19 thrust the country into lockdown starting in March 2020, and reopening across jurisdictions is subject to changes or further delays based on case monitoring in each state.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Policy and Regulatory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Federal, state and local governments and regulatory authorities have enacted and issued a range of policy responses to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COVID-19 pandemic, including the following:</w:t>
      </w:r>
    </w:p>
    <w:p>
      <w:pPr>
        <w:spacing w:after="0" w:line="209" w:lineRule="exact"/>
        <w:rPr>
          <w:sz w:val="20"/>
          <w:szCs w:val="20"/>
          <w:color w:val="auto"/>
        </w:rPr>
      </w:pPr>
    </w:p>
    <w:p>
      <w:pPr>
        <w:ind w:left="1040" w:right="139" w:hanging="315"/>
        <w:spacing w:after="0" w:line="261"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Reserve decreased the range for the Federal Funds Target Rate by 0.50% on March 3, 2020, and by another 1.0% on March 16, 2020.</w:t>
      </w:r>
    </w:p>
    <w:p>
      <w:pPr>
        <w:spacing w:after="0" w:line="184" w:lineRule="exact"/>
        <w:rPr>
          <w:rFonts w:ascii="Arial" w:cs="Arial" w:eastAsia="Arial" w:hAnsi="Arial"/>
          <w:sz w:val="18"/>
          <w:szCs w:val="18"/>
          <w:color w:val="auto"/>
        </w:rPr>
      </w:pPr>
    </w:p>
    <w:p>
      <w:pPr>
        <w:ind w:left="1040" w:right="119" w:hanging="315"/>
        <w:spacing w:after="0" w:line="269"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March 27, 2020, President Trump signed the CARES Act, which established a $2.0 trillion economic stimulus package, including cash payments to individuals, supplemental unemployment insurance benefits and a $349 billion loan program administered through the U.S. Small Business Administration (“SBA”), referred to as PPP. Under the PPP, small businesses, sole proprietorships, independent contractors and self-employed individuals could apply for loans from existing SBA lenders and other approved regulated lenders that enroll in the program, subject to limitations and eligibility criteria. On April 24, 2020, President Trump signed the Paycheck Protection Program and Health Care Enhancement Act, which authorized an additional $310 billion of PPP loans. The Bank participated as a lender in the PPP. The original timeframe for PPP lending expired on June 30, 2020, but Congress acted on June 30, 2020 to provide a 5-week PPP extension for lending to allow small business additional time to apply for the remaining PPP funds allocated by Congress in connection with the CARES Act. In addition, the CARES Act provides financial institutions the option to temporarily suspend certain requirements under GAAP related to TDRs for a limited period of time to account for the effects of COVID-19.</w:t>
      </w:r>
    </w:p>
    <w:p>
      <w:pPr>
        <w:spacing w:after="0" w:line="181" w:lineRule="exact"/>
        <w:rPr>
          <w:rFonts w:ascii="Arial" w:cs="Arial" w:eastAsia="Arial" w:hAnsi="Arial"/>
          <w:sz w:val="16"/>
          <w:szCs w:val="16"/>
          <w:color w:val="auto"/>
        </w:rPr>
      </w:pPr>
    </w:p>
    <w:p>
      <w:pPr>
        <w:ind w:left="1040" w:right="79" w:hanging="315"/>
        <w:spacing w:after="0" w:line="284"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April 7, 2020, federal banking regulators issued a revised Interagency Statement on Loan Modifications and Reporting for Financial Institutions, which, among other things, encouraged financial institutions to work prudently with borrowers who are or may be unable to meet their contractual payment obligations because of the effects of COVID-19. Further, the statement made it clear that institutions generally do not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40" w:right="419"/>
        <w:spacing w:after="0" w:line="248" w:lineRule="auto"/>
        <w:rPr>
          <w:sz w:val="20"/>
          <w:szCs w:val="20"/>
          <w:color w:val="auto"/>
        </w:rPr>
      </w:pPr>
      <w:r>
        <w:rPr>
          <w:rFonts w:ascii="Arial" w:cs="Arial" w:eastAsia="Arial" w:hAnsi="Arial"/>
          <w:sz w:val="18"/>
          <w:szCs w:val="18"/>
          <w:color w:val="auto"/>
        </w:rPr>
        <w:t>need to categorize COVID-19-related modifications as TDRs if certain requirements are met and that the agencies will not direct supervised institutions to automatically categorize all COVID-19 related loan modifications as TDRs.</w:t>
      </w:r>
    </w:p>
    <w:p>
      <w:pPr>
        <w:spacing w:after="0" w:line="195" w:lineRule="exact"/>
        <w:rPr>
          <w:sz w:val="20"/>
          <w:szCs w:val="20"/>
          <w:color w:val="auto"/>
        </w:rPr>
      </w:pPr>
    </w:p>
    <w:p>
      <w:pPr>
        <w:ind w:left="1040" w:right="119" w:hanging="315"/>
        <w:spacing w:after="0" w:line="25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April 9, 2020, the Federal Reserve announced additional measures aimed at supporting small and midsized business, as well as state and local governments impacted by COVID-19. The Federal Reserve announced the Main Street Business Lending Program, which provides for five loan facilities with total potential funding of up to $600 billion. The Main Street New Loan Facility ("MSNLF"), the Main Street Priority Loan Facility ("MSPLF") and the Main Street Expanded Loan Facility ("MSELF") are three credit facilities that provide eligible business borrowers impacted by COVID-19 with financing in amounts of $250 thousand to $300 million depending on facility. Similarly, the Nonprofit Organization New Loan Facility ("NONLF") and the Nonprofit Organization Expanded Loan Facility ("NOELF") provide eligible not-for-profit organizations with financing in amounts of $250 thousand to $10 million. As of June 30, 2020, the Company had not participated in the Main Street Business Lending Program.</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on Our Business</w:t>
      </w:r>
    </w:p>
    <w:p>
      <w:pPr>
        <w:spacing w:after="0" w:line="22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COVID-19 pandemic will continue to have a significant impact on our business. In particular, we anticipate that a significant portion of the Bank’s borrowers in the hotel, restaurant, transportation, long-term healthcare and retail industries will continue to endure significant economic distress. This will adversely affect their ability to repay existing indebtedness, and could adversely impact the value of collateral pledged to Busey Bank. These developments, together with economic conditions generally, are also expected to impact our commercial real estate portfolio, particularly with respect to real estate with exposure to these industries, our consumer loan business and loan portfolio, and the value of certain collateral securing our loans. As a result, we anticipate that our financial condition, capital levels and results of operations could be significantly adversely affected.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Response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taken numerous steps in response to the COVID-19 pandemic, including the following:</w:t>
      </w:r>
    </w:p>
    <w:p>
      <w:pPr>
        <w:spacing w:after="0" w:line="225" w:lineRule="exact"/>
        <w:rPr>
          <w:sz w:val="20"/>
          <w:szCs w:val="20"/>
          <w:color w:val="auto"/>
        </w:rPr>
      </w:pPr>
    </w:p>
    <w:p>
      <w:pPr>
        <w:jc w:val="both"/>
        <w:ind w:left="720" w:right="79" w:hanging="319"/>
        <w:spacing w:after="0" w:line="25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First Busey is offering an internal Financial Relief Program to qualifying customers designed to alleviate some of the financial hardships that they may face as a result of COVID-19. This program offers solutions for all types of customers—including retail, personal loan and mortgage—as well as commercial clients and small businesses. The program includes options for loan payment deferrals as well as certain fee waivers. As of June 30, 2020, the Company had 1,122 commercial loan payment deferrals representing $1.1 billion in loans, 949 mortgage and personal loan payment deferrals representing $130.2 million in loans and an additional 638 deferrals for $80.9 million of mortgage loans in the serviced portfolio.</w:t>
      </w:r>
    </w:p>
    <w:p>
      <w:pPr>
        <w:spacing w:after="0" w:line="193" w:lineRule="exact"/>
        <w:rPr>
          <w:rFonts w:ascii="Arial" w:cs="Arial" w:eastAsia="Arial" w:hAnsi="Arial"/>
          <w:sz w:val="17"/>
          <w:szCs w:val="17"/>
          <w:color w:val="auto"/>
        </w:rPr>
      </w:pPr>
    </w:p>
    <w:p>
      <w:pPr>
        <w:jc w:val="both"/>
        <w:ind w:left="720" w:right="79" w:hanging="319"/>
        <w:spacing w:after="0" w:line="270"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First Busey had served as a bridge for the PPP, actively helping existing and new business customers sign up for this important financial resource. At June 30, 2020, First Busey had $746.4 million in PPP loans outstanding, with an amortized cost of $729.3 million, representing 4,445 new and existing customers.</w:t>
      </w:r>
    </w:p>
    <w:p>
      <w:pPr>
        <w:spacing w:after="0" w:line="177" w:lineRule="exact"/>
        <w:rPr>
          <w:rFonts w:ascii="Arial" w:cs="Arial" w:eastAsia="Arial" w:hAnsi="Arial"/>
          <w:sz w:val="17"/>
          <w:szCs w:val="17"/>
          <w:color w:val="auto"/>
        </w:rPr>
      </w:pPr>
    </w:p>
    <w:p>
      <w:pPr>
        <w:ind w:left="720" w:right="239" w:hanging="319"/>
        <w:spacing w:after="0" w:line="24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Busey initiated its pandemic response plan, expanding social-distancing practices and remote work capabilities to ensure the safety of its associates. The Company has also instituted a new Emergency Sick Leave policy for all full-time and part-time associates.</w:t>
      </w:r>
    </w:p>
    <w:p>
      <w:pPr>
        <w:spacing w:after="0" w:line="195" w:lineRule="exact"/>
        <w:rPr>
          <w:rFonts w:ascii="Arial" w:cs="Arial" w:eastAsia="Arial" w:hAnsi="Arial"/>
          <w:sz w:val="18"/>
          <w:szCs w:val="18"/>
          <w:color w:val="auto"/>
        </w:rPr>
      </w:pPr>
    </w:p>
    <w:p>
      <w:pPr>
        <w:ind w:left="720" w:right="239" w:hanging="319"/>
        <w:spacing w:after="0" w:line="24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Busey suspended lobby access at its branches on March 19, 2020 and began servicing in-person customers exclusively from its drive-up windows. On July 20, 2020, with the exception of Florida, all other markets reopened lobbies with safety measures in place.</w:t>
      </w:r>
    </w:p>
    <w:p>
      <w:pPr>
        <w:spacing w:after="0" w:line="19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First Busey suspended open-market share repurchases under its share repurchase plan on March 16, 2020.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left="60" w:right="119"/>
        <w:spacing w:after="0" w:line="226" w:lineRule="auto"/>
        <w:rPr>
          <w:sz w:val="20"/>
          <w:szCs w:val="20"/>
          <w:color w:val="auto"/>
        </w:rPr>
      </w:pPr>
      <w:r>
        <w:rPr>
          <w:rFonts w:ascii="Arial" w:cs="Arial" w:eastAsia="Arial" w:hAnsi="Arial"/>
          <w:sz w:val="16"/>
          <w:szCs w:val="16"/>
          <w:color w:val="auto"/>
        </w:rPr>
        <w:t>First Busey’s net income for the second quarter of 2020 was $25.8 million, or $0.47 per diluted common share, as compared to $15.4 million, or $0.28 per diluted common share, for the first quarter of 2020 and $24.1 million, or $0.43 per diluted common share, for the second quarter of 2019. Adjusted net income</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for the second quarter of 2020 was $26.2 million, or $0.48 per diluted common share, as compared to $15.5 million, or $0.28 per diluted common share, for the first quarter of 2020 and $29.5 million, or $0.53 per diluted common share, for the second quarter of 2019. Pre-provision net revenue</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for the second quarter of 2020 was $45.4 million as compared to $35.8 million for the first quarter of 2020 and $34.3 million for the second quarter of 2019. Adjusted pre-provision net revenue</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for the second quarter of 2020 was $46.4 million as compared to $38.2 million for the first quarter of 2020 and $42.8 million for the second quarter of 2019. For the second quarter of 2020, annualized return on average assets and annualized return on average tangible common equity</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were 1.00% and 12.02%, respectively. Based on adjusted net income</w:t>
      </w:r>
      <w:r>
        <w:rPr>
          <w:rFonts w:ascii="Arial" w:cs="Arial" w:eastAsia="Arial" w:hAnsi="Arial"/>
          <w:sz w:val="23"/>
          <w:szCs w:val="23"/>
          <w:color w:val="auto"/>
          <w:vertAlign w:val="superscript"/>
        </w:rPr>
        <w:t>(1)</w:t>
      </w:r>
      <w:r>
        <w:rPr>
          <w:rFonts w:ascii="Arial" w:cs="Arial" w:eastAsia="Arial" w:hAnsi="Arial"/>
          <w:sz w:val="16"/>
          <w:szCs w:val="16"/>
          <w:color w:val="auto"/>
        </w:rPr>
        <w:t>, annualized return on average assets was 1.02% and annualized return on average tangible common equity</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was 12.20% for the second quarter of 2020.</w:t>
      </w:r>
    </w:p>
    <w:p>
      <w:pPr>
        <w:spacing w:after="0" w:line="96" w:lineRule="exact"/>
        <w:rPr>
          <w:sz w:val="20"/>
          <w:szCs w:val="20"/>
          <w:color w:val="auto"/>
        </w:rPr>
      </w:pPr>
    </w:p>
    <w:p>
      <w:pPr>
        <w:ind w:left="60" w:right="279"/>
        <w:spacing w:after="0" w:line="248" w:lineRule="auto"/>
        <w:rPr>
          <w:sz w:val="20"/>
          <w:szCs w:val="20"/>
          <w:color w:val="auto"/>
        </w:rPr>
      </w:pPr>
      <w:r>
        <w:rPr>
          <w:rFonts w:ascii="Arial" w:cs="Arial" w:eastAsia="Arial" w:hAnsi="Arial"/>
          <w:sz w:val="18"/>
          <w:szCs w:val="18"/>
          <w:color w:val="auto"/>
        </w:rPr>
        <w:t>During the quarter, due to PPP loans and other factors, the Company’s total assets exceeded $10 billion. If the Company remains over $10 billion in assets at year-end, it will begin to face limitations on interchange fees and heightened supervision and regulation in 2021.</w:t>
      </w:r>
    </w:p>
    <w:p>
      <w:pPr>
        <w:spacing w:after="0" w:line="195" w:lineRule="exact"/>
        <w:rPr>
          <w:sz w:val="20"/>
          <w:szCs w:val="20"/>
          <w:color w:val="auto"/>
        </w:rPr>
      </w:pPr>
    </w:p>
    <w:p>
      <w:pPr>
        <w:ind w:left="60" w:right="359"/>
        <w:spacing w:after="0" w:line="248" w:lineRule="auto"/>
        <w:rPr>
          <w:sz w:val="20"/>
          <w:szCs w:val="20"/>
          <w:color w:val="auto"/>
        </w:rPr>
      </w:pPr>
      <w:r>
        <w:rPr>
          <w:rFonts w:ascii="Arial" w:cs="Arial" w:eastAsia="Arial" w:hAnsi="Arial"/>
          <w:sz w:val="18"/>
          <w:szCs w:val="18"/>
          <w:color w:val="auto"/>
        </w:rPr>
        <w:t>On January 1, 2020, the Company adopted the CECL methodology. During the second quarter of 2020, the Company recorded provision for credit losses of $12.9 million and provision for unfunded commitments of $0.6 million primarily driven by economic factors around COVID-19.</w:t>
      </w:r>
    </w:p>
    <w:p>
      <w:pPr>
        <w:spacing w:after="0" w:line="195" w:lineRule="exact"/>
        <w:rPr>
          <w:sz w:val="20"/>
          <w:szCs w:val="20"/>
          <w:color w:val="auto"/>
        </w:rPr>
      </w:pPr>
    </w:p>
    <w:p>
      <w:pPr>
        <w:ind w:left="60" w:right="99"/>
        <w:spacing w:after="0" w:line="272" w:lineRule="auto"/>
        <w:rPr>
          <w:sz w:val="20"/>
          <w:szCs w:val="20"/>
          <w:color w:val="auto"/>
        </w:rPr>
      </w:pPr>
      <w:r>
        <w:rPr>
          <w:rFonts w:ascii="Arial" w:cs="Arial" w:eastAsia="Arial" w:hAnsi="Arial"/>
          <w:sz w:val="16"/>
          <w:szCs w:val="16"/>
          <w:color w:val="auto"/>
        </w:rPr>
        <w:t>The Company views certain non-operating items, including acquisition-related and restructuring charges, as adjustments to net income reported under GAAP. Non-operating pretax adjustments for the second quarter of 2020 were $0.1 million of expenses related to acquisitions and $0.3 million of restructuring expenses. The Company believes that non-GAAP measures (including adjusted pre-provision net revenue, adjusted net income, adjusted earnings per share, adjusted return on average assets, adjusted net interest margin, adjusted efficiency ratio, tangible common equity, tangible common equity to tangible assets, tangible book value per share and return on average tangible common equity), facilitate the assessment of its financial results and peer comparability. A reconciliation of these non-GAAP measures is included in tabular form in this Quarterly Report on Form 10-Q in the “Non-GAAP Financial Information” section.</w:t>
      </w:r>
    </w:p>
    <w:p>
      <w:pPr>
        <w:spacing w:after="0" w:line="181"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color w:val="auto"/>
        </w:rPr>
        <w:t>On January 31, 2019, the Company completed its acquisition of Banc Ed. TheBANK, Banc Ed’s wholly-owned bank subsidiary, was operated as a separate subsidiary from the completion of the acquisition until October 4, 2019 when it was merged with and into Busey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201930</wp:posOffset>
            </wp:positionV>
            <wp:extent cx="1414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1" w:lineRule="exact"/>
        <w:rPr>
          <w:sz w:val="20"/>
          <w:szCs w:val="20"/>
          <w:color w:val="auto"/>
        </w:rPr>
      </w:pPr>
    </w:p>
    <w:p>
      <w:pPr>
        <w:ind w:left="380" w:right="239" w:hanging="330"/>
        <w:spacing w:after="0" w:line="200" w:lineRule="auto"/>
        <w:tabs>
          <w:tab w:leader="none" w:pos="38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A non-GAAP financial measure, see “Non-GAAP Financial Information”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Markets – June 30, 2020</w:t>
      </w:r>
    </w:p>
    <w:p>
      <w:pPr>
        <w:spacing w:after="0" w:line="225" w:lineRule="exact"/>
        <w:rPr>
          <w:sz w:val="20"/>
          <w:szCs w:val="20"/>
          <w:color w:val="auto"/>
        </w:rPr>
      </w:pPr>
    </w:p>
    <w:p>
      <w:pPr>
        <w:ind w:left="60" w:right="239"/>
        <w:spacing w:after="0" w:line="241" w:lineRule="auto"/>
        <w:rPr>
          <w:sz w:val="20"/>
          <w:szCs w:val="20"/>
          <w:color w:val="auto"/>
        </w:rPr>
      </w:pPr>
      <w:r>
        <w:rPr>
          <w:rFonts w:ascii="Arial" w:cs="Arial" w:eastAsia="Arial" w:hAnsi="Arial"/>
          <w:sz w:val="18"/>
          <w:szCs w:val="18"/>
          <w:color w:val="auto"/>
        </w:rPr>
        <w:t>Busey Bank has 61 banking centers in Illinois.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However, the financial condition of the state of Illinois, in which the largest portion of the Company’s customer base resides, is characterized by low credit ratings and budget deficits.</w:t>
      </w:r>
    </w:p>
    <w:p>
      <w:pPr>
        <w:spacing w:after="0" w:line="203" w:lineRule="exact"/>
        <w:rPr>
          <w:sz w:val="20"/>
          <w:szCs w:val="20"/>
          <w:color w:val="auto"/>
        </w:rPr>
      </w:pPr>
    </w:p>
    <w:p>
      <w:pPr>
        <w:jc w:val="both"/>
        <w:ind w:left="60" w:right="519"/>
        <w:spacing w:after="0" w:line="294" w:lineRule="auto"/>
        <w:rPr>
          <w:sz w:val="20"/>
          <w:szCs w:val="20"/>
          <w:color w:val="auto"/>
        </w:rPr>
      </w:pPr>
      <w:r>
        <w:rPr>
          <w:rFonts w:ascii="Arial" w:cs="Arial" w:eastAsia="Arial" w:hAnsi="Arial"/>
          <w:sz w:val="16"/>
          <w:szCs w:val="16"/>
          <w:color w:val="auto"/>
        </w:rPr>
        <w:t>Busey Bank has 13 banking centers in Missouri. St. Louis, Missouri has a diverse economy with major employment sectors including health care, financial services, professional and business services, and retail. Sixteen of our banking centers in Illinois are located within the boundaries of the St. Louis Metropolitan Statistical Area.</w:t>
      </w:r>
    </w:p>
    <w:p>
      <w:pPr>
        <w:spacing w:after="0" w:line="161"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color w:val="auto"/>
        </w:rPr>
        <w:t>Busey Bank has five banking centers in southwest Florida, an area which has experienced above average population growth, job growth and an expanded housing market over the last several years.</w:t>
      </w:r>
    </w:p>
    <w:p>
      <w:pPr>
        <w:spacing w:after="0" w:line="184"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including the headquarters of many large corporations.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Consolidation Plan</w:t>
      </w:r>
    </w:p>
    <w:p>
      <w:pPr>
        <w:spacing w:after="0" w:line="11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After careful consideration and analysis, the Company decided in July 2020 to consolidate 12 banking centers to ensure a balance between the Company’s physical banking center network and robust digital banking services. An efficient banking center footprint and strategic service models are necessary to keep First Busey competitive, responsive and independent. Selected banking centers will close in October 2020 and include eight banking centers in Illinois, three in Missouri and one in Florida. When fully realized, annualized expense savings net of expected associated revenue impacts are anticipated to be approximately $3.3 million with the impact of these cost savings beginning to be realized in the fourth quarter of 2020. One-time expenses expected in relation to the banking center closings are anticipated to be incurred during the third and fourth quarters of 2020.</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201"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60"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 xml:space="preserve">The following tables show our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detailing the major categories of assets and liabilities, the interest income earned on interest-earning assets, the interest expense paid for the interest-bearing liabilities, and the related interest rates for the periods shown. All average information is provided on a daily average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AVERAGE BALANCE SHEETS AND INTEREST RATES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37376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p>
      <w:pPr>
        <w:spacing w:after="0" w:line="26" w:lineRule="exact"/>
        <w:rPr>
          <w:sz w:val="20"/>
          <w:szCs w:val="20"/>
          <w:color w:val="auto"/>
        </w:rPr>
      </w:pPr>
    </w:p>
    <w:p>
      <w:pPr>
        <w:jc w:val="center"/>
        <w:ind w:left="3200"/>
        <w:spacing w:after="0"/>
        <w:rPr>
          <w:sz w:val="20"/>
          <w:szCs w:val="20"/>
          <w:color w:val="auto"/>
        </w:rPr>
      </w:pP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1783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 w:lineRule="exact"/>
        <w:rPr>
          <w:sz w:val="20"/>
          <w:szCs w:val="20"/>
          <w:color w:val="auto"/>
        </w:rPr>
      </w:pPr>
    </w:p>
    <w:p>
      <w:pPr>
        <w:ind w:left="3220"/>
        <w:spacing w:after="0"/>
        <w:tabs>
          <w:tab w:leader="none" w:pos="4180" w:val="left"/>
          <w:tab w:leader="none" w:pos="5160" w:val="left"/>
        </w:tabs>
        <w:rPr>
          <w:sz w:val="20"/>
          <w:szCs w:val="20"/>
          <w:color w:val="auto"/>
        </w:rPr>
      </w:pPr>
      <w:r>
        <w:rPr>
          <w:rFonts w:ascii="Arial" w:cs="Arial" w:eastAsia="Arial" w:hAnsi="Arial"/>
          <w:sz w:val="13"/>
          <w:szCs w:val="13"/>
          <w:b w:val="1"/>
          <w:bCs w:val="1"/>
          <w:color w:val="auto"/>
        </w:rPr>
        <w:t>Average</w:t>
      </w:r>
      <w:r>
        <w:rPr>
          <w:sz w:val="20"/>
          <w:szCs w:val="20"/>
          <w:color w:val="auto"/>
        </w:rPr>
        <w:tab/>
      </w:r>
      <w:r>
        <w:rPr>
          <w:rFonts w:ascii="Arial" w:cs="Arial" w:eastAsia="Arial" w:hAnsi="Arial"/>
          <w:sz w:val="13"/>
          <w:szCs w:val="13"/>
          <w:b w:val="1"/>
          <w:bCs w:val="1"/>
          <w:color w:val="auto"/>
        </w:rPr>
        <w:t>Income/</w:t>
      </w:r>
      <w:r>
        <w:rPr>
          <w:sz w:val="20"/>
          <w:szCs w:val="20"/>
          <w:color w:val="auto"/>
        </w:rPr>
        <w:tab/>
      </w:r>
      <w:r>
        <w:rPr>
          <w:rFonts w:ascii="Arial" w:cs="Arial" w:eastAsia="Arial" w:hAnsi="Arial"/>
          <w:sz w:val="10"/>
          <w:szCs w:val="10"/>
          <w:b w:val="1"/>
          <w:bCs w:val="1"/>
          <w:color w:val="auto"/>
        </w:rPr>
        <w:t>Yield/</w:t>
      </w:r>
    </w:p>
    <w:p>
      <w:pPr>
        <w:spacing w:after="0" w:line="14" w:lineRule="exact"/>
        <w:rPr>
          <w:sz w:val="20"/>
          <w:szCs w:val="20"/>
          <w:color w:val="auto"/>
        </w:rPr>
      </w:pPr>
    </w:p>
    <w:p>
      <w:pPr>
        <w:ind w:left="3240"/>
        <w:spacing w:after="0"/>
        <w:tabs>
          <w:tab w:leader="none" w:pos="4180" w:val="left"/>
          <w:tab w:leader="none" w:pos="5140" w:val="left"/>
        </w:tabs>
        <w:rPr>
          <w:sz w:val="20"/>
          <w:szCs w:val="20"/>
          <w:color w:val="auto"/>
        </w:rPr>
      </w:pPr>
      <w:r>
        <w:rPr>
          <w:rFonts w:ascii="Arial" w:cs="Arial" w:eastAsia="Arial" w:hAnsi="Arial"/>
          <w:sz w:val="13"/>
          <w:szCs w:val="13"/>
          <w:b w:val="1"/>
          <w:bCs w:val="1"/>
          <w:color w:val="auto"/>
        </w:rPr>
        <w:t>Balance</w:t>
      </w:r>
      <w:r>
        <w:rPr>
          <w:sz w:val="20"/>
          <w:szCs w:val="20"/>
          <w:color w:val="auto"/>
        </w:rPr>
        <w:tab/>
      </w:r>
      <w:r>
        <w:rPr>
          <w:rFonts w:ascii="Arial" w:cs="Arial" w:eastAsia="Arial" w:hAnsi="Arial"/>
          <w:sz w:val="13"/>
          <w:szCs w:val="13"/>
          <w:b w:val="1"/>
          <w:bCs w:val="1"/>
          <w:color w:val="auto"/>
        </w:rPr>
        <w:t>Expense</w:t>
      </w:r>
      <w:r>
        <w:rPr>
          <w:sz w:val="20"/>
          <w:szCs w:val="20"/>
          <w:color w:val="auto"/>
        </w:rPr>
        <w:tab/>
      </w:r>
      <w:r>
        <w:rPr>
          <w:rFonts w:ascii="Arial" w:cs="Arial" w:eastAsia="Arial" w:hAnsi="Arial"/>
          <w:sz w:val="10"/>
          <w:szCs w:val="10"/>
          <w:b w:val="1"/>
          <w:bCs w:val="1"/>
          <w:color w:val="auto"/>
        </w:rPr>
        <w:t>Rate</w:t>
      </w:r>
      <w:r>
        <w:rPr>
          <w:rFonts w:ascii="Arial" w:cs="Arial" w:eastAsia="Arial" w:hAnsi="Arial"/>
          <w:sz w:val="14"/>
          <w:szCs w:val="14"/>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wp:posOffset>
            </wp:positionV>
            <wp:extent cx="5648960" cy="111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00" w:type="dxa"/>
            <w:vAlign w:val="bottom"/>
            <w:tcBorders>
              <w:top w:val="single" w:sz="8" w:color="auto"/>
            </w:tcBorders>
          </w:tcPr>
          <w:p>
            <w:pPr>
              <w:ind w:left="180"/>
              <w:spacing w:after="0" w:line="145" w:lineRule="exact"/>
              <w:rPr>
                <w:sz w:val="20"/>
                <w:szCs w:val="20"/>
                <w:color w:val="auto"/>
              </w:rPr>
            </w:pPr>
            <w:r>
              <w:rPr>
                <w:rFonts w:ascii="Arial" w:cs="Arial" w:eastAsia="Arial" w:hAnsi="Arial"/>
                <w:sz w:val="13"/>
                <w:szCs w:val="13"/>
                <w:b w:val="1"/>
                <w:bCs w:val="1"/>
                <w:color w:val="auto"/>
              </w:rPr>
              <w:t>Average</w:t>
            </w:r>
          </w:p>
        </w:tc>
        <w:tc>
          <w:tcPr>
            <w:tcW w:w="980" w:type="dxa"/>
            <w:vAlign w:val="bottom"/>
            <w:tcBorders>
              <w:top w:val="single" w:sz="8" w:color="auto"/>
            </w:tcBorders>
          </w:tcPr>
          <w:p>
            <w:pPr>
              <w:ind w:left="280"/>
              <w:spacing w:after="0" w:line="145" w:lineRule="exact"/>
              <w:rPr>
                <w:sz w:val="20"/>
                <w:szCs w:val="20"/>
                <w:color w:val="auto"/>
              </w:rPr>
            </w:pPr>
            <w:r>
              <w:rPr>
                <w:rFonts w:ascii="Arial" w:cs="Arial" w:eastAsia="Arial" w:hAnsi="Arial"/>
                <w:sz w:val="13"/>
                <w:szCs w:val="13"/>
                <w:b w:val="1"/>
                <w:bCs w:val="1"/>
                <w:color w:val="auto"/>
              </w:rPr>
              <w:t>Income/</w:t>
            </w:r>
          </w:p>
        </w:tc>
        <w:tc>
          <w:tcPr>
            <w:tcW w:w="1000" w:type="dxa"/>
            <w:vAlign w:val="bottom"/>
            <w:tcBorders>
              <w:top w:val="single" w:sz="8" w:color="auto"/>
            </w:tcBorders>
          </w:tcPr>
          <w:p>
            <w:pPr>
              <w:jc w:val="center"/>
              <w:ind w:right="57"/>
              <w:spacing w:after="0" w:line="145" w:lineRule="exact"/>
              <w:rPr>
                <w:sz w:val="20"/>
                <w:szCs w:val="20"/>
                <w:color w:val="auto"/>
              </w:rPr>
            </w:pPr>
            <w:r>
              <w:rPr>
                <w:rFonts w:ascii="Arial" w:cs="Arial" w:eastAsia="Arial" w:hAnsi="Arial"/>
                <w:sz w:val="13"/>
                <w:szCs w:val="13"/>
                <w:b w:val="1"/>
                <w:bCs w:val="1"/>
                <w:color w:val="auto"/>
                <w:w w:val="92"/>
              </w:rPr>
              <w:t>Yield/</w:t>
            </w:r>
          </w:p>
        </w:tc>
      </w:tr>
      <w:tr>
        <w:trPr>
          <w:trHeight w:val="203"/>
        </w:trPr>
        <w:tc>
          <w:tcPr>
            <w:tcW w:w="900" w:type="dxa"/>
            <w:vAlign w:val="bottom"/>
          </w:tcPr>
          <w:p>
            <w:pPr>
              <w:ind w:left="180"/>
              <w:spacing w:after="0"/>
              <w:rPr>
                <w:sz w:val="20"/>
                <w:szCs w:val="20"/>
                <w:color w:val="auto"/>
              </w:rPr>
            </w:pPr>
            <w:r>
              <w:rPr>
                <w:rFonts w:ascii="Arial" w:cs="Arial" w:eastAsia="Arial" w:hAnsi="Arial"/>
                <w:sz w:val="13"/>
                <w:szCs w:val="13"/>
                <w:b w:val="1"/>
                <w:bCs w:val="1"/>
                <w:color w:val="auto"/>
              </w:rPr>
              <w:t>Balance</w:t>
            </w:r>
          </w:p>
        </w:tc>
        <w:tc>
          <w:tcPr>
            <w:tcW w:w="980" w:type="dxa"/>
            <w:vAlign w:val="bottom"/>
          </w:tcPr>
          <w:p>
            <w:pPr>
              <w:ind w:left="260"/>
              <w:spacing w:after="0"/>
              <w:rPr>
                <w:sz w:val="20"/>
                <w:szCs w:val="20"/>
                <w:color w:val="auto"/>
              </w:rPr>
            </w:pPr>
            <w:r>
              <w:rPr>
                <w:rFonts w:ascii="Arial" w:cs="Arial" w:eastAsia="Arial" w:hAnsi="Arial"/>
                <w:sz w:val="13"/>
                <w:szCs w:val="13"/>
                <w:b w:val="1"/>
                <w:bCs w:val="1"/>
                <w:color w:val="auto"/>
              </w:rPr>
              <w:t>Expense</w:t>
            </w:r>
          </w:p>
        </w:tc>
        <w:tc>
          <w:tcPr>
            <w:tcW w:w="1000" w:type="dxa"/>
            <w:vAlign w:val="bottom"/>
          </w:tcPr>
          <w:p>
            <w:pPr>
              <w:jc w:val="center"/>
              <w:ind w:right="57"/>
              <w:spacing w:after="0" w:line="203" w:lineRule="exact"/>
              <w:rPr>
                <w:sz w:val="20"/>
                <w:szCs w:val="20"/>
                <w:color w:val="auto"/>
              </w:rPr>
            </w:pPr>
            <w:r>
              <w:rPr>
                <w:rFonts w:ascii="Arial" w:cs="Arial" w:eastAsia="Arial" w:hAnsi="Arial"/>
                <w:sz w:val="13"/>
                <w:szCs w:val="13"/>
                <w:b w:val="1"/>
                <w:bCs w:val="1"/>
                <w:color w:val="auto"/>
                <w:w w:val="83"/>
              </w:rPr>
              <w:t>Rate</w:t>
            </w:r>
            <w:r>
              <w:rPr>
                <w:rFonts w:ascii="Arial" w:cs="Arial" w:eastAsia="Arial" w:hAnsi="Arial"/>
                <w:sz w:val="18"/>
                <w:szCs w:val="18"/>
                <w:b w:val="1"/>
                <w:bCs w:val="1"/>
                <w:color w:val="auto"/>
                <w:w w:val="83"/>
                <w:vertAlign w:val="superscript"/>
              </w:rPr>
              <w:t>(5)</w:t>
            </w:r>
          </w:p>
        </w:tc>
      </w:tr>
    </w:tbl>
    <w:p>
      <w:pPr>
        <w:spacing w:after="0" w:line="1" w:lineRule="exact"/>
        <w:rPr>
          <w:sz w:val="20"/>
          <w:szCs w:val="20"/>
          <w:color w:val="auto"/>
        </w:rPr>
      </w:pPr>
    </w:p>
    <w:p>
      <w:pPr>
        <w:sectPr>
          <w:pgSz w:w="11900" w:h="16838" w:orient="portrait"/>
          <w:cols w:equalWidth="0" w:num="2">
            <w:col w:w="5520" w:space="540"/>
            <w:col w:w="295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3"/>
          <w:szCs w:val="13"/>
          <w:b w:val="1"/>
          <w:bCs w:val="1"/>
          <w:color w:val="auto"/>
        </w:rPr>
        <w:t>Assets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Interest-bearing bank deposits and federal funds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sold</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441,764</w:t>
            </w:r>
          </w:p>
        </w:tc>
        <w:tc>
          <w:tcPr>
            <w:tcW w:w="22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145</w:t>
            </w: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0.13 %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215,181</w:t>
            </w:r>
          </w:p>
        </w:tc>
        <w:tc>
          <w:tcPr>
            <w:tcW w:w="20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1,083</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2.02 %</w:t>
            </w:r>
          </w:p>
        </w:tc>
        <w:tc>
          <w:tcPr>
            <w:tcW w:w="0" w:type="dxa"/>
            <w:vAlign w:val="bottom"/>
          </w:tcPr>
          <w:p>
            <w:pPr>
              <w:spacing w:after="0"/>
              <w:rPr>
                <w:sz w:val="1"/>
                <w:szCs w:val="1"/>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securities: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U.S. Government obligations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131,092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675</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2.07 %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354,327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2,151</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2.43 %</w:t>
            </w:r>
          </w:p>
        </w:tc>
        <w:tc>
          <w:tcPr>
            <w:tcW w:w="0" w:type="dxa"/>
            <w:vAlign w:val="bottom"/>
          </w:tcPr>
          <w:p>
            <w:pPr>
              <w:spacing w:after="0"/>
              <w:rPr>
                <w:sz w:val="1"/>
                <w:szCs w:val="1"/>
                <w:color w:val="auto"/>
              </w:rPr>
            </w:pPr>
          </w:p>
        </w:tc>
      </w:tr>
      <w:tr>
        <w:trPr>
          <w:trHeight w:val="172"/>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Obligations of states and political</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20" w:type="dxa"/>
            <w:vAlign w:val="bottom"/>
            <w:gridSpan w:val="2"/>
            <w:shd w:val="clear" w:color="auto" w:fill="CCEEFF"/>
          </w:tcPr>
          <w:p>
            <w:pPr>
              <w:ind w:left="220"/>
              <w:spacing w:after="0" w:line="179" w:lineRule="exact"/>
              <w:rPr>
                <w:sz w:val="20"/>
                <w:szCs w:val="20"/>
                <w:color w:val="auto"/>
              </w:rPr>
            </w:pPr>
            <w:r>
              <w:rPr>
                <w:rFonts w:ascii="Arial" w:cs="Arial" w:eastAsia="Arial" w:hAnsi="Arial"/>
                <w:sz w:val="13"/>
                <w:szCs w:val="13"/>
                <w:color w:val="auto"/>
              </w:rPr>
              <w:t>subdivisions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283,424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2,092</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2.97 %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294,371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2.97 %</w:t>
            </w:r>
          </w:p>
        </w:tc>
        <w:tc>
          <w:tcPr>
            <w:tcW w:w="0" w:type="dxa"/>
            <w:vAlign w:val="bottom"/>
          </w:tcPr>
          <w:p>
            <w:pPr>
              <w:spacing w:after="0"/>
              <w:rPr>
                <w:sz w:val="1"/>
                <w:szCs w:val="1"/>
                <w:color w:val="auto"/>
              </w:rPr>
            </w:pPr>
          </w:p>
        </w:tc>
      </w:tr>
      <w:tr>
        <w:trPr>
          <w:trHeight w:val="175"/>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Other securities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1,303,274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7,543</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2.33 %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1,248,788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8,337</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2.68 %</w:t>
            </w: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Loans held for sale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108,821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3.38 %</w:t>
            </w:r>
          </w:p>
        </w:tc>
        <w:tc>
          <w:tcPr>
            <w:tcW w:w="0" w:type="dxa"/>
            <w:vAlign w:val="bottom"/>
          </w:tcPr>
          <w:p>
            <w:pPr>
              <w:spacing w:after="0"/>
              <w:rPr>
                <w:sz w:val="1"/>
                <w:szCs w:val="1"/>
                <w:color w:val="auto"/>
              </w:rPr>
            </w:pPr>
          </w:p>
        </w:tc>
      </w:tr>
      <w:tr>
        <w:trPr>
          <w:trHeight w:val="176"/>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Portfolio loans</w:t>
            </w:r>
            <w:r>
              <w:rPr>
                <w:rFonts w:ascii="Arial" w:cs="Arial" w:eastAsia="Arial" w:hAnsi="Arial"/>
                <w:sz w:val="20"/>
                <w:szCs w:val="20"/>
                <w:color w:val="auto"/>
                <w:vertAlign w:val="superscript"/>
              </w:rPr>
              <w:t>(1), (2)</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7,216,825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70,754</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3.94 %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6,528,326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78,279</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4.81 %</w:t>
            </w:r>
          </w:p>
        </w:tc>
        <w:tc>
          <w:tcPr>
            <w:tcW w:w="0" w:type="dxa"/>
            <w:vAlign w:val="bottom"/>
          </w:tcPr>
          <w:p>
            <w:pPr>
              <w:spacing w:after="0"/>
              <w:rPr>
                <w:sz w:val="1"/>
                <w:szCs w:val="1"/>
                <w:color w:val="auto"/>
              </w:rPr>
            </w:pPr>
          </w:p>
        </w:tc>
      </w:tr>
      <w:tr>
        <w:trPr>
          <w:trHeight w:val="20"/>
        </w:trPr>
        <w:tc>
          <w:tcPr>
            <w:tcW w:w="302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3"/>
                <w:szCs w:val="13"/>
                <w:color w:val="auto"/>
              </w:rPr>
              <w:t>Total interest-earning assets</w:t>
            </w:r>
            <w:r>
              <w:rPr>
                <w:rFonts w:ascii="Arial" w:cs="Arial" w:eastAsia="Arial" w:hAnsi="Arial"/>
                <w:sz w:val="20"/>
                <w:szCs w:val="20"/>
                <w:color w:val="auto"/>
                <w:vertAlign w:val="superscript"/>
              </w:rPr>
              <w:t>(1), (3)</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2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9,485,200</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81,950</w:t>
            </w: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3.47 %</w:t>
            </w:r>
          </w:p>
        </w:tc>
        <w:tc>
          <w:tcPr>
            <w:tcW w:w="3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8,666,136</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92,243</w:t>
            </w: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and due from banks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121,258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113,233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Premises and equipment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148,960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149,334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Allowance</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(85,509)</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(51,047)</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704,911</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645,022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10,374,820</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9,522,678</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Interest-bearing transaction deposits</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2,090,552</w:t>
            </w:r>
          </w:p>
        </w:tc>
        <w:tc>
          <w:tcPr>
            <w:tcW w:w="220" w:type="dxa"/>
            <w:vAlign w:val="bottom"/>
          </w:tcPr>
          <w:p>
            <w:pPr>
              <w:spacing w:after="0"/>
              <w:rPr>
                <w:sz w:val="15"/>
                <w:szCs w:val="15"/>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978</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0.19 %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1,821,827</w:t>
            </w:r>
          </w:p>
        </w:tc>
        <w:tc>
          <w:tcPr>
            <w:tcW w:w="200" w:type="dxa"/>
            <w:vAlign w:val="bottom"/>
          </w:tcPr>
          <w:p>
            <w:pPr>
              <w:spacing w:after="0"/>
              <w:rPr>
                <w:sz w:val="15"/>
                <w:szCs w:val="15"/>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2,489</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0.55 %</w:t>
            </w: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Savings and money market deposits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2,544,958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0.18 %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2,400,751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3,581</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0.60 %</w:t>
            </w: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Time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1,438,285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5,612</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1.57 %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1,747,830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8,084</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1.86 %</w:t>
            </w:r>
          </w:p>
        </w:tc>
        <w:tc>
          <w:tcPr>
            <w:tcW w:w="0" w:type="dxa"/>
            <w:vAlign w:val="bottom"/>
          </w:tcPr>
          <w:p>
            <w:pPr>
              <w:spacing w:after="0"/>
              <w:rPr>
                <w:sz w:val="1"/>
                <w:szCs w:val="1"/>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Federal funds purchased and repurchase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agreements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184,208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0.22 %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193,621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1.30 %</w:t>
            </w:r>
          </w:p>
        </w:tc>
        <w:tc>
          <w:tcPr>
            <w:tcW w:w="0" w:type="dxa"/>
            <w:vAlign w:val="bottom"/>
          </w:tcPr>
          <w:p>
            <w:pPr>
              <w:spacing w:after="0"/>
              <w:rPr>
                <w:sz w:val="1"/>
                <w:szCs w:val="1"/>
                <w:color w:val="auto"/>
              </w:rPr>
            </w:pPr>
          </w:p>
        </w:tc>
      </w:tr>
      <w:tr>
        <w:trPr>
          <w:trHeight w:val="176"/>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 xml:space="preserve">Borrowings </w:t>
            </w:r>
            <w:r>
              <w:rPr>
                <w:rFonts w:ascii="Arial" w:cs="Arial" w:eastAsia="Arial" w:hAnsi="Arial"/>
                <w:sz w:val="20"/>
                <w:szCs w:val="20"/>
                <w:color w:val="auto"/>
                <w:vertAlign w:val="superscript"/>
              </w:rPr>
              <w:t>(4)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198,358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1,863</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3.78 %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258,662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2,365</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3.67 %</w:t>
            </w:r>
          </w:p>
        </w:tc>
        <w:tc>
          <w:tcPr>
            <w:tcW w:w="0" w:type="dxa"/>
            <w:vAlign w:val="bottom"/>
          </w:tcPr>
          <w:p>
            <w:pPr>
              <w:spacing w:after="0"/>
              <w:rPr>
                <w:sz w:val="1"/>
                <w:szCs w:val="1"/>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Junior subordinated debt issued to unconsolidated</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trusts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71,348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4.15 %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71,194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5.03 %</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ind w:left="20"/>
              <w:spacing w:after="0"/>
              <w:rPr>
                <w:sz w:val="20"/>
                <w:szCs w:val="20"/>
                <w:color w:val="auto"/>
              </w:rPr>
            </w:pPr>
            <w:r>
              <w:rPr>
                <w:rFonts w:ascii="Arial" w:cs="Arial" w:eastAsia="Arial" w:hAnsi="Arial"/>
                <w:sz w:val="13"/>
                <w:szCs w:val="13"/>
                <w:color w:val="auto"/>
              </w:rPr>
              <w:t>Total interest-bearing liabilities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2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6,527,709</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10,420</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3"/>
                <w:szCs w:val="13"/>
                <w:color w:val="auto"/>
              </w:rPr>
              <w:t>0.64 %</w:t>
            </w:r>
          </w:p>
        </w:tc>
        <w:tc>
          <w:tcPr>
            <w:tcW w:w="36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6,493,885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18,038</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1.11 %</w:t>
            </w:r>
          </w:p>
        </w:tc>
        <w:tc>
          <w:tcPr>
            <w:tcW w:w="0" w:type="dxa"/>
            <w:vAlign w:val="bottom"/>
          </w:tcPr>
          <w:p>
            <w:pPr>
              <w:spacing w:after="0"/>
              <w:rPr>
                <w:sz w:val="1"/>
                <w:szCs w:val="1"/>
                <w:color w:val="auto"/>
              </w:rPr>
            </w:pPr>
          </w:p>
        </w:tc>
      </w:tr>
      <w:tr>
        <w:trPr>
          <w:trHeight w:val="143"/>
        </w:trPr>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02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2.83 %</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3.16 %</w:t>
            </w:r>
          </w:p>
        </w:tc>
        <w:tc>
          <w:tcPr>
            <w:tcW w:w="0" w:type="dxa"/>
            <w:vAlign w:val="bottom"/>
          </w:tcPr>
          <w:p>
            <w:pPr>
              <w:spacing w:after="0"/>
              <w:rPr>
                <w:sz w:val="1"/>
                <w:szCs w:val="1"/>
                <w:color w:val="auto"/>
              </w:rPr>
            </w:pPr>
          </w:p>
        </w:tc>
      </w:tr>
      <w:tr>
        <w:trPr>
          <w:trHeight w:val="143"/>
        </w:trPr>
        <w:tc>
          <w:tcPr>
            <w:tcW w:w="2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Noninterest-bearing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2,472,568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1,747,746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141,273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85,245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Stockholders’ equity</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1,233,270</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1,195,802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10,374,820</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9,522,678</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gridSpan w:val="2"/>
          </w:tcPr>
          <w:p>
            <w:pPr>
              <w:ind w:left="20"/>
              <w:spacing w:after="0" w:line="176" w:lineRule="exact"/>
              <w:rPr>
                <w:sz w:val="20"/>
                <w:szCs w:val="20"/>
                <w:color w:val="auto"/>
              </w:rPr>
            </w:pPr>
            <w:r>
              <w:rPr>
                <w:rFonts w:ascii="Arial" w:cs="Arial" w:eastAsia="Arial" w:hAnsi="Arial"/>
                <w:sz w:val="13"/>
                <w:szCs w:val="13"/>
                <w:color w:val="auto"/>
              </w:rPr>
              <w:t>Interest income / earning assets</w:t>
            </w:r>
            <w:r>
              <w:rPr>
                <w:rFonts w:ascii="Arial" w:cs="Arial" w:eastAsia="Arial" w:hAnsi="Arial"/>
                <w:sz w:val="20"/>
                <w:szCs w:val="20"/>
                <w:color w:val="auto"/>
                <w:vertAlign w:val="superscript"/>
              </w:rPr>
              <w:t>(1), (3)</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9,485,200</w:t>
            </w:r>
          </w:p>
        </w:tc>
        <w:tc>
          <w:tcPr>
            <w:tcW w:w="220" w:type="dxa"/>
            <w:vAlign w:val="bottom"/>
          </w:tcPr>
          <w:p>
            <w:pPr>
              <w:spacing w:after="0"/>
              <w:rPr>
                <w:sz w:val="15"/>
                <w:szCs w:val="15"/>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81,950</w:t>
            </w: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3.47 %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8,666,136</w:t>
            </w:r>
          </w:p>
        </w:tc>
        <w:tc>
          <w:tcPr>
            <w:tcW w:w="200" w:type="dxa"/>
            <w:vAlign w:val="bottom"/>
          </w:tcPr>
          <w:p>
            <w:pPr>
              <w:spacing w:after="0"/>
              <w:rPr>
                <w:sz w:val="15"/>
                <w:szCs w:val="15"/>
                <w:color w:val="auto"/>
              </w:rPr>
            </w:pP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92,243</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4.27 %</w:t>
            </w:r>
          </w:p>
        </w:tc>
        <w:tc>
          <w:tcPr>
            <w:tcW w:w="0" w:type="dxa"/>
            <w:vAlign w:val="bottom"/>
          </w:tcPr>
          <w:p>
            <w:pPr>
              <w:spacing w:after="0"/>
              <w:rPr>
                <w:sz w:val="1"/>
                <w:szCs w:val="1"/>
                <w:color w:val="auto"/>
              </w:rPr>
            </w:pPr>
          </w:p>
        </w:tc>
      </w:tr>
      <w:tr>
        <w:trPr>
          <w:trHeight w:val="175"/>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expense / earning assets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9,485,200</w:t>
            </w:r>
          </w:p>
        </w:tc>
        <w:tc>
          <w:tcPr>
            <w:tcW w:w="2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10,420</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0.44 %</w:t>
            </w: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8,666,136</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18,038</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0.84 %</w:t>
            </w:r>
          </w:p>
        </w:tc>
        <w:tc>
          <w:tcPr>
            <w:tcW w:w="0" w:type="dxa"/>
            <w:vAlign w:val="bottom"/>
          </w:tcPr>
          <w:p>
            <w:pPr>
              <w:spacing w:after="0"/>
              <w:rPr>
                <w:sz w:val="1"/>
                <w:szCs w:val="1"/>
                <w:color w:val="auto"/>
              </w:rPr>
            </w:pPr>
          </w:p>
        </w:tc>
      </w:tr>
      <w:tr>
        <w:trPr>
          <w:trHeight w:val="155"/>
        </w:trPr>
        <w:tc>
          <w:tcPr>
            <w:tcW w:w="3020" w:type="dxa"/>
            <w:vAlign w:val="bottom"/>
            <w:gridSpan w:val="2"/>
          </w:tcPr>
          <w:p>
            <w:pPr>
              <w:ind w:left="20"/>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71,530</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3.03 %</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74,205</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3.43 %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0" w:lineRule="auto"/>
        <w:tabs>
          <w:tab w:leader="none" w:pos="38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380" w:hanging="330"/>
        <w:spacing w:after="0" w:line="183" w:lineRule="auto"/>
        <w:tabs>
          <w:tab w:leader="none" w:pos="38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380" w:right="539" w:hanging="330"/>
        <w:spacing w:after="0" w:line="187" w:lineRule="auto"/>
        <w:tabs>
          <w:tab w:leader="none" w:pos="38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$0.7 million and $0.8 million for the three months ended June 30, 2020 and 2019, respectively.</w:t>
      </w:r>
    </w:p>
    <w:p>
      <w:pPr>
        <w:spacing w:after="0" w:line="1" w:lineRule="exact"/>
        <w:rPr>
          <w:rFonts w:ascii="Arial" w:cs="Arial" w:eastAsia="Arial" w:hAnsi="Arial"/>
          <w:sz w:val="27"/>
          <w:szCs w:val="27"/>
          <w:color w:val="auto"/>
          <w:vertAlign w:val="superscript"/>
        </w:rPr>
      </w:pPr>
    </w:p>
    <w:p>
      <w:pPr>
        <w:ind w:left="380" w:hanging="330"/>
        <w:spacing w:after="0" w:line="183" w:lineRule="auto"/>
        <w:tabs>
          <w:tab w:leader="none" w:pos="380"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380" w:hanging="330"/>
        <w:spacing w:after="0" w:line="186" w:lineRule="auto"/>
        <w:tabs>
          <w:tab w:leader="none" w:pos="380" w:val="left"/>
        </w:tabs>
        <w:numPr>
          <w:ilvl w:val="0"/>
          <w:numId w:val="12"/>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AVERAGE BALANCE SHEETS AND INTEREST RATES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37376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p>
      <w:pPr>
        <w:spacing w:after="0" w:line="26" w:lineRule="exact"/>
        <w:rPr>
          <w:sz w:val="20"/>
          <w:szCs w:val="20"/>
          <w:color w:val="auto"/>
        </w:rPr>
      </w:pPr>
    </w:p>
    <w:p>
      <w:pPr>
        <w:jc w:val="center"/>
        <w:ind w:left="3200"/>
        <w:spacing w:after="0"/>
        <w:rPr>
          <w:sz w:val="20"/>
          <w:szCs w:val="20"/>
          <w:color w:val="auto"/>
        </w:rPr>
      </w:pP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10795</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 w:lineRule="exact"/>
        <w:rPr>
          <w:sz w:val="20"/>
          <w:szCs w:val="20"/>
          <w:color w:val="auto"/>
        </w:rPr>
      </w:pPr>
    </w:p>
    <w:p>
      <w:pPr>
        <w:ind w:left="3220"/>
        <w:spacing w:after="0"/>
        <w:tabs>
          <w:tab w:leader="none" w:pos="4180" w:val="left"/>
          <w:tab w:leader="none" w:pos="5160" w:val="left"/>
        </w:tabs>
        <w:rPr>
          <w:sz w:val="20"/>
          <w:szCs w:val="20"/>
          <w:color w:val="auto"/>
        </w:rPr>
      </w:pPr>
      <w:r>
        <w:rPr>
          <w:rFonts w:ascii="Arial" w:cs="Arial" w:eastAsia="Arial" w:hAnsi="Arial"/>
          <w:sz w:val="13"/>
          <w:szCs w:val="13"/>
          <w:b w:val="1"/>
          <w:bCs w:val="1"/>
          <w:color w:val="auto"/>
        </w:rPr>
        <w:t>Average</w:t>
      </w:r>
      <w:r>
        <w:rPr>
          <w:sz w:val="20"/>
          <w:szCs w:val="20"/>
          <w:color w:val="auto"/>
        </w:rPr>
        <w:tab/>
      </w:r>
      <w:r>
        <w:rPr>
          <w:rFonts w:ascii="Arial" w:cs="Arial" w:eastAsia="Arial" w:hAnsi="Arial"/>
          <w:sz w:val="13"/>
          <w:szCs w:val="13"/>
          <w:b w:val="1"/>
          <w:bCs w:val="1"/>
          <w:color w:val="auto"/>
        </w:rPr>
        <w:t>Income/</w:t>
      </w:r>
      <w:r>
        <w:rPr>
          <w:sz w:val="20"/>
          <w:szCs w:val="20"/>
          <w:color w:val="auto"/>
        </w:rPr>
        <w:tab/>
      </w:r>
      <w:r>
        <w:rPr>
          <w:rFonts w:ascii="Arial" w:cs="Arial" w:eastAsia="Arial" w:hAnsi="Arial"/>
          <w:sz w:val="10"/>
          <w:szCs w:val="10"/>
          <w:b w:val="1"/>
          <w:bCs w:val="1"/>
          <w:color w:val="auto"/>
        </w:rPr>
        <w:t>Yield/</w:t>
      </w:r>
    </w:p>
    <w:p>
      <w:pPr>
        <w:spacing w:after="0" w:line="14" w:lineRule="exact"/>
        <w:rPr>
          <w:sz w:val="20"/>
          <w:szCs w:val="20"/>
          <w:color w:val="auto"/>
        </w:rPr>
      </w:pPr>
    </w:p>
    <w:p>
      <w:pPr>
        <w:ind w:left="3240"/>
        <w:spacing w:after="0"/>
        <w:tabs>
          <w:tab w:leader="none" w:pos="4180" w:val="left"/>
          <w:tab w:leader="none" w:pos="5140" w:val="left"/>
        </w:tabs>
        <w:rPr>
          <w:sz w:val="20"/>
          <w:szCs w:val="20"/>
          <w:color w:val="auto"/>
        </w:rPr>
      </w:pPr>
      <w:r>
        <w:rPr>
          <w:rFonts w:ascii="Arial" w:cs="Arial" w:eastAsia="Arial" w:hAnsi="Arial"/>
          <w:sz w:val="13"/>
          <w:szCs w:val="13"/>
          <w:b w:val="1"/>
          <w:bCs w:val="1"/>
          <w:color w:val="auto"/>
        </w:rPr>
        <w:t>Balance</w:t>
      </w:r>
      <w:r>
        <w:rPr>
          <w:sz w:val="20"/>
          <w:szCs w:val="20"/>
          <w:color w:val="auto"/>
        </w:rPr>
        <w:tab/>
      </w:r>
      <w:r>
        <w:rPr>
          <w:rFonts w:ascii="Arial" w:cs="Arial" w:eastAsia="Arial" w:hAnsi="Arial"/>
          <w:sz w:val="13"/>
          <w:szCs w:val="13"/>
          <w:b w:val="1"/>
          <w:bCs w:val="1"/>
          <w:color w:val="auto"/>
        </w:rPr>
        <w:t>Expense</w:t>
      </w:r>
      <w:r>
        <w:rPr>
          <w:sz w:val="20"/>
          <w:szCs w:val="20"/>
          <w:color w:val="auto"/>
        </w:rPr>
        <w:tab/>
      </w:r>
      <w:r>
        <w:rPr>
          <w:rFonts w:ascii="Arial" w:cs="Arial" w:eastAsia="Arial" w:hAnsi="Arial"/>
          <w:sz w:val="10"/>
          <w:szCs w:val="10"/>
          <w:b w:val="1"/>
          <w:bCs w:val="1"/>
          <w:color w:val="auto"/>
        </w:rPr>
        <w:t>Rate</w:t>
      </w:r>
      <w:r>
        <w:rPr>
          <w:rFonts w:ascii="Arial" w:cs="Arial" w:eastAsia="Arial" w:hAnsi="Arial"/>
          <w:sz w:val="14"/>
          <w:szCs w:val="14"/>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wp:posOffset>
            </wp:positionV>
            <wp:extent cx="5648960" cy="111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2019</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00" w:type="dxa"/>
            <w:vAlign w:val="bottom"/>
            <w:tcBorders>
              <w:top w:val="single" w:sz="8" w:color="auto"/>
            </w:tcBorders>
          </w:tcPr>
          <w:p>
            <w:pPr>
              <w:ind w:left="180"/>
              <w:spacing w:after="0" w:line="145" w:lineRule="exact"/>
              <w:rPr>
                <w:sz w:val="20"/>
                <w:szCs w:val="20"/>
                <w:color w:val="auto"/>
              </w:rPr>
            </w:pPr>
            <w:r>
              <w:rPr>
                <w:rFonts w:ascii="Arial" w:cs="Arial" w:eastAsia="Arial" w:hAnsi="Arial"/>
                <w:sz w:val="13"/>
                <w:szCs w:val="13"/>
                <w:b w:val="1"/>
                <w:bCs w:val="1"/>
                <w:color w:val="auto"/>
              </w:rPr>
              <w:t>Average</w:t>
            </w:r>
          </w:p>
        </w:tc>
        <w:tc>
          <w:tcPr>
            <w:tcW w:w="980" w:type="dxa"/>
            <w:vAlign w:val="bottom"/>
            <w:tcBorders>
              <w:top w:val="single" w:sz="8" w:color="auto"/>
            </w:tcBorders>
          </w:tcPr>
          <w:p>
            <w:pPr>
              <w:ind w:left="280"/>
              <w:spacing w:after="0" w:line="145" w:lineRule="exact"/>
              <w:rPr>
                <w:sz w:val="20"/>
                <w:szCs w:val="20"/>
                <w:color w:val="auto"/>
              </w:rPr>
            </w:pPr>
            <w:r>
              <w:rPr>
                <w:rFonts w:ascii="Arial" w:cs="Arial" w:eastAsia="Arial" w:hAnsi="Arial"/>
                <w:sz w:val="13"/>
                <w:szCs w:val="13"/>
                <w:b w:val="1"/>
                <w:bCs w:val="1"/>
                <w:color w:val="auto"/>
              </w:rPr>
              <w:t>Income/</w:t>
            </w:r>
          </w:p>
        </w:tc>
        <w:tc>
          <w:tcPr>
            <w:tcW w:w="1000" w:type="dxa"/>
            <w:vAlign w:val="bottom"/>
            <w:tcBorders>
              <w:top w:val="single" w:sz="8" w:color="auto"/>
            </w:tcBorders>
          </w:tcPr>
          <w:p>
            <w:pPr>
              <w:jc w:val="center"/>
              <w:ind w:right="57"/>
              <w:spacing w:after="0" w:line="145" w:lineRule="exact"/>
              <w:rPr>
                <w:sz w:val="20"/>
                <w:szCs w:val="20"/>
                <w:color w:val="auto"/>
              </w:rPr>
            </w:pPr>
            <w:r>
              <w:rPr>
                <w:rFonts w:ascii="Arial" w:cs="Arial" w:eastAsia="Arial" w:hAnsi="Arial"/>
                <w:sz w:val="13"/>
                <w:szCs w:val="13"/>
                <w:b w:val="1"/>
                <w:bCs w:val="1"/>
                <w:color w:val="auto"/>
                <w:w w:val="92"/>
              </w:rPr>
              <w:t>Yield/</w:t>
            </w:r>
          </w:p>
        </w:tc>
      </w:tr>
      <w:tr>
        <w:trPr>
          <w:trHeight w:val="203"/>
        </w:trPr>
        <w:tc>
          <w:tcPr>
            <w:tcW w:w="900" w:type="dxa"/>
            <w:vAlign w:val="bottom"/>
          </w:tcPr>
          <w:p>
            <w:pPr>
              <w:ind w:left="180"/>
              <w:spacing w:after="0"/>
              <w:rPr>
                <w:sz w:val="20"/>
                <w:szCs w:val="20"/>
                <w:color w:val="auto"/>
              </w:rPr>
            </w:pPr>
            <w:r>
              <w:rPr>
                <w:rFonts w:ascii="Arial" w:cs="Arial" w:eastAsia="Arial" w:hAnsi="Arial"/>
                <w:sz w:val="13"/>
                <w:szCs w:val="13"/>
                <w:b w:val="1"/>
                <w:bCs w:val="1"/>
                <w:color w:val="auto"/>
              </w:rPr>
              <w:t>Balance</w:t>
            </w:r>
          </w:p>
        </w:tc>
        <w:tc>
          <w:tcPr>
            <w:tcW w:w="980" w:type="dxa"/>
            <w:vAlign w:val="bottom"/>
          </w:tcPr>
          <w:p>
            <w:pPr>
              <w:ind w:left="260"/>
              <w:spacing w:after="0"/>
              <w:rPr>
                <w:sz w:val="20"/>
                <w:szCs w:val="20"/>
                <w:color w:val="auto"/>
              </w:rPr>
            </w:pPr>
            <w:r>
              <w:rPr>
                <w:rFonts w:ascii="Arial" w:cs="Arial" w:eastAsia="Arial" w:hAnsi="Arial"/>
                <w:sz w:val="13"/>
                <w:szCs w:val="13"/>
                <w:b w:val="1"/>
                <w:bCs w:val="1"/>
                <w:color w:val="auto"/>
              </w:rPr>
              <w:t>Expense</w:t>
            </w:r>
          </w:p>
        </w:tc>
        <w:tc>
          <w:tcPr>
            <w:tcW w:w="1000" w:type="dxa"/>
            <w:vAlign w:val="bottom"/>
          </w:tcPr>
          <w:p>
            <w:pPr>
              <w:jc w:val="center"/>
              <w:ind w:right="57"/>
              <w:spacing w:after="0" w:line="203" w:lineRule="exact"/>
              <w:rPr>
                <w:sz w:val="20"/>
                <w:szCs w:val="20"/>
                <w:color w:val="auto"/>
              </w:rPr>
            </w:pPr>
            <w:r>
              <w:rPr>
                <w:rFonts w:ascii="Arial" w:cs="Arial" w:eastAsia="Arial" w:hAnsi="Arial"/>
                <w:sz w:val="13"/>
                <w:szCs w:val="13"/>
                <w:b w:val="1"/>
                <w:bCs w:val="1"/>
                <w:color w:val="auto"/>
                <w:w w:val="83"/>
              </w:rPr>
              <w:t>Rate</w:t>
            </w:r>
            <w:r>
              <w:rPr>
                <w:rFonts w:ascii="Arial" w:cs="Arial" w:eastAsia="Arial" w:hAnsi="Arial"/>
                <w:sz w:val="18"/>
                <w:szCs w:val="18"/>
                <w:b w:val="1"/>
                <w:bCs w:val="1"/>
                <w:color w:val="auto"/>
                <w:w w:val="83"/>
                <w:vertAlign w:val="superscript"/>
              </w:rPr>
              <w:t>(5)</w:t>
            </w:r>
          </w:p>
        </w:tc>
      </w:tr>
    </w:tbl>
    <w:p>
      <w:pPr>
        <w:spacing w:after="0" w:line="1" w:lineRule="exact"/>
        <w:rPr>
          <w:sz w:val="20"/>
          <w:szCs w:val="20"/>
          <w:color w:val="auto"/>
        </w:rPr>
      </w:pPr>
    </w:p>
    <w:p>
      <w:pPr>
        <w:sectPr>
          <w:pgSz w:w="11900" w:h="16838" w:orient="portrait"/>
          <w:cols w:equalWidth="0" w:num="2">
            <w:col w:w="5520" w:space="540"/>
            <w:col w:w="2959"/>
          </w:cols>
          <w:pgMar w:left="1440" w:top="530" w:right="1440" w:bottom="1440" w:gutter="0" w:footer="0" w:header="0"/>
          <w:type w:val="continuous"/>
        </w:sectPr>
      </w:pPr>
    </w:p>
    <w:p>
      <w:pPr>
        <w:ind w:left="60"/>
        <w:spacing w:after="0"/>
        <w:rPr>
          <w:sz w:val="20"/>
          <w:szCs w:val="20"/>
          <w:color w:val="auto"/>
        </w:rPr>
      </w:pPr>
      <w:r>
        <w:rPr>
          <w:rFonts w:ascii="Arial" w:cs="Arial" w:eastAsia="Arial" w:hAnsi="Arial"/>
          <w:sz w:val="13"/>
          <w:szCs w:val="13"/>
          <w:b w:val="1"/>
          <w:bCs w:val="1"/>
          <w:color w:val="auto"/>
        </w:rPr>
        <w:t>Assets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Interest-bearing bank deposits and federal funds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3020" w:type="dxa"/>
            <w:vAlign w:val="bottom"/>
          </w:tcPr>
          <w:p>
            <w:pPr>
              <w:ind w:left="120"/>
              <w:spacing w:after="0"/>
              <w:rPr>
                <w:sz w:val="20"/>
                <w:szCs w:val="20"/>
                <w:color w:val="auto"/>
              </w:rPr>
            </w:pPr>
            <w:r>
              <w:rPr>
                <w:rFonts w:ascii="Arial" w:cs="Arial" w:eastAsia="Arial" w:hAnsi="Arial"/>
                <w:sz w:val="13"/>
                <w:szCs w:val="13"/>
                <w:color w:val="auto"/>
              </w:rPr>
              <w:t>sold</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400,252</w:t>
            </w:r>
          </w:p>
        </w:tc>
        <w:tc>
          <w:tcPr>
            <w:tcW w:w="220" w:type="dxa"/>
            <w:vAlign w:val="bottom"/>
          </w:tcPr>
          <w:p>
            <w:pPr>
              <w:spacing w:after="0"/>
              <w:rPr>
                <w:sz w:val="14"/>
                <w:szCs w:val="14"/>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1,383</w:t>
            </w:r>
          </w:p>
        </w:tc>
        <w:tc>
          <w:tcPr>
            <w:tcW w:w="20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0.69 %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217,811</w:t>
            </w:r>
          </w:p>
        </w:tc>
        <w:tc>
          <w:tcPr>
            <w:tcW w:w="200" w:type="dxa"/>
            <w:vAlign w:val="bottom"/>
          </w:tcPr>
          <w:p>
            <w:pPr>
              <w:spacing w:after="0"/>
              <w:rPr>
                <w:sz w:val="14"/>
                <w:szCs w:val="1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2,315</w:t>
            </w:r>
          </w:p>
        </w:tc>
        <w:tc>
          <w:tcPr>
            <w:tcW w:w="20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2.14 %</w:t>
            </w:r>
          </w:p>
        </w:tc>
      </w:tr>
      <w:tr>
        <w:trPr>
          <w:trHeight w:val="175"/>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securities: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Pr>
          <w:p>
            <w:pPr>
              <w:ind w:left="120"/>
              <w:spacing w:after="0"/>
              <w:rPr>
                <w:sz w:val="20"/>
                <w:szCs w:val="20"/>
                <w:color w:val="auto"/>
              </w:rPr>
            </w:pPr>
            <w:r>
              <w:rPr>
                <w:rFonts w:ascii="Arial" w:cs="Arial" w:eastAsia="Arial" w:hAnsi="Arial"/>
                <w:sz w:val="13"/>
                <w:szCs w:val="13"/>
                <w:color w:val="auto"/>
              </w:rPr>
              <w:t>U.S. Government obligations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160,952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1,766</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2.21 %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343,773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4,217</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2.47 %</w:t>
            </w:r>
          </w:p>
        </w:tc>
      </w:tr>
      <w:tr>
        <w:trPr>
          <w:trHeight w:val="172"/>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Obligations of states and political</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9"/>
        </w:trPr>
        <w:tc>
          <w:tcPr>
            <w:tcW w:w="3020" w:type="dxa"/>
            <w:vAlign w:val="bottom"/>
            <w:shd w:val="clear" w:color="auto" w:fill="CCEEFF"/>
          </w:tcPr>
          <w:p>
            <w:pPr>
              <w:ind w:left="220"/>
              <w:spacing w:after="0" w:line="179" w:lineRule="exact"/>
              <w:rPr>
                <w:sz w:val="20"/>
                <w:szCs w:val="20"/>
                <w:color w:val="auto"/>
              </w:rPr>
            </w:pPr>
            <w:r>
              <w:rPr>
                <w:rFonts w:ascii="Arial" w:cs="Arial" w:eastAsia="Arial" w:hAnsi="Arial"/>
                <w:sz w:val="13"/>
                <w:szCs w:val="13"/>
                <w:color w:val="auto"/>
              </w:rPr>
              <w:t>subdivisions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277,710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4,106</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280,405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4,118</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2.96 %</w:t>
            </w:r>
          </w:p>
        </w:tc>
      </w:tr>
      <w:tr>
        <w:trPr>
          <w:trHeight w:val="175"/>
        </w:trPr>
        <w:tc>
          <w:tcPr>
            <w:tcW w:w="3020" w:type="dxa"/>
            <w:vAlign w:val="bottom"/>
          </w:tcPr>
          <w:p>
            <w:pPr>
              <w:ind w:left="120"/>
              <w:spacing w:after="0"/>
              <w:rPr>
                <w:sz w:val="20"/>
                <w:szCs w:val="20"/>
                <w:color w:val="auto"/>
              </w:rPr>
            </w:pPr>
            <w:r>
              <w:rPr>
                <w:rFonts w:ascii="Arial" w:cs="Arial" w:eastAsia="Arial" w:hAnsi="Arial"/>
                <w:sz w:val="13"/>
                <w:szCs w:val="13"/>
                <w:color w:val="auto"/>
              </w:rPr>
              <w:t>Other securities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1,289,515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15,402</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2.40 %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1,186,059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15,881</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2.70 %</w:t>
            </w:r>
          </w:p>
        </w:tc>
      </w:tr>
      <w:tr>
        <w:trPr>
          <w:trHeight w:val="176"/>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Loans held for sale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85,392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2.87 %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3.60 %</w:t>
            </w:r>
          </w:p>
        </w:tc>
      </w:tr>
      <w:tr>
        <w:trPr>
          <w:trHeight w:val="176"/>
        </w:trPr>
        <w:tc>
          <w:tcPr>
            <w:tcW w:w="3020" w:type="dxa"/>
            <w:vAlign w:val="bottom"/>
            <w:tcBorders>
              <w:bottom w:val="single" w:sz="8" w:color="CCEEFF"/>
            </w:tcBorders>
          </w:tcPr>
          <w:p>
            <w:pPr>
              <w:ind w:left="20"/>
              <w:spacing w:after="0" w:line="176" w:lineRule="exact"/>
              <w:rPr>
                <w:sz w:val="20"/>
                <w:szCs w:val="20"/>
                <w:color w:val="auto"/>
              </w:rPr>
            </w:pPr>
            <w:r>
              <w:rPr>
                <w:rFonts w:ascii="Arial" w:cs="Arial" w:eastAsia="Arial" w:hAnsi="Arial"/>
                <w:sz w:val="13"/>
                <w:szCs w:val="13"/>
                <w:color w:val="auto"/>
              </w:rPr>
              <w:t>Portfolio loans</w:t>
            </w:r>
            <w:r>
              <w:rPr>
                <w:rFonts w:ascii="Arial" w:cs="Arial" w:eastAsia="Arial" w:hAnsi="Arial"/>
                <w:sz w:val="20"/>
                <w:szCs w:val="20"/>
                <w:color w:val="auto"/>
                <w:vertAlign w:val="superscript"/>
              </w:rPr>
              <w:t>(1), (2)</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6,937,551</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143,238</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4.15 %</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6,329,596</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150,291</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4.79 %</w:t>
            </w:r>
          </w:p>
        </w:tc>
      </w:tr>
      <w:tr>
        <w:trPr>
          <w:trHeight w:val="155"/>
        </w:trPr>
        <w:tc>
          <w:tcPr>
            <w:tcW w:w="302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8"/>
                <w:szCs w:val="18"/>
                <w:color w:val="auto"/>
                <w:vertAlign w:val="superscript"/>
              </w:rPr>
              <w:t>(1), (3)</w:t>
            </w: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9,151,372</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167,113</w:t>
            </w: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3.67 %</w:t>
            </w:r>
          </w:p>
        </w:tc>
        <w:tc>
          <w:tcPr>
            <w:tcW w:w="3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8,378,862</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177,201</w:t>
            </w: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4.26 %</w:t>
            </w: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due from banks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119,880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109,714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Pr>
          <w:p>
            <w:pPr>
              <w:ind w:left="20"/>
              <w:spacing w:after="0"/>
              <w:rPr>
                <w:sz w:val="20"/>
                <w:szCs w:val="20"/>
                <w:color w:val="auto"/>
              </w:rPr>
            </w:pPr>
            <w:r>
              <w:rPr>
                <w:rFonts w:ascii="Arial" w:cs="Arial" w:eastAsia="Arial" w:hAnsi="Arial"/>
                <w:sz w:val="13"/>
                <w:szCs w:val="13"/>
                <w:color w:val="auto"/>
              </w:rPr>
              <w:t>Premises and equipment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150,087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143,776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loan losses</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(77,685)</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(51,236)</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687,845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614,859</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r>
      <w:tr>
        <w:trPr>
          <w:trHeight w:val="1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10,031,499</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9,195,975</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Pr>
          <w:p>
            <w:pPr>
              <w:ind w:left="20"/>
              <w:spacing w:after="0"/>
              <w:rPr>
                <w:sz w:val="20"/>
                <w:szCs w:val="20"/>
                <w:color w:val="auto"/>
              </w:rPr>
            </w:pPr>
            <w:r>
              <w:rPr>
                <w:rFonts w:ascii="Arial" w:cs="Arial" w:eastAsia="Arial" w:hAnsi="Arial"/>
                <w:sz w:val="13"/>
                <w:szCs w:val="13"/>
                <w:color w:val="auto"/>
              </w:rPr>
              <w:t>Interest-bearing transaction deposits</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2,040,015</w:t>
            </w:r>
          </w:p>
        </w:tc>
        <w:tc>
          <w:tcPr>
            <w:tcW w:w="220" w:type="dxa"/>
            <w:vAlign w:val="bottom"/>
          </w:tcPr>
          <w:p>
            <w:pPr>
              <w:spacing w:after="0"/>
              <w:rPr>
                <w:sz w:val="15"/>
                <w:szCs w:val="15"/>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3,391</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0.33 %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1,760,550</w:t>
            </w:r>
          </w:p>
        </w:tc>
        <w:tc>
          <w:tcPr>
            <w:tcW w:w="20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4,967</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0.57 %</w:t>
            </w:r>
          </w:p>
        </w:tc>
      </w:tr>
      <w:tr>
        <w:trPr>
          <w:trHeight w:val="176"/>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Savings and money market deposits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2,558,214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4,396</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0.35 %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2,303,358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6,285</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0.55 %</w:t>
            </w:r>
          </w:p>
        </w:tc>
      </w:tr>
      <w:tr>
        <w:trPr>
          <w:trHeight w:val="175"/>
        </w:trPr>
        <w:tc>
          <w:tcPr>
            <w:tcW w:w="3020" w:type="dxa"/>
            <w:vAlign w:val="bottom"/>
          </w:tcPr>
          <w:p>
            <w:pPr>
              <w:ind w:left="20"/>
              <w:spacing w:after="0"/>
              <w:rPr>
                <w:sz w:val="20"/>
                <w:szCs w:val="20"/>
                <w:color w:val="auto"/>
              </w:rPr>
            </w:pPr>
            <w:r>
              <w:rPr>
                <w:rFonts w:ascii="Arial" w:cs="Arial" w:eastAsia="Arial" w:hAnsi="Arial"/>
                <w:sz w:val="13"/>
                <w:szCs w:val="13"/>
                <w:color w:val="auto"/>
              </w:rPr>
              <w:t>Time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1,479,655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12,161</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1.65 %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1,718,587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15,402</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1.81 %</w:t>
            </w:r>
          </w:p>
        </w:tc>
      </w:tr>
      <w:tr>
        <w:trPr>
          <w:trHeight w:val="175"/>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funds purchased and repurchase</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agreements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183,244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0.56 %</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199,045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1.23 %</w:t>
            </w: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3"/>
                <w:szCs w:val="13"/>
                <w:color w:val="auto"/>
              </w:rPr>
              <w:t xml:space="preserve">Borrowings </w:t>
            </w:r>
            <w:r>
              <w:rPr>
                <w:rFonts w:ascii="Arial" w:cs="Arial" w:eastAsia="Arial" w:hAnsi="Arial"/>
                <w:sz w:val="20"/>
                <w:szCs w:val="20"/>
                <w:color w:val="auto"/>
                <w:vertAlign w:val="superscript"/>
              </w:rPr>
              <w:t>(4)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187,507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3,484</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3.74 %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227,460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4,266</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3.78 %</w:t>
            </w:r>
          </w:p>
        </w:tc>
      </w:tr>
      <w:tr>
        <w:trPr>
          <w:trHeight w:val="175"/>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Junior subordinated debt issued to unconsolidated</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trusts</w:t>
            </w: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71,329</w:t>
            </w:r>
          </w:p>
        </w:tc>
        <w:tc>
          <w:tcPr>
            <w:tcW w:w="2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1,480</w:t>
            </w:r>
          </w:p>
        </w:tc>
        <w:tc>
          <w:tcPr>
            <w:tcW w:w="2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4.17 %</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71,175</w:t>
            </w:r>
          </w:p>
        </w:tc>
        <w:tc>
          <w:tcPr>
            <w:tcW w:w="2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w:t>
            </w:r>
          </w:p>
        </w:tc>
        <w:tc>
          <w:tcPr>
            <w:tcW w:w="2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5.12 %</w:t>
            </w:r>
          </w:p>
        </w:tc>
      </w:tr>
      <w:tr>
        <w:trPr>
          <w:trHeight w:val="19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interest-bearing liabilities</w:t>
            </w:r>
          </w:p>
        </w:tc>
        <w:tc>
          <w:tcPr>
            <w:tcW w:w="120" w:type="dxa"/>
            <w:vAlign w:val="bottom"/>
            <w:tcBorders>
              <w:bottom w:val="single" w:sz="8" w:color="CCEEFF"/>
            </w:tcBorders>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6,519,964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25,420</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color w:val="auto"/>
              </w:rPr>
              <w:t>0.78 %</w:t>
            </w:r>
          </w:p>
        </w:tc>
        <w:tc>
          <w:tcPr>
            <w:tcW w:w="360" w:type="dxa"/>
            <w:vAlign w:val="bottom"/>
            <w:tcBorders>
              <w:bottom w:val="single" w:sz="8" w:color="CCEEFF"/>
            </w:tcBorders>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6,280,175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33,936</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1.09 %</w:t>
            </w:r>
          </w:p>
        </w:tc>
      </w:tr>
      <w:tr>
        <w:trPr>
          <w:trHeight w:val="143"/>
        </w:trPr>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02"/>
        </w:trPr>
        <w:tc>
          <w:tcPr>
            <w:tcW w:w="3020" w:type="dxa"/>
            <w:vAlign w:val="bottom"/>
            <w:tcBorders>
              <w:bottom w:val="single" w:sz="8" w:color="CCEEFF"/>
            </w:tcBorders>
          </w:tcPr>
          <w:p>
            <w:pPr>
              <w:ind w:left="20"/>
              <w:spacing w:after="0" w:line="16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8"/>
                <w:szCs w:val="18"/>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2.89 %</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3.17 %</w:t>
            </w:r>
          </w:p>
        </w:tc>
      </w:tr>
      <w:tr>
        <w:trPr>
          <w:trHeight w:val="143"/>
        </w:trPr>
        <w:tc>
          <w:tcPr>
            <w:tcW w:w="3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75"/>
        </w:trPr>
        <w:tc>
          <w:tcPr>
            <w:tcW w:w="3020" w:type="dxa"/>
            <w:vAlign w:val="bottom"/>
          </w:tcPr>
          <w:p>
            <w:pPr>
              <w:ind w:left="20"/>
              <w:spacing w:after="0"/>
              <w:rPr>
                <w:sz w:val="20"/>
                <w:szCs w:val="20"/>
                <w:color w:val="auto"/>
              </w:rPr>
            </w:pPr>
            <w:r>
              <w:rPr>
                <w:rFonts w:ascii="Arial" w:cs="Arial" w:eastAsia="Arial" w:hAnsi="Arial"/>
                <w:sz w:val="13"/>
                <w:szCs w:val="13"/>
                <w:color w:val="auto"/>
              </w:rPr>
              <w:t>Noninterest-bearing deposits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2,157,656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1,682,691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128,164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80,034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Stockholders’ equity</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1,225,715</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1,153,075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r>
      <w:tr>
        <w:trPr>
          <w:trHeight w:val="1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10,031,499</w:t>
            </w: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9,195,975</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43"/>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3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5"/>
        </w:trPr>
        <w:tc>
          <w:tcPr>
            <w:tcW w:w="3020" w:type="dxa"/>
            <w:vAlign w:val="bottom"/>
          </w:tcPr>
          <w:p>
            <w:pPr>
              <w:ind w:left="20"/>
              <w:spacing w:after="0" w:line="176" w:lineRule="exact"/>
              <w:rPr>
                <w:sz w:val="20"/>
                <w:szCs w:val="20"/>
                <w:color w:val="auto"/>
              </w:rPr>
            </w:pPr>
            <w:r>
              <w:rPr>
                <w:rFonts w:ascii="Arial" w:cs="Arial" w:eastAsia="Arial" w:hAnsi="Arial"/>
                <w:sz w:val="13"/>
                <w:szCs w:val="13"/>
                <w:color w:val="auto"/>
              </w:rPr>
              <w:t>Interest income / earning assets</w:t>
            </w:r>
            <w:r>
              <w:rPr>
                <w:rFonts w:ascii="Arial" w:cs="Arial" w:eastAsia="Arial" w:hAnsi="Arial"/>
                <w:sz w:val="20"/>
                <w:szCs w:val="20"/>
                <w:color w:val="auto"/>
                <w:vertAlign w:val="superscript"/>
              </w:rPr>
              <w:t>(1), (3)</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9,151,372</w:t>
            </w:r>
          </w:p>
        </w:tc>
        <w:tc>
          <w:tcPr>
            <w:tcW w:w="220" w:type="dxa"/>
            <w:vAlign w:val="bottom"/>
          </w:tcPr>
          <w:p>
            <w:pPr>
              <w:spacing w:after="0"/>
              <w:rPr>
                <w:sz w:val="15"/>
                <w:szCs w:val="15"/>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167,113</w:t>
            </w:r>
          </w:p>
        </w:tc>
        <w:tc>
          <w:tcPr>
            <w:tcW w:w="200" w:type="dxa"/>
            <w:vAlign w:val="bottom"/>
          </w:tcPr>
          <w:p>
            <w:pPr>
              <w:spacing w:after="0"/>
              <w:rPr>
                <w:sz w:val="15"/>
                <w:szCs w:val="15"/>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3.67 %</w:t>
            </w:r>
          </w:p>
        </w:tc>
        <w:tc>
          <w:tcPr>
            <w:tcW w:w="3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8,378,862</w:t>
            </w:r>
          </w:p>
        </w:tc>
        <w:tc>
          <w:tcPr>
            <w:tcW w:w="20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177,201</w:t>
            </w:r>
          </w:p>
        </w:tc>
        <w:tc>
          <w:tcPr>
            <w:tcW w:w="200" w:type="dxa"/>
            <w:vAlign w:val="bottom"/>
          </w:tcPr>
          <w:p>
            <w:pPr>
              <w:spacing w:after="0"/>
              <w:rPr>
                <w:sz w:val="15"/>
                <w:szCs w:val="15"/>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4.26 %</w:t>
            </w:r>
          </w:p>
        </w:tc>
      </w:tr>
      <w:tr>
        <w:trPr>
          <w:trHeight w:val="175"/>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 earning assets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9,151,372</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25,420</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0.56 %</w:t>
            </w:r>
          </w:p>
        </w:tc>
        <w:tc>
          <w:tcPr>
            <w:tcW w:w="3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8,378,862</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33,936</w:t>
            </w: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0.81 %</w:t>
            </w:r>
          </w:p>
        </w:tc>
      </w:tr>
      <w:tr>
        <w:trPr>
          <w:trHeight w:val="155"/>
        </w:trPr>
        <w:tc>
          <w:tcPr>
            <w:tcW w:w="3020" w:type="dxa"/>
            <w:vAlign w:val="bottom"/>
          </w:tcPr>
          <w:p>
            <w:pPr>
              <w:ind w:left="20"/>
              <w:spacing w:after="0" w:line="156"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8"/>
                <w:szCs w:val="18"/>
                <w:color w:val="auto"/>
                <w:vertAlign w:val="superscript"/>
              </w:rPr>
              <w:t>(1)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141,693</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3.11 %</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143,265</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3.45 %</w:t>
            </w: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214630</wp:posOffset>
            </wp:positionV>
            <wp:extent cx="1414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9" w:lineRule="exact"/>
        <w:rPr>
          <w:sz w:val="20"/>
          <w:szCs w:val="20"/>
          <w:color w:val="auto"/>
        </w:rPr>
      </w:pPr>
    </w:p>
    <w:p>
      <w:pPr>
        <w:ind w:left="480" w:hanging="322"/>
        <w:spacing w:after="0"/>
        <w:tabs>
          <w:tab w:leader="none" w:pos="4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On a tax-equivalent basis and assuming an income tax rate of 21%.</w:t>
      </w:r>
    </w:p>
    <w:p>
      <w:pPr>
        <w:ind w:left="480" w:hanging="322"/>
        <w:spacing w:after="0" w:line="183" w:lineRule="auto"/>
        <w:tabs>
          <w:tab w:leader="none" w:pos="48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Non-accrual loans have been included in average portfolio loans.</w:t>
      </w:r>
    </w:p>
    <w:p>
      <w:pPr>
        <w:ind w:left="480" w:right="79" w:hanging="322"/>
        <w:spacing w:after="0" w:line="187" w:lineRule="auto"/>
        <w:tabs>
          <w:tab w:leader="none" w:pos="48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Interest income includes a tax-equivalent adjustment of $1.4 million and $1.5 million for the six months ended June 30, 2020 and 2019.</w:t>
      </w:r>
    </w:p>
    <w:p>
      <w:pPr>
        <w:spacing w:after="0" w:line="1" w:lineRule="exact"/>
        <w:rPr>
          <w:rFonts w:ascii="Arial" w:cs="Arial" w:eastAsia="Arial" w:hAnsi="Arial"/>
          <w:sz w:val="27"/>
          <w:szCs w:val="27"/>
          <w:color w:val="auto"/>
          <w:vertAlign w:val="superscript"/>
        </w:rPr>
      </w:pPr>
    </w:p>
    <w:p>
      <w:pPr>
        <w:ind w:left="480" w:hanging="322"/>
        <w:spacing w:after="0" w:line="183" w:lineRule="auto"/>
        <w:tabs>
          <w:tab w:leader="none" w:pos="480"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Includes short-term and long-term borrowings. Interest expense includes a non-usage fee on revolving loan.</w:t>
      </w:r>
    </w:p>
    <w:p>
      <w:pPr>
        <w:ind w:left="480" w:hanging="322"/>
        <w:spacing w:after="0" w:line="186" w:lineRule="auto"/>
        <w:tabs>
          <w:tab w:leader="none" w:pos="480" w:val="left"/>
        </w:tabs>
        <w:numPr>
          <w:ilvl w:val="0"/>
          <w:numId w:val="13"/>
        </w:numPr>
        <w:rPr>
          <w:rFonts w:ascii="Arial" w:cs="Arial" w:eastAsia="Arial" w:hAnsi="Arial"/>
          <w:sz w:val="24"/>
          <w:szCs w:val="24"/>
          <w:color w:val="auto"/>
          <w:vertAlign w:val="superscript"/>
        </w:rPr>
      </w:pPr>
      <w:r>
        <w:rPr>
          <w:rFonts w:ascii="Arial" w:cs="Arial" w:eastAsia="Arial" w:hAnsi="Arial"/>
          <w:sz w:val="16"/>
          <w:szCs w:val="16"/>
          <w:color w:val="auto"/>
        </w:rPr>
        <w:t>Annualized.</w:t>
      </w:r>
    </w:p>
    <w:p>
      <w:pPr>
        <w:sectPr>
          <w:pgSz w:w="11900" w:h="16838" w:orient="portrait"/>
          <w:cols w:equalWidth="0" w:num="1">
            <w:col w:w="901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66"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Total average interest-earning assets increased $819.1 million, or 9.5%, to $9.5 billion for the three months ended June 30, 2020, as compared to $8.7 billion for the same period in 2019. The average amortized cost balance of PPP loans in the second quarter of 2020 was $579.5 million. Total average interest-bearing liabilities increased $33.8 million to $6.5 billion for the three months ended June 30, 2020, as compared to the same period in 2019. Average noninterest-bearing deposits increased $724.8 million, or 41.5%, to $2.5 billion for the three months ended June 30, 2020, as compared to $1.7 billion for the same period of 2019. Total average interest-earning assets increased $772.5 million, or 9.2%, to $9.2 billion for the six months ended June 30, 2020, as compared to $8.4 billion for the same period in 2019. Total average interest-bearing liabilities increased $239.8 million to $6.5 billion for the six months ended June 30, 2020, as compared to $6.3 billion for the same period of 2019.</w:t>
      </w:r>
    </w:p>
    <w:p>
      <w:pPr>
        <w:spacing w:after="0" w:line="238"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Net interest income, on a tax-equivalent basis, decreased $2.7 million to $71.5 million for the three months ended June 30, 2020 as compared to $74.2 million for the same period of 2019, and decreased $1.6 million to $141.7 million for the six months ended June 30, 2020 as compared to $143.3 million for the same period of 2019.</w:t>
      </w:r>
    </w:p>
    <w:p>
      <w:pPr>
        <w:spacing w:after="0" w:line="191" w:lineRule="exact"/>
        <w:rPr>
          <w:sz w:val="20"/>
          <w:szCs w:val="20"/>
          <w:color w:val="auto"/>
        </w:rPr>
      </w:pPr>
    </w:p>
    <w:p>
      <w:pPr>
        <w:ind w:left="60" w:right="199"/>
        <w:spacing w:after="0" w:line="261" w:lineRule="auto"/>
        <w:rPr>
          <w:sz w:val="20"/>
          <w:szCs w:val="20"/>
          <w:color w:val="auto"/>
        </w:rPr>
      </w:pPr>
      <w:r>
        <w:rPr>
          <w:rFonts w:ascii="Arial" w:cs="Arial" w:eastAsia="Arial" w:hAnsi="Arial"/>
          <w:sz w:val="15"/>
          <w:szCs w:val="15"/>
          <w:color w:val="auto"/>
        </w:rPr>
        <w:t>Net interest margin, our net interest income expressed as a percentage of average earning assets stated on a tax-equivalent basis, decreased to 3.03% for the three months ended June 30, 2020, as compared to 3.43% for the same period of 2019 and 3.11% for the six months ended June 30, 2020, compared to 3.45% for the same period of 2019. Excluding purchase accounting accretion,</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the net interest margin for the three months ended June 30, 2020 was 2.93%, a decrease from</w:t>
      </w:r>
    </w:p>
    <w:p>
      <w:pPr>
        <w:spacing w:after="0" w:line="1" w:lineRule="exact"/>
        <w:rPr>
          <w:sz w:val="20"/>
          <w:szCs w:val="20"/>
          <w:color w:val="auto"/>
        </w:rPr>
      </w:pPr>
    </w:p>
    <w:p>
      <w:pPr>
        <w:ind w:left="60" w:right="439"/>
        <w:spacing w:after="0" w:line="243" w:lineRule="auto"/>
        <w:rPr>
          <w:sz w:val="20"/>
          <w:szCs w:val="20"/>
          <w:color w:val="auto"/>
        </w:rPr>
      </w:pPr>
      <w:r>
        <w:rPr>
          <w:rFonts w:ascii="Arial" w:cs="Arial" w:eastAsia="Arial" w:hAnsi="Arial"/>
          <w:sz w:val="18"/>
          <w:szCs w:val="18"/>
          <w:color w:val="auto"/>
        </w:rPr>
        <w:t>3.27% for the same period in 2019, and was 3.00% for the six months ended June 30, 2020 compared to 3.29% for the same period of 2019.</w:t>
      </w:r>
    </w:p>
    <w:p>
      <w:pPr>
        <w:spacing w:after="0" w:line="199"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The Federal Open Market Committee (“FOMC”) lowered Federal Funds Target Rates for the first time in 11 years on July 31, 2019 and then again on September 18, 2019 and October 30, 2019, for a combined decrease of 75 basis points during 2019. In response to the potential economic risks posed by COVID-19, the FOMC took further action during the first quarter of 2020 by lowering the Federal Funds Target Rate by 50 basis points on March 3, 2020, followed by an additional 100 basis point reduction on March 15, 2020. These rate cuts contributed to the reported decline in net interest margin, as assets, in particular commercial loans, repriced more quickly and to a greater extent than liabilities.</w:t>
      </w:r>
    </w:p>
    <w:p>
      <w:pPr>
        <w:spacing w:after="0" w:line="1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Other factors contributing to the reported decline in net interest margin during the second quarter of 2020 include lower accretion income, the sizeable balance of lower-yielding PPP loans, the Company’s significant liquidity position, lower line utilization by commercial loan customers and the issuance of subordinated debt completed during the second quarter. The quarterly net interest margins were as follows:</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280" w:type="dxa"/>
            <w:vAlign w:val="bottom"/>
            <w:gridSpan w:val="2"/>
          </w:tcPr>
          <w:p>
            <w:pPr>
              <w:ind w:left="5920"/>
              <w:spacing w:after="0"/>
              <w:rPr>
                <w:sz w:val="20"/>
                <w:szCs w:val="20"/>
                <w:color w:val="auto"/>
              </w:rPr>
            </w:pPr>
            <w:r>
              <w:rPr>
                <w:rFonts w:ascii="Arial" w:cs="Arial" w:eastAsia="Arial" w:hAnsi="Arial"/>
                <w:sz w:val="14"/>
                <w:szCs w:val="14"/>
                <w:b w:val="1"/>
                <w:bCs w:val="1"/>
                <w:color w:val="auto"/>
              </w:rPr>
              <w:t>2020</w:t>
            </w:r>
          </w:p>
        </w:tc>
        <w:tc>
          <w:tcPr>
            <w:tcW w:w="1000" w:type="dxa"/>
            <w:vAlign w:val="bottom"/>
          </w:tcPr>
          <w:p>
            <w:pPr>
              <w:spacing w:after="0"/>
              <w:rPr>
                <w:sz w:val="15"/>
                <w:szCs w:val="15"/>
                <w:color w:val="auto"/>
              </w:rPr>
            </w:pPr>
          </w:p>
        </w:tc>
        <w:tc>
          <w:tcPr>
            <w:tcW w:w="1620" w:type="dxa"/>
            <w:vAlign w:val="bottom"/>
          </w:tcPr>
          <w:p>
            <w:pPr>
              <w:jc w:val="right"/>
              <w:ind w:right="874"/>
              <w:spacing w:after="0"/>
              <w:rPr>
                <w:sz w:val="20"/>
                <w:szCs w:val="20"/>
                <w:color w:val="auto"/>
              </w:rPr>
            </w:pPr>
            <w:r>
              <w:rPr>
                <w:rFonts w:ascii="Arial" w:cs="Arial" w:eastAsia="Arial" w:hAnsi="Arial"/>
                <w:sz w:val="14"/>
                <w:szCs w:val="14"/>
                <w:b w:val="1"/>
                <w:bCs w:val="1"/>
                <w:color w:val="auto"/>
              </w:rPr>
              <w:t>2019</w:t>
            </w:r>
          </w:p>
        </w:tc>
      </w:tr>
      <w:tr>
        <w:trPr>
          <w:trHeight w:val="223"/>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3.20 %</w:t>
            </w:r>
          </w:p>
        </w:tc>
        <w:tc>
          <w:tcPr>
            <w:tcW w:w="162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3.46 %</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3.03 %</w:t>
            </w:r>
          </w:p>
        </w:tc>
        <w:tc>
          <w:tcPr>
            <w:tcW w:w="1620" w:type="dxa"/>
            <w:vAlign w:val="bottom"/>
          </w:tcPr>
          <w:p>
            <w:pPr>
              <w:jc w:val="right"/>
              <w:ind w:right="174"/>
              <w:spacing w:after="0"/>
              <w:rPr>
                <w:sz w:val="20"/>
                <w:szCs w:val="20"/>
                <w:color w:val="auto"/>
              </w:rPr>
            </w:pPr>
            <w:r>
              <w:rPr>
                <w:rFonts w:ascii="Arial" w:cs="Arial" w:eastAsia="Arial" w:hAnsi="Arial"/>
                <w:sz w:val="18"/>
                <w:szCs w:val="18"/>
                <w:color w:val="auto"/>
              </w:rPr>
              <w:t>3.43 %</w:t>
            </w:r>
          </w:p>
        </w:tc>
      </w:tr>
      <w:tr>
        <w:trPr>
          <w:trHeight w:val="229"/>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3.35 %</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 %</w:t>
            </w:r>
          </w:p>
        </w:tc>
        <w:tc>
          <w:tcPr>
            <w:tcW w:w="1620" w:type="dxa"/>
            <w:vAlign w:val="bottom"/>
          </w:tcPr>
          <w:p>
            <w:pPr>
              <w:jc w:val="right"/>
              <w:ind w:right="174"/>
              <w:spacing w:after="0"/>
              <w:rPr>
                <w:sz w:val="20"/>
                <w:szCs w:val="20"/>
                <w:color w:val="auto"/>
              </w:rPr>
            </w:pPr>
            <w:r>
              <w:rPr>
                <w:rFonts w:ascii="Arial" w:cs="Arial" w:eastAsia="Arial" w:hAnsi="Arial"/>
                <w:sz w:val="18"/>
                <w:szCs w:val="18"/>
                <w:color w:val="auto"/>
              </w:rPr>
              <w:t>3.27 %</w:t>
            </w:r>
          </w:p>
        </w:tc>
      </w:tr>
    </w:tbl>
    <w:p>
      <w:pPr>
        <w:spacing w:after="0" w:line="214" w:lineRule="exact"/>
        <w:rPr>
          <w:sz w:val="20"/>
          <w:szCs w:val="20"/>
          <w:color w:val="auto"/>
        </w:rPr>
      </w:pPr>
    </w:p>
    <w:p>
      <w:pPr>
        <w:jc w:val="both"/>
        <w:ind w:left="60" w:right="199"/>
        <w:spacing w:after="0" w:line="243"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was 2.83% for the three months ended June 30, 2020, as compared to 3.16% in the same period of 2019 and was 2.89% for the six months ended June 30, 2020 as compared to 3.17% in the same period of 2019.</w:t>
      </w:r>
    </w:p>
    <w:p>
      <w:pPr>
        <w:spacing w:after="0" w:line="201" w:lineRule="exact"/>
        <w:rPr>
          <w:sz w:val="20"/>
          <w:szCs w:val="20"/>
          <w:color w:val="auto"/>
        </w:rPr>
      </w:pPr>
    </w:p>
    <w:p>
      <w:pPr>
        <w:ind w:left="60" w:right="59"/>
        <w:spacing w:after="0" w:line="259" w:lineRule="auto"/>
        <w:rPr>
          <w:sz w:val="20"/>
          <w:szCs w:val="20"/>
          <w:color w:val="auto"/>
        </w:rPr>
      </w:pPr>
      <w:r>
        <w:rPr>
          <w:rFonts w:ascii="Arial" w:cs="Arial" w:eastAsia="Arial" w:hAnsi="Arial"/>
          <w:sz w:val="17"/>
          <w:szCs w:val="17"/>
          <w:color w:val="auto"/>
        </w:rPr>
        <w:t>Management attempts to mitigate the effects of the interest-rate environment through effective portfolio management, prudent loan underwriting and operational efficiencies. However, as a result of the reductions in the target interest rate, as well as the impact of the COVID-19 pandemic, our net interest income and margin may continue to decline in future periods. Please refer to the Notes to Consolidated Financial Statements in the Company’s 2019 Form 10-K for a description of accounting policies underlying the recognition of interest income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1" w:lineRule="exact"/>
        <w:rPr>
          <w:sz w:val="20"/>
          <w:szCs w:val="20"/>
          <w:color w:val="auto"/>
        </w:rPr>
      </w:pPr>
    </w:p>
    <w:p>
      <w:pPr>
        <w:ind w:left="380" w:right="239" w:hanging="330"/>
        <w:spacing w:after="0" w:line="200" w:lineRule="auto"/>
        <w:tabs>
          <w:tab w:leader="none" w:pos="38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A non-GAAP financial measure, see “Non-GAAP Financial Information” included in this Quarterly Report on Form 10-Q.</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Six Months Ended June 30,</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408"/>
              <w:spacing w:after="0" w:line="160"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68"/>
              <w:spacing w:after="0" w:line="160"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3"/>
              </w:rPr>
              <w:t>Change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Wealth management fees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10,193</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705</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21,748</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3,231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Fees for customer services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7,025</w:t>
            </w:r>
          </w:p>
        </w:tc>
        <w:tc>
          <w:tcPr>
            <w:tcW w:w="30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9,696</w:t>
            </w:r>
          </w:p>
        </w:tc>
        <w:tc>
          <w:tcPr>
            <w:tcW w:w="16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(2,671)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15,386</w:t>
            </w:r>
          </w:p>
        </w:tc>
        <w:tc>
          <w:tcPr>
            <w:tcW w:w="22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17,793</w:t>
            </w: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(2,407)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Remittance processing</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3,718</w:t>
            </w: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3,717</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7,471</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7,497</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Mortgage revenue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2,705</w:t>
            </w:r>
          </w:p>
        </w:tc>
        <w:tc>
          <w:tcPr>
            <w:tcW w:w="30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2,851</w:t>
            </w:r>
          </w:p>
        </w:tc>
        <w:tc>
          <w:tcPr>
            <w:tcW w:w="16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(146)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4,086</w:t>
            </w:r>
          </w:p>
        </w:tc>
        <w:tc>
          <w:tcPr>
            <w:tcW w:w="22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4,796</w:t>
            </w: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2"/>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Income on bank owned life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2,102</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180</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3,339</w:t>
            </w: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3,080</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259</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insurance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spacing w:after="0"/>
              <w:rPr>
                <w:sz w:val="20"/>
                <w:szCs w:val="20"/>
                <w:color w:val="auto"/>
              </w:rPr>
            </w:pPr>
            <w:r>
              <w:rPr>
                <w:rFonts w:ascii="Arial" w:cs="Arial" w:eastAsia="Arial" w:hAnsi="Arial"/>
                <w:sz w:val="14"/>
                <w:szCs w:val="14"/>
                <w:color w:val="auto"/>
              </w:rPr>
              <w:t>Net gains (losses) on sales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300" w:type="dxa"/>
            <w:vAlign w:val="bottom"/>
          </w:tcPr>
          <w:p>
            <w:pPr>
              <w:spacing w:after="0"/>
              <w:rPr>
                <w:sz w:val="15"/>
                <w:szCs w:val="15"/>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5"/>
                <w:szCs w:val="15"/>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135</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color w:val="auto"/>
              </w:rPr>
              <w:t>1,699</w:t>
            </w:r>
          </w:p>
        </w:tc>
        <w:tc>
          <w:tcPr>
            <w:tcW w:w="220" w:type="dxa"/>
            <w:vAlign w:val="bottom"/>
          </w:tcPr>
          <w:p>
            <w:pPr>
              <w:spacing w:after="0"/>
              <w:rPr>
                <w:sz w:val="15"/>
                <w:szCs w:val="15"/>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(184)</w:t>
            </w:r>
          </w:p>
        </w:tc>
        <w:tc>
          <w:tcPr>
            <w:tcW w:w="160" w:type="dxa"/>
            <w:vAlign w:val="bottom"/>
          </w:tcPr>
          <w:p>
            <w:pPr>
              <w:spacing w:after="0"/>
              <w:rPr>
                <w:sz w:val="15"/>
                <w:szCs w:val="15"/>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1,883</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gains (losses)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(1,016)</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1,206</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3</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recognized on equity securities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1,068</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658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2,549</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3,142</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(593)</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69"/>
        </w:trPr>
        <w:tc>
          <w:tcPr>
            <w:tcW w:w="2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non-interest income</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27,964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27,896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55,481</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53,841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1,640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7"/>
          <w:szCs w:val="17"/>
          <w:color w:val="auto"/>
        </w:rPr>
        <w:t>Total non-interest income of $28.0 million for the second quarter of 2020 increased as compared to $27.9 million in the second quarter of 2019. Revenues from wealth management fees and remittance processing activities represented 49.7% of the Company’s non-interest income for the quarter ended June 30, 2020, providing a complement to spread-based revenue from traditional banking activities. Total non-interest income of $55.5 million for the six months ended June 30, 2020 increased as compared to $53.8 million in the comparable period of 2019.</w:t>
      </w:r>
    </w:p>
    <w:p>
      <w:pPr>
        <w:spacing w:after="0" w:line="18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Wealth management fees were $10.2 million for the second quarter of 2020, an increase from $9.5 million for the second quarter of 2019 and were $21.7 million for the six months ended June 30, 2020, compared to $18.5 million for the comparable period of 2019. First Busey’s Wealth Management division ended the second quarter of 2020 with $9.0 billion in assets under care. The Wealth Management division experienced solid new account activity during the second quarter of 2020 and the 90-day new asset pipeline remained strong at the end of the second quarter. Market volatility related to COVID-19, may impact fees in future quarters.</w:t>
      </w:r>
    </w:p>
    <w:p>
      <w:pPr>
        <w:spacing w:after="0" w:line="203" w:lineRule="exact"/>
        <w:rPr>
          <w:sz w:val="20"/>
          <w:szCs w:val="20"/>
          <w:color w:val="auto"/>
        </w:rPr>
      </w:pPr>
    </w:p>
    <w:p>
      <w:pPr>
        <w:ind w:left="60" w:right="199"/>
        <w:spacing w:after="0" w:line="259" w:lineRule="auto"/>
        <w:rPr>
          <w:sz w:val="20"/>
          <w:szCs w:val="20"/>
          <w:color w:val="auto"/>
        </w:rPr>
      </w:pPr>
      <w:r>
        <w:rPr>
          <w:rFonts w:ascii="Arial" w:cs="Arial" w:eastAsia="Arial" w:hAnsi="Arial"/>
          <w:sz w:val="17"/>
          <w:szCs w:val="17"/>
          <w:color w:val="auto"/>
        </w:rPr>
        <w:t>Fees for customer services decreased 27.5% for the three months ended June 30, 2020 compared to the same period of 2019 and 13.5% for the six months ended June 30, 2020 compared to the same period of 2019. The decrease relates to fee waivers provided in connection with the Company’s Financial Relief Program and changing customer behaviors resulting from COVID-19. Personal and business overdraft fees were the most impacted, decreasing by $1.6 million in the second quarter of 2020 as compared to the first quarter of 2020.</w:t>
      </w:r>
    </w:p>
    <w:p>
      <w:pPr>
        <w:spacing w:after="0" w:line="187"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Remittance processing revenue from the Company’s subsidiary, FirsTech, was steady at $3.7 million for the second quarter of 2020 and 2019 and $7.5 million for the six months ended June 30, 2020 and 2019. Remittance processing adds important diversity to our revenue stream while widening the array of service offerings available to our larger commercial clients within our footprint and nationally.</w:t>
      </w:r>
    </w:p>
    <w:p>
      <w:pPr>
        <w:spacing w:after="0" w:line="201" w:lineRule="exact"/>
        <w:rPr>
          <w:sz w:val="20"/>
          <w:szCs w:val="20"/>
          <w:color w:val="auto"/>
        </w:rPr>
      </w:pPr>
    </w:p>
    <w:p>
      <w:pPr>
        <w:jc w:val="both"/>
        <w:ind w:left="60" w:right="159"/>
        <w:spacing w:after="0" w:line="248" w:lineRule="auto"/>
        <w:rPr>
          <w:sz w:val="20"/>
          <w:szCs w:val="20"/>
          <w:color w:val="auto"/>
        </w:rPr>
      </w:pPr>
      <w:r>
        <w:rPr>
          <w:rFonts w:ascii="Arial" w:cs="Arial" w:eastAsia="Arial" w:hAnsi="Arial"/>
          <w:sz w:val="18"/>
          <w:szCs w:val="18"/>
          <w:color w:val="auto"/>
        </w:rPr>
        <w:t>Mortgage revenue of $2.7 million in the second quarter of 2020 decreased compared to $2.9 million in the second quarter of 2019. Mortgage revenue of $4.1 million for the six months ended June 30, 2020 decreased compared to $4.8 million in the comparable period of 2019.</w:t>
      </w:r>
    </w:p>
    <w:p>
      <w:pPr>
        <w:spacing w:after="0" w:line="195"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Other income increased to $1.7 million for the second quarter of 2020 compared to $1.1 million in the second quarter of 2019, but decreased to $2.5 million for the six months ended June 30, 2020 compared to $3.1 million in the same period of 2019. Other income variances are primarily driven by fluctuations in income generated from swap origination fees, data processing income and commercial loan sales gains.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Three Months Ended June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w w:val="92"/>
              </w:rPr>
              <w:t>Six Months Ended June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408"/>
              <w:spacing w:after="0" w:line="160"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388"/>
              <w:spacing w:after="0" w:line="160"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9"/>
              </w:rPr>
              <w:t>Change</w:t>
            </w: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Salaries, wages and employee</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28,555</w:t>
            </w:r>
          </w:p>
        </w:tc>
        <w:tc>
          <w:tcPr>
            <w:tcW w:w="1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34,268</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(5,713)</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62,558</w:t>
            </w:r>
          </w:p>
        </w:tc>
        <w:tc>
          <w:tcPr>
            <w:tcW w:w="16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66,609</w:t>
            </w: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(4,051)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benefits</w:t>
            </w:r>
          </w:p>
        </w:tc>
        <w:tc>
          <w:tcPr>
            <w:tcW w:w="20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Data processing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4,051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5,616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(1,565)</w:t>
            </w:r>
          </w:p>
        </w:tc>
        <w:tc>
          <w:tcPr>
            <w:tcW w:w="700" w:type="dxa"/>
            <w:vAlign w:val="bottom"/>
          </w:tcPr>
          <w:p>
            <w:pPr>
              <w:jc w:val="right"/>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8,446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10,017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(1,571)</w:t>
            </w:r>
          </w:p>
        </w:tc>
        <w:tc>
          <w:tcPr>
            <w:tcW w:w="760" w:type="dxa"/>
            <w:vAlign w:val="bottom"/>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Net occupancy expense of</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(63)</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9,163</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8,713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450</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premises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Furniture and equipment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2,537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2,352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185</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7.9 %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4,986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4,447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539</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12.1 %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6,379</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(2,569)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Amortization of intangible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2,519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2,412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color w:val="auto"/>
              </w:rPr>
              <w:t>107</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4.4 %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5,076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4,506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570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12.6 %</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8,972</w:t>
            </w: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15,669</w:t>
            </w: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(6,697)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19,543</w:t>
            </w:r>
          </w:p>
        </w:tc>
        <w:tc>
          <w:tcPr>
            <w:tcW w:w="1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24,512</w:t>
            </w: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Total non-interest expense</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53,068</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68,020</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(14,952)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113,582</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125,183</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Income taxes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7,012</w:t>
            </w:r>
          </w:p>
        </w:tc>
        <w:tc>
          <w:tcPr>
            <w:tcW w:w="1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6,702</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310</w:t>
            </w:r>
          </w:p>
        </w:tc>
        <w:tc>
          <w:tcPr>
            <w:tcW w:w="700" w:type="dxa"/>
            <w:vAlign w:val="bottom"/>
          </w:tcPr>
          <w:p>
            <w:pPr>
              <w:jc w:val="right"/>
              <w:spacing w:after="0"/>
              <w:rPr>
                <w:sz w:val="20"/>
                <w:szCs w:val="20"/>
                <w:color w:val="auto"/>
              </w:rPr>
            </w:pPr>
            <w:r>
              <w:rPr>
                <w:rFonts w:ascii="Arial" w:cs="Arial" w:eastAsia="Arial" w:hAnsi="Arial"/>
                <w:sz w:val="14"/>
                <w:szCs w:val="14"/>
                <w:color w:val="auto"/>
              </w:rPr>
              <w:t>4.6 %</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10,868</w:t>
            </w:r>
          </w:p>
        </w:tc>
        <w:tc>
          <w:tcPr>
            <w:tcW w:w="1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16,287</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(5,419)</w:t>
            </w:r>
          </w:p>
        </w:tc>
        <w:tc>
          <w:tcPr>
            <w:tcW w:w="760" w:type="dxa"/>
            <w:vAlign w:val="bottom"/>
          </w:tcPr>
          <w:p>
            <w:pPr>
              <w:jc w:val="right"/>
              <w:spacing w:after="0"/>
              <w:rPr>
                <w:sz w:val="20"/>
                <w:szCs w:val="20"/>
                <w:color w:val="auto"/>
              </w:rPr>
            </w:pPr>
            <w:r>
              <w:rPr>
                <w:rFonts w:ascii="Arial" w:cs="Arial" w:eastAsia="Arial" w:hAnsi="Arial"/>
                <w:sz w:val="14"/>
                <w:szCs w:val="14"/>
                <w:color w:val="auto"/>
              </w:rPr>
              <w:t>(33.3)%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Effective rate on income taxes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Efficiency ratio</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Arial" w:cs="Arial" w:eastAsia="Arial" w:hAnsi="Arial"/>
                <w:sz w:val="14"/>
                <w:szCs w:val="14"/>
                <w:color w:val="auto"/>
                <w:w w:val="99"/>
              </w:rPr>
              <w:t>Full-time equivalent employees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1,480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1,579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tcPr>
          <w:p>
            <w:pPr>
              <w:ind w:left="100"/>
              <w:spacing w:after="0"/>
              <w:rPr>
                <w:sz w:val="20"/>
                <w:szCs w:val="20"/>
                <w:color w:val="auto"/>
              </w:rPr>
            </w:pPr>
            <w:r>
              <w:rPr>
                <w:rFonts w:ascii="Arial" w:cs="Arial" w:eastAsia="Arial" w:hAnsi="Arial"/>
                <w:sz w:val="14"/>
                <w:szCs w:val="14"/>
                <w:color w:val="auto"/>
              </w:rPr>
              <w:t>as of period-end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Total non-interest expense of $53.1 million for the three months ended June 30, 2020 decreased as compared to $68.0 million for the same period in 2019. Total non-interest expense of $113.6 million for the six months ended June 30, 2020 decreased as compared to $125.2 million for the same period in 2019. The Company remains focused on expense discipline and expects expense reductions as a result of its planned branch closures, strategic actions in response to COVID-19 and as it realizes additional expense savings from prior acquisitions.</w:t>
      </w:r>
    </w:p>
    <w:p>
      <w:pPr>
        <w:spacing w:after="0" w:line="18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Salaries, wages and employee benefits were $28.6 million in the second quarter of 2020, a decrease from $34.3 million in the second quarter of 2019 and were $62.6 million for the six months ended June 30, 2020 compared to $66.6 million for the comparable period of 2019. The deferral of PPP loan origination costs of $3.8 million combined with a decrease in full-time equivalents contributed to the lower salaries, wages and employee benefits in the second quarter of 2020. The number of total full-time equivalents at June 30, 2020 was 1,480 compared to 1,507 at March 31, 2020, 1,531 at December 31, 2019 and 1,579 at June 30, 2019.</w:t>
      </w:r>
    </w:p>
    <w:p>
      <w:pPr>
        <w:spacing w:after="0" w:line="203" w:lineRule="exact"/>
        <w:rPr>
          <w:sz w:val="20"/>
          <w:szCs w:val="20"/>
          <w:color w:val="auto"/>
        </w:rPr>
      </w:pPr>
    </w:p>
    <w:p>
      <w:pPr>
        <w:ind w:left="60" w:right="139"/>
        <w:spacing w:after="0" w:line="294" w:lineRule="auto"/>
        <w:rPr>
          <w:sz w:val="20"/>
          <w:szCs w:val="20"/>
          <w:color w:val="auto"/>
        </w:rPr>
      </w:pPr>
      <w:r>
        <w:rPr>
          <w:rFonts w:ascii="Arial" w:cs="Arial" w:eastAsia="Arial" w:hAnsi="Arial"/>
          <w:sz w:val="16"/>
          <w:szCs w:val="16"/>
          <w:color w:val="auto"/>
        </w:rPr>
        <w:t>Data processing expense was $4.1 million in the second quarter of 2020, as compared to $5.6 million in the second quarter of 2019 and was $8.4 million in the six months ended June 30, 2020, as compared to $10.0 million in the same period of 2019. The 2019 data processing expense included conversion expenses and data processing related to TheBANK.</w:t>
      </w:r>
    </w:p>
    <w:p>
      <w:pPr>
        <w:spacing w:after="0" w:line="161"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Combined net occupancy expense of premises and furniture and equipment expenses was $7.0 million for the three months ended June 30, 2020, as compared to $6.9 million for the three months ended June 30, 2019 and was $14.1 million for the six months ended June 30, 2020, as compared to $13.2 million in the same period of 2019. The Company continues to evaluate its banking center network and has decided to consolidate 12 banking centers in October 2020.</w:t>
      </w:r>
    </w:p>
    <w:p>
      <w:pPr>
        <w:spacing w:after="0" w:line="169"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Professional fees decreased 37.8% for the three months ended June 30, 2020, as compared to the same period of 2019 and decreased 40.3% for the six months ended June 30, 2020, as compared to the same period of 2019. The decrease is primarily related to a reduction in legal and consulting fees related to acquisitions.</w:t>
      </w:r>
    </w:p>
    <w:p>
      <w:pPr>
        <w:spacing w:after="0" w:line="177"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Amortization of intangible assets increased to $2.5 million for the three months ended June 30, 2020, as compared to $2.4 million for the three months ended June 30, 2019 and increased to $5.1 million for the six months ended June 30, 2020, as compared to $4.5 million for the comparable period of 2019. The increase was due to increases in intangible asset balances from acquisitions in 2019.</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
        <w:spacing w:after="0" w:line="269" w:lineRule="auto"/>
        <w:rPr>
          <w:sz w:val="20"/>
          <w:szCs w:val="20"/>
          <w:color w:val="auto"/>
        </w:rPr>
      </w:pPr>
      <w:r>
        <w:rPr>
          <w:rFonts w:ascii="Arial" w:cs="Arial" w:eastAsia="Arial" w:hAnsi="Arial"/>
          <w:sz w:val="16"/>
          <w:szCs w:val="16"/>
          <w:color w:val="auto"/>
        </w:rPr>
        <w:t>Other expense in the second quarter of 2020 was $9.0 million as compared to $15.7 million in the second quarter of 2019 and other expense of $19.5 million for the six months ended June 30, 2020 decreased compared to $24.5 million for the comparable period of 2019. One-time expenses relating to acquisitions and other restructuring activities included in other expense were $0.3 million and $7.7 million for the six months ended June 30, 2020 and 2019, respectively. The deferral of</w:t>
      </w:r>
    </w:p>
    <w:p>
      <w:pPr>
        <w:spacing w:after="0" w:line="1" w:lineRule="exact"/>
        <w:rPr>
          <w:sz w:val="20"/>
          <w:szCs w:val="20"/>
          <w:color w:val="auto"/>
        </w:rPr>
      </w:pPr>
    </w:p>
    <w:p>
      <w:pPr>
        <w:jc w:val="both"/>
        <w:ind w:left="60" w:right="379" w:hanging="10"/>
        <w:spacing w:after="0" w:line="260" w:lineRule="auto"/>
        <w:tabs>
          <w:tab w:leader="none" w:pos="4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loan origination costs of $1.1 million reduced other expense in the second quarter of 2020. Provision for unfunded commitments of $0.6 million and $1.6 million for the three and six months ended June 30, 2020 were recorded in other expense.</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6"/>
          <w:szCs w:val="16"/>
          <w:color w:val="auto"/>
        </w:rPr>
        <w:t>The efficiency ratio</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was 50.97% for the quarter ended June 30, 2020 compared to 59.69% for the quarter ended March 31, 2020 and 63.62% for the quarter ended June 30, 2019. The adjusted efficiency ratio</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was 50.48% for the quarter ended June 30, 2020, 59.54% for the quarter ended March 31, 2020, and 56.55% for the quarter ended June 30, 2019. The efficiency ratio for the six months ended June 30, 2020 was 55.28% compared to 60.92% for the same period of 2019 and the adjusted efficiency ratio</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was 54.96% for the six months ended June 30, 2020 compared to 56.49% for the comparable period of 2019. The Company remains focused on expense discipline.</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The effective income tax rate of 21.4% and 20.9% for the three and six months ended June 30, 2020 was lower than the combined federal and state statutory rate of approximately 28% due to tax exempt interest income, such as municipal bond interest and bank owned life insurance income, and investments in various federal and state tax credits, including an Illinois new market tax credit. The Company continues to monitor evolving federal and state tax legislation and its potential impact on operations on an ongoing basis. At June 30, 2020, the Company was not under examination by any tax authority; however, Banc Ed, which the Company acquired on January 31, 2019, is under examination by the Illinois Department of Revenue for its 2009 to 2016 income tax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200660</wp:posOffset>
            </wp:positionV>
            <wp:extent cx="1414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9" w:lineRule="exact"/>
        <w:rPr>
          <w:sz w:val="20"/>
          <w:szCs w:val="20"/>
          <w:color w:val="auto"/>
        </w:rPr>
      </w:pPr>
    </w:p>
    <w:p>
      <w:pPr>
        <w:ind w:left="520" w:right="159" w:hanging="321"/>
        <w:spacing w:after="0" w:line="200" w:lineRule="auto"/>
        <w:tabs>
          <w:tab w:leader="none" w:pos="52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Non-GAAP financial measures, see “Non-GAAP Financial Information” included in this Quarterly Report on Form 10-Q.</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w w:val="93"/>
              </w:rPr>
              <w:t>June 30,</w:t>
            </w: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Debt securities available for sale</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1,696,866</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1,648,257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48,609</w:t>
            </w: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Portfolio loans, net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7,132,974</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6,633,501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499,473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9"/>
              </w:rPr>
              <w:t>10,835,965</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9,695,729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1,140,236</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Deposits: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Noninterest-bearing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2,764,408</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1,832,619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931,789</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50.8 %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Interest-bearing</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6,145,258</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6,069,777</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75,481</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Total deposits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8,909,666</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7,902,396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1,007,270</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Securities sold under agreements to repurchase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194,249</w:t>
            </w:r>
          </w:p>
        </w:tc>
        <w:tc>
          <w:tcPr>
            <w:tcW w:w="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205,491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(11,242)</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Short-term borrowings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24,648</w:t>
            </w:r>
          </w:p>
        </w:tc>
        <w:tc>
          <w:tcPr>
            <w:tcW w:w="3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8,551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16,097</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188.2 %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35,101</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83,600</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(48,499)</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Senior notes, net of unamortized issuance costs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39,741</w:t>
            </w:r>
          </w:p>
        </w:tc>
        <w:tc>
          <w:tcPr>
            <w:tcW w:w="3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39,674</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w w:val="98"/>
              </w:rPr>
              <w:t>Subordinated notes, net of unamortized issuance costs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181,995</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59,248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122,747</w:t>
            </w: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207.2 %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w w:val="97"/>
              </w:rPr>
              <w:t>Junior subordinated debt owed to unconsolidated trusts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71,387</w:t>
            </w:r>
          </w:p>
        </w:tc>
        <w:tc>
          <w:tcPr>
            <w:tcW w:w="32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71,308</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Total liabilities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9,599,881</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8,475,295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1,124,586</w:t>
            </w:r>
          </w:p>
        </w:tc>
        <w:tc>
          <w:tcPr>
            <w:tcW w:w="1020" w:type="dxa"/>
            <w:vAlign w:val="bottom"/>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1,236,084</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1,220,434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15,650</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right="279"/>
        <w:spacing w:after="0" w:line="248" w:lineRule="auto"/>
        <w:rPr>
          <w:sz w:val="20"/>
          <w:szCs w:val="20"/>
          <w:color w:val="auto"/>
        </w:rPr>
      </w:pPr>
      <w:r>
        <w:rPr>
          <w:rFonts w:ascii="Arial" w:cs="Arial" w:eastAsia="Arial" w:hAnsi="Arial"/>
          <w:sz w:val="18"/>
          <w:szCs w:val="18"/>
          <w:color w:val="auto"/>
        </w:rPr>
        <w:t>During the quarter, due to PPP loans and other factors, the Company’s total assets exceeded $10 billion. If the Company remains over $10 billion in assets at year-end, it will begin to face limitations on interchange fees and heightened supervision and regulation in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6"/>
          <w:szCs w:val="16"/>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Busey Bank. The Company attempts to utilize government-assisted lending programs, such as the SBA and United States Department of Agriculture lending programs, when prudent. Generally, loans are collateralized by assets, primarily real estate and guaranteed by individuals. The loans are expected to be repaid primarily from cash flows of the borrowers or from proceeds from the sale of selected assets of the borrowers.</w:t>
      </w:r>
    </w:p>
    <w:p>
      <w:pPr>
        <w:spacing w:after="0" w:line="182" w:lineRule="exact"/>
        <w:rPr>
          <w:sz w:val="20"/>
          <w:szCs w:val="20"/>
          <w:color w:val="auto"/>
        </w:rPr>
      </w:pPr>
    </w:p>
    <w:p>
      <w:pPr>
        <w:ind w:left="60" w:right="159"/>
        <w:spacing w:after="0" w:line="274"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allowance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color w:val="auto"/>
        </w:rPr>
        <w:t>borrower’s financial history, the liquidity of the underlying collateral and the reliability of the valuation of the underlying collateral.</w:t>
      </w:r>
    </w:p>
    <w:p>
      <w:pPr>
        <w:spacing w:after="0" w:line="184"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color w:val="auto"/>
        </w:rPr>
        <w:t>As a matter of policy and practice, the Company limits the level of concentration exposure in any particular loan segment with the goal of maintaining a well-diversified loan portfolio. In anticipation of the potential risks associated with COVID-19, the Company took actions starting in early March 2020 to escalate the monitoring of susceptible industry sectors within its portfolio. The Company anticipates that organic loan growth will slow in future quarters as a result of COVID-19 and the related impact on economic conditions in the Company’s market areas.</w:t>
      </w:r>
    </w:p>
    <w:p>
      <w:pPr>
        <w:spacing w:after="0" w:line="187"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201"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201" w:lineRule="exact"/>
        <w:rPr>
          <w:sz w:val="20"/>
          <w:szCs w:val="20"/>
          <w:color w:val="auto"/>
        </w:rPr>
      </w:pPr>
    </w:p>
    <w:p>
      <w:pPr>
        <w:ind w:left="60" w:right="119"/>
        <w:spacing w:after="0" w:line="262" w:lineRule="auto"/>
        <w:rPr>
          <w:sz w:val="20"/>
          <w:szCs w:val="20"/>
          <w:color w:val="auto"/>
        </w:rPr>
      </w:pPr>
      <w:r>
        <w:rPr>
          <w:rFonts w:ascii="Arial" w:cs="Arial" w:eastAsia="Arial" w:hAnsi="Arial"/>
          <w:sz w:val="17"/>
          <w:szCs w:val="17"/>
          <w:color w:val="auto"/>
        </w:rPr>
        <w:t>The Company’s lending activities can be summarized in five primary areas: commercial loans, commercial real estate loans, real estate construction loans, retail real estate loans and retail other loans. A description of each of the lending areas can be found in the Company’s 2019 Form 10-K. The significant majority of the Company’s portfolio lending activity occurs in its Illinois and Missouri markets, with the remainder in the Indiana and Florida markets.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originations,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June 30, 2020</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Illinois</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Missouri</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Florida</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Indiana</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1,568,941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653,937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67,625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67,451</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2,357,954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1,794,985</w:t>
            </w: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735,169</w:t>
            </w:r>
          </w:p>
        </w:tc>
        <w:tc>
          <w:tcPr>
            <w:tcW w:w="24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151,197</w:t>
            </w: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165,663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2,847,014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220,086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100,995</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31,747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1,051,587</w:t>
            </w: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352,089</w:t>
            </w:r>
          </w:p>
        </w:tc>
        <w:tc>
          <w:tcPr>
            <w:tcW w:w="24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97,682</w:t>
            </w: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46,857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1,548,215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37,755</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2,328</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1,572</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42,806</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Portfolio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4,673,354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1,844,518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349,823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361,325</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7,229,020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7,132,974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Illinois</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Missouri</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Florida</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Indiana</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7"/>
              </w:rPr>
              <w:t>1,220,088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457,416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20,589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50,275</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1,748,368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1,782,442</w:t>
            </w: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679,217</w:t>
            </w:r>
          </w:p>
        </w:tc>
        <w:tc>
          <w:tcPr>
            <w:tcW w:w="24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150,935</w:t>
            </w: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180,823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2,793,417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168,621</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139,540</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20,311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Retail real estate</w:t>
            </w: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1,139,173</w:t>
            </w:r>
          </w:p>
        </w:tc>
        <w:tc>
          <w:tcPr>
            <w:tcW w:w="2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412,811</w:t>
            </w:r>
          </w:p>
        </w:tc>
        <w:tc>
          <w:tcPr>
            <w:tcW w:w="24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99,976</w:t>
            </w: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41,809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1,693,769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44,158</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2,535</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1,611</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Portfolio loans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w w:val="97"/>
              </w:rPr>
              <w:t>4,354,482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1,691,519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293,422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347,826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6,687,249</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vMerge w:val="restart"/>
          </w:tcPr>
          <w:p>
            <w:pPr>
              <w:jc w:val="right"/>
              <w:ind w:right="6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459"/>
        <w:spacing w:after="0" w:line="261" w:lineRule="auto"/>
        <w:rPr>
          <w:sz w:val="20"/>
          <w:szCs w:val="20"/>
          <w:color w:val="auto"/>
        </w:rPr>
      </w:pPr>
      <w:r>
        <w:rPr>
          <w:rFonts w:ascii="Arial" w:cs="Arial" w:eastAsia="Arial" w:hAnsi="Arial"/>
          <w:sz w:val="18"/>
          <w:szCs w:val="18"/>
          <w:color w:val="auto"/>
        </w:rPr>
        <w:t>Portfolio loans increased $541.8 million, or 8.1%, as of June 30, 2020 compared to December 31, 2019, primarily as a result of PPP loans.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and Provision for Credit Losses</w:t>
      </w:r>
    </w:p>
    <w:p>
      <w:pPr>
        <w:spacing w:after="0" w:line="225"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color w:val="auto"/>
        </w:rPr>
        <w:t>The allowance for credit losses is a significant estimate in the Company’s unaudited Consolidated Balance Sheet, affecting both earnings and capital. Its methodology influences, and is influenced by, Busey Bank’s overall credit risk management processes. The allowance for credit losses is managed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allowance for credit losses is established through provision for credit loss expense charged to income.</w:t>
      </w:r>
    </w:p>
    <w:p>
      <w:pPr>
        <w:spacing w:after="0" w:line="17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The Company calculates the allowance for credit losses at each reporting date. The Company recognizes an allowance for the lifetime expected credit losses for the amount the Company does not expect to collect. Subsequent changes in expected credit losses are recognized immediately in earnings. The allowance for credit losses is measured on a collective pool basis when similar risk characteristics exist. Loans that do not share risk characteristics are evaluated on an individual basis.</w:t>
      </w:r>
    </w:p>
    <w:p>
      <w:pPr>
        <w:spacing w:after="0" w:line="1" w:lineRule="exact"/>
        <w:rPr>
          <w:sz w:val="20"/>
          <w:szCs w:val="20"/>
          <w:color w:val="auto"/>
        </w:rPr>
      </w:pPr>
    </w:p>
    <w:p>
      <w:pPr>
        <w:ind w:left="60" w:right="99"/>
        <w:spacing w:after="0" w:line="270" w:lineRule="auto"/>
        <w:rPr>
          <w:sz w:val="20"/>
          <w:szCs w:val="20"/>
          <w:color w:val="auto"/>
        </w:rPr>
      </w:pPr>
      <w:r>
        <w:rPr>
          <w:rFonts w:ascii="Arial" w:cs="Arial" w:eastAsia="Arial" w:hAnsi="Arial"/>
          <w:sz w:val="16"/>
          <w:szCs w:val="16"/>
          <w:color w:val="auto"/>
        </w:rPr>
        <w:t>Management estimates the allowance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from 2010-2019. As of June 30, 2020, the Company expects the markets in which it operates to experience a decline in economic conditions and an increase in the unemployment rate and level of delinquencies over the next 12 months. Management adjusted the historical loss experience for these expectations with an immediate reversion to historical loss rate beyond this forecast period.</w:t>
      </w:r>
    </w:p>
    <w:p>
      <w:pPr>
        <w:spacing w:after="0" w:line="18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When a determination is made by management to charge-off a loan balance, a write-off is charged against the allowance for credit losses. Net charge-offs totaled $1.2 million for the quarter ended June 30, 2020 compared to $3.4 million for the quarter ended March 31, 2020, $1.6 million for the quarter ended December 31, 2019 and $2.1 million for the quarter ended June 30, 2019.</w:t>
      </w:r>
    </w:p>
    <w:p>
      <w:pPr>
        <w:spacing w:after="0" w:line="201"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During the second quarter of 2020, the Company recorded provision for credit losses of $12.9 million and provision for unfunded commitments of $0.6 million primarily driven by economic factors around COVID-19.</w:t>
      </w:r>
    </w:p>
    <w:p>
      <w:pPr>
        <w:spacing w:after="0" w:line="18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With the adoption of CECL, the allowance as a percentage of portfolio loans was 1.33% at June 30, 2020, as compared to 1.25% at March 31, 2020, 0.80% at December 31, 2019 and 0.79% at June 30, 2019. The allowance as a percentage of portfolio loans, excluding the amortized cost of PPP loans, was 1.48% at June 30, 2020. The allowance as a percentage of non-performing loans increased to 378.43% at June 30, 2020 as compared to 310.10% at March 31, 2020, 182.15% at December 31, 2019 and 155.33% at June 30, 2019.</w:t>
      </w:r>
    </w:p>
    <w:p>
      <w:pPr>
        <w:spacing w:after="0" w:line="203"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The ongoing impacts of the CECL methodology will be dependent upon changes in economic conditions and forecasts, originated and acquired loan portfolio composition, credit performance trends, portfolio duration, and other factors. If economic conditions deteriorate further than current forecast factors as a result of COVID-19, the Company would expect the provision for credit losses to increase in future periods.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Non-performing Loans and Non-performing Assets</w:t>
      </w:r>
    </w:p>
    <w:p>
      <w:pPr>
        <w:spacing w:after="0" w:line="22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639"/>
        <w:spacing w:after="0" w:line="294" w:lineRule="auto"/>
        <w:rPr>
          <w:sz w:val="20"/>
          <w:szCs w:val="20"/>
          <w:color w:val="auto"/>
        </w:rPr>
      </w:pPr>
      <w:r>
        <w:rPr>
          <w:rFonts w:ascii="Arial" w:cs="Arial" w:eastAsia="Arial" w:hAnsi="Arial"/>
          <w:sz w:val="16"/>
          <w:szCs w:val="16"/>
          <w:color w:val="auto"/>
        </w:rPr>
        <w:t>Typically, loans are secured by collateral. When a loan is classified as non-accrual and determined to be collateral dependent, it is appropriately reserved or charged down through the allowance to the fair value of our interest in the underlying collateral less estimated costs to sell. Our loan portfolio is collateralized primarily by real estate.</w:t>
      </w:r>
    </w:p>
    <w:p>
      <w:pPr>
        <w:spacing w:after="0" w:line="161" w:lineRule="exact"/>
        <w:rPr>
          <w:sz w:val="20"/>
          <w:szCs w:val="20"/>
          <w:color w:val="auto"/>
        </w:rPr>
      </w:pPr>
    </w:p>
    <w:p>
      <w:pPr>
        <w:ind w:left="60" w:right="139"/>
        <w:spacing w:after="0" w:line="250" w:lineRule="auto"/>
        <w:rPr>
          <w:sz w:val="20"/>
          <w:szCs w:val="20"/>
          <w:color w:val="auto"/>
        </w:rPr>
      </w:pPr>
      <w:r>
        <w:rPr>
          <w:rFonts w:ascii="Arial" w:cs="Arial" w:eastAsia="Arial" w:hAnsi="Arial"/>
          <w:sz w:val="18"/>
          <w:szCs w:val="18"/>
          <w:color w:val="auto"/>
        </w:rPr>
        <w:t xml:space="preserve">The following table sets forth information concerning key asset quality metrics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10,150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14,271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12,434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18,040</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25,095</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25,672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27,896</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31,827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32,816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Loans 90+ days past due and still accruing</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285</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1,540</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1,611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25,380</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27,212</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29,507</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33,103</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33,074</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OREO</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3,755</w:t>
            </w:r>
          </w:p>
        </w:tc>
        <w:tc>
          <w:tcPr>
            <w:tcW w:w="18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3,057</w:t>
            </w:r>
          </w:p>
        </w:tc>
        <w:tc>
          <w:tcPr>
            <w:tcW w:w="220" w:type="dxa"/>
            <w:vAlign w:val="bottom"/>
          </w:tcPr>
          <w:p>
            <w:pPr>
              <w:spacing w:after="0"/>
              <w:rPr>
                <w:sz w:val="19"/>
                <w:szCs w:val="19"/>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29,135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30,765</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32,564</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34,029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34,010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4,949</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5,005</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8,778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Allowance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96,046</w:t>
            </w:r>
          </w:p>
        </w:tc>
        <w:tc>
          <w:tcPr>
            <w:tcW w:w="180" w:type="dxa"/>
            <w:vAlign w:val="bottom"/>
          </w:tcPr>
          <w:p>
            <w:pPr>
              <w:spacing w:after="0"/>
              <w:rPr>
                <w:sz w:val="19"/>
                <w:szCs w:val="19"/>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84,384</w:t>
            </w:r>
          </w:p>
        </w:tc>
        <w:tc>
          <w:tcPr>
            <w:tcW w:w="200" w:type="dxa"/>
            <w:vAlign w:val="bottom"/>
          </w:tcPr>
          <w:p>
            <w:pPr>
              <w:spacing w:after="0"/>
              <w:rPr>
                <w:sz w:val="19"/>
                <w:szCs w:val="19"/>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53,748</w:t>
            </w:r>
          </w:p>
        </w:tc>
        <w:tc>
          <w:tcPr>
            <w:tcW w:w="220" w:type="dxa"/>
            <w:vAlign w:val="bottom"/>
          </w:tcPr>
          <w:p>
            <w:pPr>
              <w:spacing w:after="0"/>
              <w:rPr>
                <w:sz w:val="19"/>
                <w:szCs w:val="19"/>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52,965</w:t>
            </w:r>
          </w:p>
        </w:tc>
        <w:tc>
          <w:tcPr>
            <w:tcW w:w="12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51,375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Allowance to portfolio loans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1.33 %</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0.80 %</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0.79 %</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3"/>
              </w:rPr>
              <w:t>Allowance to portfolio loans, excluding PPP loans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0.80 %</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Allowance to non-performing loans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378.43 %</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310.10 %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182.15 %</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160.00 %</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155.33 %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0.32 %</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0.35 %</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Non-performing loans to portfolio loans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0.35 %</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0.40 %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0.44 %</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0.50 %</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to portfolio loans,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18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2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2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0.50 %</w:t>
            </w:r>
          </w:p>
        </w:tc>
        <w:tc>
          <w:tcPr>
            <w:tcW w:w="12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excluding PPP loans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Non-performing assets to portfolio loans and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0.40 %</w:t>
            </w:r>
          </w:p>
        </w:tc>
        <w:tc>
          <w:tcPr>
            <w:tcW w:w="18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0.46 %</w:t>
            </w:r>
          </w:p>
        </w:tc>
        <w:tc>
          <w:tcPr>
            <w:tcW w:w="2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0.49 %</w:t>
            </w:r>
          </w:p>
        </w:tc>
        <w:tc>
          <w:tcPr>
            <w:tcW w:w="2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0.51 %</w:t>
            </w:r>
          </w:p>
        </w:tc>
        <w:tc>
          <w:tcPr>
            <w:tcW w:w="12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0.52 %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OREO</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Loans 30-89 days past due were $5.2 million as of June 30, 2020, a decrease from $10.2 million as of March 31, 2020, and $18.0 million as of June 30, 2019. Non-performing loans totaled $25.4 million as of June 30, 2020, a decrease from $27.2 million as of March 31, 2020, and $33.1 million as of June 30, 2019. Continued disciplined credit management resulted in non-performing loans as a percentage of total loans of 0.35% at June 30, 2020 as compared to 0.40% at March 31, 2020 and 0.51% at June 30, 2019. Non-performing loans as a percentage of total loans, excluding the amortized cost of PPP loans, was 0.39% at June 30, 2020.</w:t>
      </w:r>
    </w:p>
    <w:p>
      <w:pPr>
        <w:spacing w:after="0" w:line="203"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color w:val="auto"/>
        </w:rPr>
        <w:t>If economic conditions deteriorate further as a result of COVID-19, the Company would expect the credit quality of our loan portfolio to decline and loan defaults to increase.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left="60" w:right="179"/>
        <w:spacing w:after="0" w:line="255" w:lineRule="auto"/>
        <w:rPr>
          <w:sz w:val="20"/>
          <w:szCs w:val="20"/>
          <w:color w:val="auto"/>
        </w:rPr>
      </w:pPr>
      <w:r>
        <w:rPr>
          <w:rFonts w:ascii="Arial" w:cs="Arial" w:eastAsia="Arial" w:hAnsi="Arial"/>
          <w:sz w:val="17"/>
          <w:szCs w:val="17"/>
          <w:color w:val="auto"/>
        </w:rPr>
        <w:t>Potential problem loans are those loans which are not categorized as individually evaluated, restructured, non-accrual or 90+ days past due, but where current information indicates that the borrower may not be able to comply with loan repayment terms. Potential problem loans totaled $83.6 million at June 30, 2020, compared to $74.6 million at December 31, 2019. Management continues to monitor these credits and anticipates that restructurings, guarantees, additional collateral or other planned actions will result in full repayment of the debts. As of June 30, 2020, management identified no other loans that represent or result from trends or uncertainties which would be expected to materially impact future operating results, liquidity or capital resources.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To alleviate some of the financial hardships qualifying customers may face as a result of COVID-19, the Company is offering an internal Financial Relief Program. The program includes options for short-term loan payment deferrals and certain fee waivers. As of June 30, 2020, the Company had commercial loan payment deferrals representing $1.1 billion in loans, mortgage/personal loan payment deferrals representing $130.2 million in loans and additional deferrals of $80.9 million for mortgage loans in the serviced portfolio. As these deferrals expire, the Company will continue to monitor credits for potential problem loans.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Total deposits were $8.9 billion at June 30, 2020, as compared to $7.9 billion at December 31, 2019. The increase in deposits at June 30, 2020 is attributable to retention of PPP loan funding in customer deposit accounts, other core deposit growth and seasonality in public funds. The Company remains funded primarily through core deposits with significant market share in its primary markets.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9"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of June 30, 2020, the Company had additional capacity to borrow from the FHLB and Federal Reserve of $1.6 billion and $474.4 million, respectively.</w:t>
      </w:r>
    </w:p>
    <w:p>
      <w:pPr>
        <w:spacing w:after="0" w:line="186" w:lineRule="exact"/>
        <w:rPr>
          <w:sz w:val="20"/>
          <w:szCs w:val="20"/>
          <w:color w:val="auto"/>
        </w:rPr>
      </w:pPr>
    </w:p>
    <w:p>
      <w:pPr>
        <w:jc w:val="both"/>
        <w:ind w:left="60" w:right="239"/>
        <w:spacing w:after="0" w:line="248" w:lineRule="auto"/>
        <w:rPr>
          <w:sz w:val="20"/>
          <w:szCs w:val="20"/>
          <w:color w:val="auto"/>
        </w:rPr>
      </w:pPr>
      <w:r>
        <w:rPr>
          <w:rFonts w:ascii="Arial" w:cs="Arial" w:eastAsia="Arial" w:hAnsi="Arial"/>
          <w:sz w:val="18"/>
          <w:szCs w:val="18"/>
          <w:color w:val="auto"/>
        </w:rPr>
        <w:t>The Company has the ability to pledge PPP loans as collateral to either the FHLB, Federal Reserve Discount Window or the Paycheck Protection Program Liquidity Facility to increase the availability to borrow against any potential short-term funding needs.</w:t>
      </w:r>
    </w:p>
    <w:p>
      <w:pPr>
        <w:spacing w:after="0" w:line="195"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As of June 30, 2020,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Bank routinely enters into commitments to extend credit and standby letters of credit in the normal course of business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meet the financing needs of its customers. As of June 30, 2020 and December 31, 2019, we had outstanding loan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commitments and standby letters of credit of $1.8 billion and $1.7 billion, respectively. The balance of commitments to</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extend credit represents future cash requirements and some of these commitments may expire without being drawn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upon. We anticipate we will have sufficient funds available to meet current loan commitments, including loan applications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received and in process prior to the issuance of firm commitments.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left="60" w:right="119"/>
        <w:spacing w:after="0" w:line="276"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 holding companies and their subsidiary banks are required to maintain, including the</w:t>
      </w:r>
    </w:p>
    <w:p>
      <w:pPr>
        <w:sectPr>
          <w:pgSz w:w="11900" w:h="16838" w:orient="portrait"/>
          <w:cols w:equalWidth="0" w:num="1">
            <w:col w:w="9019"/>
          </w:cols>
          <w:pgMar w:left="1440" w:top="530"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capital conservation buffer, a total capital to total risk-weighted asset ratio of not less than 10.50%, Tier 1 capital to total risk-weighted asset ratio of not less than 8.50%, Common Equity Tier 1 capital to total risk-weighted asset ratio of not less than 7.00% and a Tier 1 leverage ratio of not less than 4.00%. See “Note 11: Regulatory Capital” for ratios and further discussion.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left="60" w:right="299"/>
        <w:spacing w:after="0" w:line="276" w:lineRule="auto"/>
        <w:rPr>
          <w:sz w:val="20"/>
          <w:szCs w:val="20"/>
          <w:color w:val="auto"/>
        </w:rPr>
      </w:pPr>
      <w:r>
        <w:rPr>
          <w:rFonts w:ascii="Arial" w:cs="Arial" w:eastAsia="Arial" w:hAnsi="Arial"/>
          <w:sz w:val="16"/>
          <w:szCs w:val="16"/>
          <w:color w:val="auto"/>
        </w:rPr>
        <w:t>This Quarterly Report on Form 10-Q contains certain financial information determined by methods other than in accordance with GAAP. These measures include adjusted pre-provision net revenue, adjusted net income, adjusted earnings per share, adjusted return on average assets, adjusted net interest margin, adjusted efficiency ratio, tangible common equity,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75"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A reconciliation to what management believes to be the most directly comparable GAAP financial measures, specifically total net interest income in the case of adjusted pre-provision net revenue, net income in the case of adjusted net income, adjusted earnings per share and adjusted return on average assets, total net interest income in the case of adjusted net interest margin, total non-interest income and total non-interest expense in the case of adjusted efficiency ratio and total stockholders’ equity in the case of tangible common equity, tangible common equity to tangible assets, tangible book value per share and return on average tangible common equity appears below (dollars in thousands, except per share data). The Company believes the adjusted measures are useful for investors and management to understand the effects of certain non-recurring non-interest items and provides additional perspective on the Company’s performance over time as well as comparison to the Company’s peers.</w:t>
      </w:r>
    </w:p>
    <w:p>
      <w:pPr>
        <w:spacing w:after="0" w:line="197"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Pre-Provision Net Revenue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3"/>
              </w:rPr>
              <w:t>June 30,</w:t>
            </w:r>
          </w:p>
        </w:tc>
        <w:tc>
          <w:tcPr>
            <w:tcW w:w="1040" w:type="dxa"/>
            <w:vAlign w:val="bottom"/>
            <w:tcBorders>
              <w:top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March 31,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3"/>
              </w:rPr>
              <w:t>June 30,</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70,813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69,433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73,428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140,246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141,811</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1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27,964</w:t>
            </w:r>
          </w:p>
        </w:tc>
        <w:tc>
          <w:tcPr>
            <w:tcW w:w="14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27,517</w:t>
            </w:r>
          </w:p>
        </w:tc>
        <w:tc>
          <w:tcPr>
            <w:tcW w:w="120" w:type="dxa"/>
            <w:vAlign w:val="bottom"/>
          </w:tcPr>
          <w:p>
            <w:pPr>
              <w:spacing w:after="0"/>
              <w:rPr>
                <w:sz w:val="17"/>
                <w:szCs w:val="17"/>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27,896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55,481</w:t>
            </w:r>
          </w:p>
        </w:tc>
        <w:tc>
          <w:tcPr>
            <w:tcW w:w="140" w:type="dxa"/>
            <w:vAlign w:val="bottom"/>
          </w:tcPr>
          <w:p>
            <w:pPr>
              <w:spacing w:after="0"/>
              <w:rPr>
                <w:sz w:val="17"/>
                <w:szCs w:val="17"/>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53,841</w:t>
            </w:r>
          </w:p>
        </w:tc>
        <w:tc>
          <w:tcPr>
            <w:tcW w:w="0" w:type="dxa"/>
            <w:vAlign w:val="bottom"/>
          </w:tcPr>
          <w:p>
            <w:pPr>
              <w:spacing w:after="0"/>
              <w:rPr>
                <w:sz w:val="1"/>
                <w:szCs w:val="1"/>
                <w:color w:val="auto"/>
              </w:rPr>
            </w:pPr>
          </w:p>
        </w:tc>
      </w:tr>
      <w:tr>
        <w:trPr>
          <w:trHeight w:val="20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Less net (gains) losses on sales of securities and</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unrealized (gains) losses recognized on equity</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(587)</w:t>
            </w: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1,026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(902)</w:t>
            </w: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securities</w:t>
            </w: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 expense</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(53,068)</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(60,514)</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(68,020)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(113,582)</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(125,183)</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Pre-provision net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45,394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35,849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34,330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81,243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71,453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and other restructuring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487</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7,293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632</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8,772</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Provision for unfunded commitments</w:t>
            </w:r>
          </w:p>
        </w:tc>
        <w:tc>
          <w:tcPr>
            <w:tcW w:w="1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567</w:t>
            </w:r>
          </w:p>
        </w:tc>
        <w:tc>
          <w:tcPr>
            <w:tcW w:w="14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1,584</w:t>
            </w:r>
          </w:p>
        </w:tc>
        <w:tc>
          <w:tcPr>
            <w:tcW w:w="140" w:type="dxa"/>
            <w:vAlign w:val="bottom"/>
          </w:tcPr>
          <w:p>
            <w:pPr>
              <w:spacing w:after="0"/>
              <w:rPr>
                <w:sz w:val="17"/>
                <w:szCs w:val="17"/>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Market Tax Credit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1,200</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pre-provision net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46,448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38,211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42,823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84,659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81,425</w:t>
            </w:r>
          </w:p>
        </w:tc>
        <w:tc>
          <w:tcPr>
            <w:tcW w:w="0" w:type="dxa"/>
            <w:vAlign w:val="bottom"/>
          </w:tcPr>
          <w:p>
            <w:pPr>
              <w:spacing w:after="0"/>
              <w:rPr>
                <w:sz w:val="1"/>
                <w:szCs w:val="1"/>
                <w:color w:val="auto"/>
              </w:rPr>
            </w:pPr>
          </w:p>
        </w:tc>
      </w:tr>
      <w:tr>
        <w:trPr>
          <w:trHeight w:val="183"/>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2"/>
              </w:rPr>
              <w:t>10,374,820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9,688,177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2"/>
              </w:rPr>
              <w:t>9,522,678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10,031,499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2"/>
              </w:rPr>
              <w:t>9,195,975</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8"/>
              </w:rPr>
              <w:t>Reported</w:t>
            </w:r>
            <w:r>
              <w:rPr>
                <w:rFonts w:ascii="Arial" w:cs="Arial" w:eastAsia="Arial" w:hAnsi="Arial"/>
                <w:sz w:val="16"/>
                <w:szCs w:val="16"/>
                <w:color w:val="auto"/>
                <w:w w:val="98"/>
              </w:rPr>
              <w:t>: Pre-provision net revenue to average</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assets</w:t>
            </w:r>
            <w:r>
              <w:rPr>
                <w:rFonts w:ascii="Arial" w:cs="Arial" w:eastAsia="Arial" w:hAnsi="Arial"/>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192"/>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w w:val="98"/>
              </w:rPr>
              <w:t>Adjusted</w:t>
            </w:r>
            <w:r>
              <w:rPr>
                <w:rFonts w:ascii="Arial" w:cs="Arial" w:eastAsia="Arial" w:hAnsi="Arial"/>
                <w:sz w:val="16"/>
                <w:szCs w:val="16"/>
                <w:color w:val="auto"/>
                <w:w w:val="98"/>
              </w:rPr>
              <w:t>: Pre-provision net revenue to 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line="213" w:lineRule="exact"/>
              <w:rPr>
                <w:sz w:val="20"/>
                <w:szCs w:val="20"/>
                <w:color w:val="auto"/>
              </w:rPr>
            </w:pPr>
            <w:r>
              <w:rPr>
                <w:rFonts w:ascii="Arial" w:cs="Arial" w:eastAsia="Arial" w:hAnsi="Arial"/>
                <w:sz w:val="16"/>
                <w:szCs w:val="16"/>
                <w:color w:val="auto"/>
              </w:rPr>
              <w:t>assets</w:t>
            </w:r>
            <w:r>
              <w:rPr>
                <w:rFonts w:ascii="Arial" w:cs="Arial" w:eastAsia="Arial" w:hAnsi="Arial"/>
                <w:sz w:val="24"/>
                <w:szCs w:val="24"/>
                <w:color w:val="auto"/>
                <w:vertAlign w:val="superscript"/>
              </w:rPr>
              <w:t>(1)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1.80 %</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1.59 %</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1.70 %</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40" w:hanging="190"/>
        <w:spacing w:after="0" w:line="219" w:lineRule="auto"/>
        <w:tabs>
          <w:tab w:leader="none" w:pos="24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Reconciliation of Non-GAAP Financial Measures — Adjusted Net Income, Adjusted Earnings Per Share and Adjusted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Return on Average Assets</w:t>
      </w: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ind w:left="579"/>
              <w:spacing w:after="0"/>
              <w:rPr>
                <w:sz w:val="20"/>
                <w:szCs w:val="20"/>
                <w:color w:val="auto"/>
              </w:rPr>
            </w:pPr>
            <w:r>
              <w:rPr>
                <w:rFonts w:ascii="Arial" w:cs="Arial" w:eastAsia="Arial" w:hAnsi="Arial"/>
                <w:sz w:val="16"/>
                <w:szCs w:val="16"/>
                <w:b w:val="1"/>
                <w:bCs w:val="1"/>
                <w:color w:val="auto"/>
                <w:w w:val="92"/>
              </w:rPr>
              <w:t>Three Months Ended</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w w:val="93"/>
              </w:rPr>
              <w:t>June 30,</w:t>
            </w:r>
          </w:p>
        </w:tc>
        <w:tc>
          <w:tcPr>
            <w:tcW w:w="100" w:type="dxa"/>
            <w:vAlign w:val="bottom"/>
          </w:tcPr>
          <w:p>
            <w:pPr>
              <w:spacing w:after="0"/>
              <w:rPr>
                <w:sz w:val="16"/>
                <w:szCs w:val="16"/>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16"/>
                <w:szCs w:val="16"/>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w w:val="87"/>
              </w:rPr>
              <w:t>June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w w:val="93"/>
              </w:rPr>
              <w:t>June 30,</w:t>
            </w:r>
          </w:p>
        </w:tc>
        <w:tc>
          <w:tcPr>
            <w:tcW w:w="120" w:type="dxa"/>
            <w:vAlign w:val="bottom"/>
          </w:tcPr>
          <w:p>
            <w:pPr>
              <w:spacing w:after="0"/>
              <w:rPr>
                <w:sz w:val="16"/>
                <w:szCs w:val="16"/>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w w:val="93"/>
              </w:rPr>
              <w:t>June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25,806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24,085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Acquisition expenses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Salaries, wages, and employee benefits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Data processing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Lease or fixed asset impairment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Other (includes professional and legal)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3,293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Other restructuring costs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Salaries, wages, and employee benefits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Data processing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Other (includes professional and legal)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826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MSR valuation impairment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Related tax benefit</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(1,880)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net income</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26,191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29,498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41,670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w w:val="97"/>
              </w:rPr>
              <w:t>Dilutive average common shares outstanding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54,705,273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4"/>
              </w:rPr>
              <w:t>54,913,329</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7"/>
              </w:rPr>
              <w:t>55,941,117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2"/>
              </w:rPr>
              <w:t>54,807,170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2"/>
              </w:rPr>
              <w:t>54,764,129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Diluted earnings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Diluted earnings per share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0.28</w:t>
            </w:r>
          </w:p>
        </w:tc>
        <w:tc>
          <w:tcPr>
            <w:tcW w:w="14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Average total assets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w w:val="89"/>
              </w:rPr>
              <w:t>10,374,820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9,688,177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9,522,678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w w:val="92"/>
              </w:rPr>
              <w:t>10,031,499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9,195,975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assets</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0.64 %</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0.83 %</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Return on average assets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0.64 %</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0.84 %</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60" w:hanging="204"/>
        <w:spacing w:after="0"/>
        <w:tabs>
          <w:tab w:leader="none" w:pos="26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5648960" cy="11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4896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Net Interest Margin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w w:val="93"/>
              </w:rPr>
              <w:t>June 30,</w:t>
            </w:r>
          </w:p>
        </w:tc>
        <w:tc>
          <w:tcPr>
            <w:tcW w:w="11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6"/>
                <w:szCs w:val="16"/>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income</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70,813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69,433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73,428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140,246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141,811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80"/>
              <w:spacing w:after="0"/>
              <w:rPr>
                <w:sz w:val="20"/>
                <w:szCs w:val="20"/>
                <w:color w:val="auto"/>
              </w:rPr>
            </w:pPr>
            <w:r>
              <w:rPr>
                <w:rFonts w:ascii="Arial" w:cs="Arial" w:eastAsia="Arial" w:hAnsi="Arial"/>
                <w:sz w:val="16"/>
                <w:szCs w:val="16"/>
                <w:color w:val="auto"/>
              </w:rPr>
              <w:t>Tax-equivalent adjustment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717</w:t>
            </w:r>
          </w:p>
        </w:tc>
        <w:tc>
          <w:tcPr>
            <w:tcW w:w="16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730</w:t>
            </w:r>
          </w:p>
        </w:tc>
        <w:tc>
          <w:tcPr>
            <w:tcW w:w="140" w:type="dxa"/>
            <w:vAlign w:val="bottom"/>
          </w:tcPr>
          <w:p>
            <w:pPr>
              <w:spacing w:after="0"/>
              <w:rPr>
                <w:sz w:val="17"/>
                <w:szCs w:val="17"/>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777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1,447</w:t>
            </w:r>
          </w:p>
        </w:tc>
        <w:tc>
          <w:tcPr>
            <w:tcW w:w="14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 accounting accretion related to</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(2,477)</w:t>
            </w:r>
          </w:p>
        </w:tc>
        <w:tc>
          <w:tcPr>
            <w:tcW w:w="1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(2,827)</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(3,471)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(5,304)</w:t>
            </w:r>
          </w:p>
        </w:tc>
        <w:tc>
          <w:tcPr>
            <w:tcW w:w="1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business combinations</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040" w:type="dxa"/>
            <w:vAlign w:val="bottom"/>
            <w:gridSpan w:val="2"/>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income</w:t>
            </w:r>
          </w:p>
        </w:tc>
        <w:tc>
          <w:tcPr>
            <w:tcW w:w="3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69,053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67,336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70,734</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136,389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136,800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0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color w:val="auto"/>
              </w:rPr>
              <w:t>Average interest-earning assets</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w w:val="98"/>
              </w:rPr>
              <w:t>9,485,200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w w:val="95"/>
              </w:rPr>
              <w:t>8,817,544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w w:val="98"/>
              </w:rPr>
              <w:t>8,666,136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w w:val="95"/>
              </w:rPr>
              <w:t>9,151,372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w w:val="95"/>
              </w:rPr>
              <w:t>8,378,862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margin</w:t>
            </w:r>
            <w:r>
              <w:rPr>
                <w:rFonts w:ascii="Arial" w:cs="Arial" w:eastAsia="Arial" w:hAnsi="Arial"/>
                <w:sz w:val="23"/>
                <w:szCs w:val="23"/>
                <w:color w:val="auto"/>
                <w:vertAlign w:val="superscript"/>
              </w:rPr>
              <w:t>(1)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3.03 %</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3.20 %</w:t>
            </w:r>
          </w:p>
        </w:tc>
        <w:tc>
          <w:tcPr>
            <w:tcW w:w="1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3.43 %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3.11 %</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Net Interest margin</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128905</wp:posOffset>
            </wp:positionV>
            <wp:extent cx="564896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134" w:lineRule="exact"/>
        <w:rPr>
          <w:sz w:val="20"/>
          <w:szCs w:val="20"/>
          <w:color w:val="auto"/>
        </w:rPr>
      </w:pPr>
    </w:p>
    <w:p>
      <w:pPr>
        <w:ind w:left="260" w:hanging="204"/>
        <w:spacing w:after="0"/>
        <w:tabs>
          <w:tab w:leader="none" w:pos="26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Annualized measure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center"/>
              <w:ind w:left="559"/>
              <w:spacing w:after="0"/>
              <w:rPr>
                <w:sz w:val="20"/>
                <w:szCs w:val="20"/>
                <w:color w:val="auto"/>
              </w:rPr>
            </w:pPr>
            <w:r>
              <w:rPr>
                <w:rFonts w:ascii="Arial" w:cs="Arial" w:eastAsia="Arial" w:hAnsi="Arial"/>
                <w:sz w:val="16"/>
                <w:szCs w:val="16"/>
                <w:b w:val="1"/>
                <w:bCs w:val="1"/>
                <w:color w:val="auto"/>
                <w:w w:val="92"/>
              </w:rPr>
              <w:t>Three Months Ended</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6"/>
                <w:szCs w:val="16"/>
                <w:color w:val="auto"/>
              </w:rPr>
            </w:pPr>
          </w:p>
        </w:tc>
        <w:tc>
          <w:tcPr>
            <w:tcW w:w="96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March 31,</w:t>
            </w:r>
          </w:p>
        </w:tc>
        <w:tc>
          <w:tcPr>
            <w:tcW w:w="160" w:type="dxa"/>
            <w:vAlign w:val="bottom"/>
          </w:tcPr>
          <w:p>
            <w:pPr>
              <w:spacing w:after="0"/>
              <w:rPr>
                <w:sz w:val="16"/>
                <w:szCs w:val="16"/>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w w:val="87"/>
              </w:rPr>
              <w:t>June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6"/>
                <w:szCs w:val="16"/>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Net 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70,813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69,433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73,428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140,246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141,811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Tax-equivalent adjustment</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730</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1,447</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Tax-equivalent 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71,530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70,163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74,205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141,693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143,265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Non-interest income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27,964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27,517</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27,896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55,481</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53,841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6"/>
                <w:szCs w:val="16"/>
                <w:color w:val="auto"/>
                <w:w w:val="95"/>
              </w:rPr>
              <w:t>Less net (gains) losses on sales of securities and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220"/>
              <w:spacing w:after="0"/>
              <w:rPr>
                <w:sz w:val="20"/>
                <w:szCs w:val="20"/>
                <w:color w:val="auto"/>
              </w:rPr>
            </w:pPr>
            <w:r>
              <w:rPr>
                <w:rFonts w:ascii="Arial" w:cs="Arial" w:eastAsia="Arial" w:hAnsi="Arial"/>
                <w:sz w:val="16"/>
                <w:szCs w:val="16"/>
                <w:color w:val="auto"/>
              </w:rPr>
              <w:t>unrealized (gains) losses recognized on</w:t>
            </w:r>
          </w:p>
        </w:tc>
        <w:tc>
          <w:tcPr>
            <w:tcW w:w="100" w:type="dxa"/>
            <w:vAlign w:val="bottom"/>
          </w:tcPr>
          <w:p>
            <w:pPr>
              <w:spacing w:after="0"/>
              <w:rPr>
                <w:sz w:val="17"/>
                <w:szCs w:val="17"/>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auto"/>
              </w:rPr>
              <w:t>(587)</w:t>
            </w:r>
          </w:p>
        </w:tc>
        <w:tc>
          <w:tcPr>
            <w:tcW w:w="160" w:type="dxa"/>
            <w:vAlign w:val="bottom"/>
          </w:tcPr>
          <w:p>
            <w:pPr>
              <w:spacing w:after="0"/>
              <w:rPr>
                <w:sz w:val="17"/>
                <w:szCs w:val="17"/>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(902)</w:t>
            </w:r>
          </w:p>
        </w:tc>
        <w:tc>
          <w:tcPr>
            <w:tcW w:w="140" w:type="dxa"/>
            <w:vAlign w:val="bottom"/>
          </w:tcPr>
          <w:p>
            <w:pPr>
              <w:spacing w:after="0"/>
              <w:rPr>
                <w:sz w:val="17"/>
                <w:szCs w:val="17"/>
                <w:color w:val="auto"/>
              </w:rPr>
            </w:pP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equity securities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Non-interest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27,649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26,930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28,922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54,579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54,825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Non-interest expense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53,068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60,514</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68,020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113,582</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125,183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(2,519)</w:t>
            </w:r>
          </w:p>
        </w:tc>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(2,557)</w:t>
            </w:r>
          </w:p>
        </w:tc>
        <w:tc>
          <w:tcPr>
            <w:tcW w:w="16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(2,412)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(5,076)</w:t>
            </w:r>
          </w:p>
        </w:tc>
        <w:tc>
          <w:tcPr>
            <w:tcW w:w="14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(4,506)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Non-operating adjustments: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ind w:left="300"/>
              <w:spacing w:after="0"/>
              <w:rPr>
                <w:sz w:val="20"/>
                <w:szCs w:val="20"/>
                <w:color w:val="auto"/>
              </w:rPr>
            </w:pPr>
            <w:r>
              <w:rPr>
                <w:rFonts w:ascii="Arial" w:cs="Arial" w:eastAsia="Arial" w:hAnsi="Arial"/>
                <w:sz w:val="16"/>
                <w:szCs w:val="16"/>
                <w:color w:val="auto"/>
              </w:rPr>
              <w:t>Salaries, wages, and employee benefits</w:t>
            </w:r>
          </w:p>
        </w:tc>
        <w:tc>
          <w:tcPr>
            <w:tcW w:w="10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(346)</w:t>
            </w:r>
          </w:p>
        </w:tc>
        <w:tc>
          <w:tcPr>
            <w:tcW w:w="14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Data processing</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(6,356)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(286)</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Non-interest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50,062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57,812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58,315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107,874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111,905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Efficiency ratio</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50.97 %</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59.69 %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55.28 </w:t>
            </w: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xml:space="preserve">60.92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6"/>
                <w:szCs w:val="16"/>
                <w:b w:val="1"/>
                <w:bCs w:val="1"/>
                <w:color w:val="auto"/>
              </w:rPr>
              <w:t>Adjusted</w:t>
            </w:r>
            <w:r>
              <w:rPr>
                <w:rFonts w:ascii="Arial" w:cs="Arial" w:eastAsia="Arial" w:hAnsi="Arial"/>
                <w:sz w:val="16"/>
                <w:szCs w:val="16"/>
                <w:color w:val="auto"/>
              </w:rPr>
              <w:t>: Efficiency ratio</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50.48 %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59.54 %</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56.55 %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xml:space="preserve">54.96 </w:t>
            </w: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xml:space="preserve">56.49 </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60" w:right="59"/>
        <w:spacing w:after="0" w:line="248" w:lineRule="auto"/>
        <w:rPr>
          <w:sz w:val="20"/>
          <w:szCs w:val="20"/>
          <w:color w:val="auto"/>
        </w:rPr>
      </w:pPr>
      <w:r>
        <w:rPr>
          <w:rFonts w:ascii="Arial" w:cs="Arial" w:eastAsia="Arial" w:hAnsi="Arial"/>
          <w:sz w:val="18"/>
          <w:szCs w:val="18"/>
          <w:u w:val="single" w:color="auto"/>
          <w:color w:val="auto"/>
        </w:rPr>
        <w:t xml:space="preserve">Reconciliation of Non-GAAP Financial Measures — Tangible Common Equity, Tangible Common Equity to Tangible Assets, Tangible Book Value per Share, and Return on Average Tangible Common Equity </w:t>
      </w:r>
      <w:r>
        <w:rPr>
          <w:rFonts w:ascii="Arial" w:cs="Arial" w:eastAsia="Arial" w:hAnsi="Arial"/>
          <w:sz w:val="18"/>
          <w:szCs w:val="18"/>
          <w:i w:val="1"/>
          <w:iCs w:val="1"/>
          <w:color w:val="auto"/>
        </w:rPr>
        <w:t>(dollars in thousands)</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5"/>
          </w:tcPr>
          <w:p>
            <w:pPr>
              <w:jc w:val="center"/>
              <w:ind w:right="379"/>
              <w:spacing w:after="0"/>
              <w:rPr>
                <w:sz w:val="20"/>
                <w:szCs w:val="20"/>
                <w:color w:val="auto"/>
              </w:rPr>
            </w:pPr>
            <w:r>
              <w:rPr>
                <w:rFonts w:ascii="Arial" w:cs="Arial" w:eastAsia="Arial" w:hAnsi="Arial"/>
                <w:sz w:val="16"/>
                <w:szCs w:val="16"/>
                <w:b w:val="1"/>
                <w:bCs w:val="1"/>
                <w:color w:val="auto"/>
                <w:w w:val="92"/>
              </w:rPr>
              <w:t>As of and for the 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6"/>
                <w:szCs w:val="16"/>
                <w:color w:val="auto"/>
              </w:rPr>
            </w:pPr>
          </w:p>
        </w:tc>
        <w:tc>
          <w:tcPr>
            <w:tcW w:w="1240" w:type="dxa"/>
            <w:vAlign w:val="bottom"/>
          </w:tcPr>
          <w:p>
            <w:pPr>
              <w:jc w:val="center"/>
              <w:ind w:right="279"/>
              <w:spacing w:after="0"/>
              <w:rPr>
                <w:sz w:val="20"/>
                <w:szCs w:val="20"/>
                <w:color w:val="auto"/>
              </w:rPr>
            </w:pPr>
            <w:r>
              <w:rPr>
                <w:rFonts w:ascii="Arial" w:cs="Arial" w:eastAsia="Arial" w:hAnsi="Arial"/>
                <w:sz w:val="16"/>
                <w:szCs w:val="16"/>
                <w:b w:val="1"/>
                <w:bCs w:val="1"/>
                <w:color w:val="auto"/>
                <w:w w:val="97"/>
              </w:rPr>
              <w:t>March 31,</w:t>
            </w:r>
          </w:p>
        </w:tc>
        <w:tc>
          <w:tcPr>
            <w:tcW w:w="26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10,835,965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9,721,405</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9,612,667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(368,053)</w:t>
            </w:r>
          </w:p>
        </w:tc>
        <w:tc>
          <w:tcPr>
            <w:tcW w:w="220" w:type="dxa"/>
            <w:vAlign w:val="bottom"/>
          </w:tcPr>
          <w:p>
            <w:pPr>
              <w:spacing w:after="0"/>
              <w:rPr>
                <w:sz w:val="17"/>
                <w:szCs w:val="17"/>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(370,572)</w:t>
            </w:r>
          </w:p>
        </w:tc>
        <w:tc>
          <w:tcPr>
            <w:tcW w:w="26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(375,327)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Tax effect of other intangible assets, net</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15,825</w:t>
            </w: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16,530</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17,075</w:t>
            </w:r>
          </w:p>
        </w:tc>
        <w:tc>
          <w:tcPr>
            <w:tcW w:w="0" w:type="dxa"/>
            <w:vAlign w:val="bottom"/>
          </w:tcPr>
          <w:p>
            <w:pPr>
              <w:spacing w:after="0"/>
              <w:rPr>
                <w:sz w:val="1"/>
                <w:szCs w:val="1"/>
                <w:color w:val="auto"/>
              </w:rPr>
            </w:pPr>
          </w:p>
        </w:tc>
      </w:tr>
      <w:tr>
        <w:trPr>
          <w:trHeight w:val="236"/>
        </w:trPr>
        <w:tc>
          <w:tcPr>
            <w:tcW w:w="4140" w:type="dxa"/>
            <w:vAlign w:val="bottom"/>
            <w:gridSpan w:val="2"/>
          </w:tcPr>
          <w:p>
            <w:pPr>
              <w:spacing w:after="0"/>
              <w:rPr>
                <w:sz w:val="20"/>
                <w:szCs w:val="20"/>
                <w:color w:val="auto"/>
              </w:rPr>
            </w:pPr>
            <w:r>
              <w:rPr>
                <w:rFonts w:ascii="Arial" w:cs="Arial" w:eastAsia="Arial" w:hAnsi="Arial"/>
                <w:sz w:val="16"/>
                <w:szCs w:val="16"/>
                <w:color w:val="auto"/>
              </w:rPr>
              <w:t>Tangible assets</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10,483,737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9,367,363</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9,254,415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1,236,084</w:t>
            </w:r>
          </w:p>
        </w:tc>
        <w:tc>
          <w:tcPr>
            <w:tcW w:w="220" w:type="dxa"/>
            <w:vAlign w:val="bottom"/>
          </w:tcPr>
          <w:p>
            <w:pPr>
              <w:spacing w:after="0"/>
              <w:rPr>
                <w:sz w:val="17"/>
                <w:szCs w:val="17"/>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1,217,585</w:t>
            </w:r>
          </w:p>
        </w:tc>
        <w:tc>
          <w:tcPr>
            <w:tcW w:w="260" w:type="dxa"/>
            <w:vAlign w:val="bottom"/>
          </w:tcPr>
          <w:p>
            <w:pPr>
              <w:spacing w:after="0"/>
              <w:rPr>
                <w:sz w:val="17"/>
                <w:szCs w:val="17"/>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1,203,608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(368,053)</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(370,572)</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(375,327)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Tax effect of other intangible assets, net</w:t>
            </w:r>
          </w:p>
        </w:tc>
        <w:tc>
          <w:tcPr>
            <w:tcW w:w="3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15,825</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16,530</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17,075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Tangible common equity</w:t>
            </w: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883,856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863,543</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845,356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Ending number of common shares outstanding</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54,516,000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54,401,208</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55,386,636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Tangible common equity to tangible assets</w:t>
            </w:r>
            <w:r>
              <w:rPr>
                <w:rFonts w:ascii="Arial" w:cs="Arial" w:eastAsia="Arial" w:hAnsi="Arial"/>
                <w:sz w:val="23"/>
                <w:szCs w:val="23"/>
                <w:b w:val="1"/>
                <w:bCs w:val="1"/>
                <w:color w:val="auto"/>
                <w:vertAlign w:val="superscript"/>
              </w:rPr>
              <w:t>(1)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8.43 %</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9.22 %</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b w:val="1"/>
                <w:bCs w:val="1"/>
                <w:color w:val="auto"/>
              </w:rPr>
              <w:t>Tangible book value per share</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15.92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15.57</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Average stockholders’ common equity</w:t>
            </w:r>
          </w:p>
        </w:tc>
        <w:tc>
          <w:tcPr>
            <w:tcW w:w="5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1,233,270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1,218,160</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1,195,802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Average goodwill and other intangible assets, net</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(369,699)</w:t>
            </w: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(372,240)</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(376,851)</w:t>
            </w:r>
          </w:p>
        </w:tc>
        <w:tc>
          <w:tcPr>
            <w:tcW w:w="0" w:type="dxa"/>
            <w:vAlign w:val="bottom"/>
          </w:tcPr>
          <w:p>
            <w:pPr>
              <w:spacing w:after="0"/>
              <w:rPr>
                <w:sz w:val="1"/>
                <w:szCs w:val="1"/>
                <w:color w:val="auto"/>
              </w:rPr>
            </w:pPr>
          </w:p>
        </w:tc>
      </w:tr>
      <w:tr>
        <w:trPr>
          <w:trHeight w:val="236"/>
        </w:trPr>
        <w:tc>
          <w:tcPr>
            <w:tcW w:w="4140" w:type="dxa"/>
            <w:vAlign w:val="bottom"/>
            <w:gridSpan w:val="2"/>
          </w:tcPr>
          <w:p>
            <w:pPr>
              <w:spacing w:after="0"/>
              <w:rPr>
                <w:sz w:val="20"/>
                <w:szCs w:val="20"/>
                <w:color w:val="auto"/>
              </w:rPr>
            </w:pPr>
            <w:r>
              <w:rPr>
                <w:rFonts w:ascii="Arial" w:cs="Arial" w:eastAsia="Arial" w:hAnsi="Arial"/>
                <w:sz w:val="16"/>
                <w:szCs w:val="16"/>
                <w:color w:val="auto"/>
              </w:rPr>
              <w:t>Average tangible stockholders’ common equity</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863,571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845,920</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818,951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6"/>
                <w:szCs w:val="16"/>
                <w:b w:val="1"/>
                <w:bCs w:val="1"/>
                <w:color w:val="auto"/>
              </w:rPr>
              <w:t>Reported</w:t>
            </w:r>
            <w:r>
              <w:rPr>
                <w:rFonts w:ascii="Arial" w:cs="Arial" w:eastAsia="Arial" w:hAnsi="Arial"/>
                <w:sz w:val="16"/>
                <w:szCs w:val="16"/>
                <w:color w:val="auto"/>
              </w:rPr>
              <w:t>: Return on average tangible common equity</w:t>
            </w:r>
            <w:r>
              <w:rPr>
                <w:rFonts w:ascii="Arial" w:cs="Arial" w:eastAsia="Arial" w:hAnsi="Arial"/>
                <w:sz w:val="23"/>
                <w:szCs w:val="23"/>
                <w:color w:val="auto"/>
                <w:vertAlign w:val="superscript"/>
              </w:rPr>
              <w:t>(2)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12.02 %</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7.30 %</w:t>
            </w:r>
          </w:p>
        </w:tc>
        <w:tc>
          <w:tcPr>
            <w:tcW w:w="2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11.80 %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6"/>
                <w:szCs w:val="16"/>
                <w:b w:val="1"/>
                <w:bCs w:val="1"/>
                <w:color w:val="auto"/>
                <w:w w:val="97"/>
              </w:rPr>
              <w:t>Adjusted</w:t>
            </w:r>
            <w:r>
              <w:rPr>
                <w:rFonts w:ascii="Arial" w:cs="Arial" w:eastAsia="Arial" w:hAnsi="Arial"/>
                <w:sz w:val="16"/>
                <w:szCs w:val="16"/>
                <w:color w:val="auto"/>
                <w:w w:val="97"/>
              </w:rPr>
              <w:t>: Return on average tangible common equity</w:t>
            </w:r>
            <w:r>
              <w:rPr>
                <w:rFonts w:ascii="Arial" w:cs="Arial" w:eastAsia="Arial" w:hAnsi="Arial"/>
                <w:sz w:val="23"/>
                <w:szCs w:val="23"/>
                <w:color w:val="auto"/>
                <w:w w:val="97"/>
                <w:vertAlign w:val="superscript"/>
              </w:rPr>
              <w:t>(2)(3)</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12.20 %</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7.36 %</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40" w:type="dxa"/>
            <w:vAlign w:val="bottom"/>
            <w:gridSpan w:val="4"/>
          </w:tcPr>
          <w:p>
            <w:pPr>
              <w:ind w:left="620"/>
              <w:spacing w:after="0"/>
              <w:rPr>
                <w:sz w:val="20"/>
                <w:szCs w:val="20"/>
                <w:color w:val="auto"/>
              </w:rPr>
            </w:pPr>
            <w:r>
              <w:rPr>
                <w:rFonts w:ascii="Arial" w:cs="Arial" w:eastAsia="Arial" w:hAnsi="Arial"/>
                <w:sz w:val="16"/>
                <w:szCs w:val="16"/>
                <w:b w:val="1"/>
                <w:bCs w:val="1"/>
                <w:color w:val="auto"/>
              </w:rPr>
              <w:t>Six Months Ended</w:t>
            </w:r>
          </w:p>
        </w:tc>
      </w:tr>
      <w:tr>
        <w:trPr>
          <w:trHeight w:val="196"/>
        </w:trPr>
        <w:tc>
          <w:tcPr>
            <w:tcW w:w="4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1480" w:type="dxa"/>
            <w:vAlign w:val="bottom"/>
            <w:tcBorders>
              <w:top w:val="single" w:sz="8" w:color="CCEEFF"/>
            </w:tcBorders>
            <w:shd w:val="clear" w:color="auto" w:fill="CCEEFF"/>
          </w:tcPr>
          <w:p>
            <w:pPr>
              <w:spacing w:after="0"/>
              <w:rPr>
                <w:sz w:val="17"/>
                <w:szCs w:val="17"/>
                <w:color w:val="auto"/>
              </w:rPr>
            </w:pPr>
          </w:p>
        </w:tc>
      </w:tr>
      <w:tr>
        <w:trPr>
          <w:trHeight w:val="203"/>
        </w:trPr>
        <w:tc>
          <w:tcPr>
            <w:tcW w:w="4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480" w:type="dxa"/>
            <w:vAlign w:val="bottom"/>
            <w:tcBorders>
              <w:bottom w:val="single" w:sz="8" w:color="CCEEFF"/>
            </w:tcBorders>
          </w:tcPr>
          <w:p>
            <w:pPr>
              <w:spacing w:after="0"/>
              <w:rPr>
                <w:sz w:val="17"/>
                <w:szCs w:val="17"/>
                <w:color w:val="auto"/>
              </w:rPr>
            </w:pPr>
          </w:p>
        </w:tc>
      </w:t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Average stockholders’ common equity</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1,225,715</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1,153,075</w:t>
            </w:r>
          </w:p>
        </w:tc>
        <w:tc>
          <w:tcPr>
            <w:tcW w:w="1480" w:type="dxa"/>
            <w:vAlign w:val="bottom"/>
            <w:shd w:val="clear" w:color="auto" w:fill="CCEEFF"/>
          </w:tcPr>
          <w:p>
            <w:pPr>
              <w:spacing w:after="0"/>
              <w:rPr>
                <w:sz w:val="17"/>
                <w:szCs w:val="17"/>
                <w:color w:val="auto"/>
              </w:rPr>
            </w:pPr>
          </w:p>
        </w:tc>
      </w:tr>
      <w:tr>
        <w:trPr>
          <w:trHeight w:val="203"/>
        </w:trPr>
        <w:tc>
          <w:tcPr>
            <w:tcW w:w="4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Average goodwill and other intangible assets, net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(370,969)</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(364,786)</w:t>
            </w:r>
          </w:p>
        </w:tc>
        <w:tc>
          <w:tcPr>
            <w:tcW w:w="1480" w:type="dxa"/>
            <w:vAlign w:val="bottom"/>
            <w:tcBorders>
              <w:bottom w:val="single" w:sz="8" w:color="CCEEFF"/>
            </w:tcBorders>
          </w:tcPr>
          <w:p>
            <w:pPr>
              <w:spacing w:after="0"/>
              <w:rPr>
                <w:sz w:val="17"/>
                <w:szCs w:val="17"/>
                <w:color w:val="auto"/>
              </w:rPr>
            </w:pPr>
          </w:p>
        </w:tc>
      </w:tr>
      <w:tr>
        <w:trPr>
          <w:trHeight w:val="196"/>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tangible stockholders’ common equity</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854,746</w:t>
            </w:r>
          </w:p>
        </w:tc>
        <w:tc>
          <w:tcPr>
            <w:tcW w:w="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788,289</w:t>
            </w:r>
          </w:p>
        </w:tc>
        <w:tc>
          <w:tcPr>
            <w:tcW w:w="1480" w:type="dxa"/>
            <w:vAlign w:val="bottom"/>
            <w:tcBorders>
              <w:bottom w:val="single" w:sz="8" w:color="CCEEFF"/>
            </w:tcBorders>
            <w:shd w:val="clear" w:color="auto" w:fill="CCEEFF"/>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56" w:lineRule="exact"/>
        <w:rPr>
          <w:sz w:val="20"/>
          <w:szCs w:val="20"/>
          <w:color w:val="auto"/>
        </w:rPr>
      </w:pPr>
    </w:p>
    <w:p>
      <w:pPr>
        <w:sectPr>
          <w:pgSz w:w="11900" w:h="16838" w:orient="portrait"/>
          <w:cols w:equalWidth="0" w:num="1">
            <w:col w:w="9019"/>
          </w:cols>
          <w:pgMar w:left="1440" w:top="530" w:right="1440" w:bottom="1440" w:gutter="0" w:footer="0" w:header="0"/>
        </w:sectPr>
      </w:pPr>
    </w:p>
    <w:p>
      <w:pPr>
        <w:ind w:left="60"/>
        <w:spacing w:after="0"/>
        <w:rPr>
          <w:sz w:val="20"/>
          <w:szCs w:val="20"/>
          <w:color w:val="auto"/>
        </w:rPr>
      </w:pPr>
      <w:r>
        <w:rPr>
          <w:rFonts w:ascii="Arial" w:cs="Arial" w:eastAsia="Arial" w:hAnsi="Arial"/>
          <w:sz w:val="15"/>
          <w:szCs w:val="15"/>
          <w:b w:val="1"/>
          <w:bCs w:val="1"/>
          <w:color w:val="auto"/>
        </w:rPr>
        <w:t>Reported</w:t>
      </w:r>
      <w:r>
        <w:rPr>
          <w:rFonts w:ascii="Arial" w:cs="Arial" w:eastAsia="Arial" w:hAnsi="Arial"/>
          <w:sz w:val="15"/>
          <w:szCs w:val="15"/>
          <w:color w:val="auto"/>
        </w:rPr>
        <w:t>: Return on average tangible common equity</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564896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4"/>
          <w:szCs w:val="14"/>
          <w:color w:val="auto"/>
        </w:rPr>
        <w:t>: Return on average tangible common equity</w:t>
      </w:r>
      <w:r>
        <w:rPr>
          <w:rFonts w:ascii="Arial" w:cs="Arial" w:eastAsia="Arial" w:hAnsi="Arial"/>
          <w:sz w:val="21"/>
          <w:szCs w:val="21"/>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-26670</wp:posOffset>
            </wp:positionV>
            <wp:extent cx="564896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83" w:lineRule="exact"/>
        <w:rPr>
          <w:sz w:val="20"/>
          <w:szCs w:val="20"/>
          <w:color w:val="auto"/>
        </w:rPr>
      </w:pPr>
    </w:p>
    <w:p>
      <w:pPr>
        <w:ind w:left="240" w:hanging="184"/>
        <w:spacing w:after="0"/>
        <w:tabs>
          <w:tab w:leader="none" w:pos="240" w:val="left"/>
        </w:tabs>
        <w:numPr>
          <w:ilvl w:val="0"/>
          <w:numId w:val="20"/>
        </w:numPr>
        <w:rPr>
          <w:rFonts w:ascii="Arial" w:cs="Arial" w:eastAsia="Arial" w:hAnsi="Arial"/>
          <w:sz w:val="22"/>
          <w:szCs w:val="22"/>
          <w:color w:val="auto"/>
          <w:vertAlign w:val="superscript"/>
        </w:rPr>
      </w:pPr>
      <w:r>
        <w:rPr>
          <w:rFonts w:ascii="Arial" w:cs="Arial" w:eastAsia="Arial" w:hAnsi="Arial"/>
          <w:sz w:val="15"/>
          <w:szCs w:val="15"/>
          <w:color w:val="auto"/>
        </w:rPr>
        <w:t>Tax-effected measure, 28% estimated deferred tax rate</w:t>
      </w:r>
    </w:p>
    <w:p>
      <w:pPr>
        <w:spacing w:after="0" w:line="10" w:lineRule="exact"/>
        <w:rPr>
          <w:rFonts w:ascii="Arial" w:cs="Arial" w:eastAsia="Arial" w:hAnsi="Arial"/>
          <w:sz w:val="22"/>
          <w:szCs w:val="22"/>
          <w:color w:val="auto"/>
          <w:vertAlign w:val="superscript"/>
        </w:rPr>
      </w:pPr>
    </w:p>
    <w:p>
      <w:pPr>
        <w:ind w:left="240" w:hanging="184"/>
        <w:spacing w:after="0" w:line="183" w:lineRule="auto"/>
        <w:tabs>
          <w:tab w:leader="none" w:pos="240" w:val="left"/>
        </w:tabs>
        <w:numPr>
          <w:ilvl w:val="0"/>
          <w:numId w:val="20"/>
        </w:numPr>
        <w:rPr>
          <w:rFonts w:ascii="Arial" w:cs="Arial" w:eastAsia="Arial" w:hAnsi="Arial"/>
          <w:sz w:val="21"/>
          <w:szCs w:val="21"/>
          <w:color w:val="auto"/>
          <w:vertAlign w:val="superscript"/>
        </w:rPr>
      </w:pPr>
      <w:r>
        <w:rPr>
          <w:rFonts w:ascii="Arial" w:cs="Arial" w:eastAsia="Arial" w:hAnsi="Arial"/>
          <w:sz w:val="14"/>
          <w:szCs w:val="14"/>
          <w:color w:val="auto"/>
        </w:rPr>
        <w:t>Annualized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-118745</wp:posOffset>
            </wp:positionV>
            <wp:extent cx="564896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40" w:hanging="184"/>
        <w:spacing w:after="0" w:line="199" w:lineRule="auto"/>
        <w:tabs>
          <w:tab w:leader="none" w:pos="240" w:val="left"/>
        </w:tabs>
        <w:numPr>
          <w:ilvl w:val="0"/>
          <w:numId w:val="21"/>
        </w:numPr>
        <w:rPr>
          <w:rFonts w:ascii="Arial" w:cs="Arial" w:eastAsia="Arial" w:hAnsi="Arial"/>
          <w:sz w:val="22"/>
          <w:szCs w:val="22"/>
          <w:color w:val="auto"/>
          <w:vertAlign w:val="superscript"/>
        </w:rPr>
      </w:pPr>
      <w:r>
        <w:rPr>
          <w:rFonts w:ascii="Arial" w:cs="Arial" w:eastAsia="Arial" w:hAnsi="Arial"/>
          <w:sz w:val="15"/>
          <w:szCs w:val="15"/>
          <w:color w:val="auto"/>
        </w:rPr>
        <w:t>Calculated using adjusted net income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40" w:type="dxa"/>
            <w:vAlign w:val="bottom"/>
          </w:tcPr>
          <w:p>
            <w:pPr>
              <w:jc w:val="right"/>
              <w:ind w:right="379"/>
              <w:spacing w:after="0"/>
              <w:rPr>
                <w:sz w:val="20"/>
                <w:szCs w:val="20"/>
                <w:color w:val="auto"/>
              </w:rPr>
            </w:pPr>
            <w:r>
              <w:rPr>
                <w:rFonts w:ascii="Arial" w:cs="Arial" w:eastAsia="Arial" w:hAnsi="Arial"/>
                <w:sz w:val="16"/>
                <w:szCs w:val="16"/>
                <w:color w:val="auto"/>
                <w:w w:val="92"/>
              </w:rPr>
              <w:t>9.69 %</w:t>
            </w:r>
          </w:p>
        </w:tc>
        <w:tc>
          <w:tcPr>
            <w:tcW w:w="1020" w:type="dxa"/>
            <w:vAlign w:val="bottom"/>
          </w:tcPr>
          <w:p>
            <w:pPr>
              <w:jc w:val="right"/>
              <w:spacing w:after="0"/>
              <w:rPr>
                <w:sz w:val="20"/>
                <w:szCs w:val="20"/>
                <w:color w:val="auto"/>
              </w:rPr>
            </w:pPr>
            <w:r>
              <w:rPr>
                <w:rFonts w:ascii="Arial" w:cs="Arial" w:eastAsia="Arial" w:hAnsi="Arial"/>
                <w:sz w:val="16"/>
                <w:szCs w:val="16"/>
                <w:color w:val="auto"/>
              </w:rPr>
              <w:t>12.68 %</w:t>
            </w:r>
          </w:p>
        </w:tc>
      </w:tr>
      <w:tr>
        <w:trPr>
          <w:trHeight w:val="206"/>
        </w:trPr>
        <w:tc>
          <w:tcPr>
            <w:tcW w:w="940" w:type="dxa"/>
            <w:vAlign w:val="bottom"/>
          </w:tcPr>
          <w:p>
            <w:pPr>
              <w:jc w:val="right"/>
              <w:ind w:right="379"/>
              <w:spacing w:after="0"/>
              <w:rPr>
                <w:sz w:val="20"/>
                <w:szCs w:val="20"/>
                <w:color w:val="auto"/>
              </w:rPr>
            </w:pPr>
            <w:r>
              <w:rPr>
                <w:rFonts w:ascii="Arial" w:cs="Arial" w:eastAsia="Arial" w:hAnsi="Arial"/>
                <w:sz w:val="16"/>
                <w:szCs w:val="16"/>
                <w:color w:val="auto"/>
                <w:w w:val="92"/>
              </w:rPr>
              <w:t>9.80 %</w:t>
            </w:r>
          </w:p>
        </w:tc>
        <w:tc>
          <w:tcPr>
            <w:tcW w:w="1020" w:type="dxa"/>
            <w:vAlign w:val="bottom"/>
          </w:tcPr>
          <w:p>
            <w:pPr>
              <w:jc w:val="right"/>
              <w:spacing w:after="0"/>
              <w:rPr>
                <w:sz w:val="20"/>
                <w:szCs w:val="20"/>
                <w:color w:val="auto"/>
              </w:rPr>
            </w:pPr>
            <w:r>
              <w:rPr>
                <w:rFonts w:ascii="Arial" w:cs="Arial" w:eastAsia="Arial" w:hAnsi="Arial"/>
                <w:sz w:val="16"/>
                <w:szCs w:val="16"/>
                <w:color w:val="auto"/>
              </w:rPr>
              <w:t>14.35 %</w:t>
            </w:r>
          </w:p>
        </w:tc>
      </w:tr>
    </w:tbl>
    <w:p>
      <w:pPr>
        <w:spacing w:after="0" w:line="1009" w:lineRule="exact"/>
        <w:rPr>
          <w:sz w:val="20"/>
          <w:szCs w:val="20"/>
          <w:color w:val="auto"/>
        </w:rPr>
      </w:pPr>
    </w:p>
    <w:p>
      <w:pPr>
        <w:sectPr>
          <w:pgSz w:w="11900" w:h="16838" w:orient="portrait"/>
          <w:cols w:equalWidth="0" w:num="2">
            <w:col w:w="4700" w:space="720"/>
            <w:col w:w="359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79"/>
        <w:spacing w:after="0" w:line="267"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the Company.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w:t>
      </w:r>
    </w:p>
    <w:p>
      <w:pPr>
        <w:spacing w:after="0" w:line="3" w:lineRule="exact"/>
        <w:rPr>
          <w:sz w:val="20"/>
          <w:szCs w:val="20"/>
          <w:color w:val="auto"/>
        </w:rPr>
      </w:pPr>
    </w:p>
    <w:p>
      <w:pPr>
        <w:ind w:left="60" w:right="119"/>
        <w:spacing w:after="0" w:line="264" w:lineRule="auto"/>
        <w:rPr>
          <w:sz w:val="20"/>
          <w:szCs w:val="20"/>
          <w:color w:val="auto"/>
        </w:rPr>
      </w:pPr>
      <w:r>
        <w:rPr>
          <w:rFonts w:ascii="Arial" w:cs="Arial" w:eastAsia="Arial" w:hAnsi="Arial"/>
          <w:sz w:val="16"/>
          <w:szCs w:val="16"/>
          <w:color w:val="auto"/>
        </w:rPr>
        <w:t>expressions. Additionally, all statements in this document, including forward-looking statements, speak only as of the date they are made, and the Company undertakes no obligation to update any statement in light of new information or future events. A number of factors, many of which are beyond the Company’s ability to control or predict, could cause actual results to differ materially from those in the Company’s forward-looking statements. These factors include, among others, the following: (i) the strength of the local, state, national and international economy (including the impact of the 2020 presidential election and the impact of tariffs, a U.S. withdrawal from or significant negotiation of trade agreements, trade wars and other changes in trade regulations); (ii) the economic impact of any future terrorist threats or attacks, widespread disease or pandemics (including the COVID-19 pandemic in the United States), or other adverse external events that could cause economic deterioration or instability in credit markets; (iii) changes in state and federal laws, regulations and governmental policies concerning the Company’s general business; (iv) changes in accounting policies and practices, including CECL, that changed how the Company estimates credit losses; (v) changes in interest rates and prepayment rates of the Company’s assets (including the impact of The London Inter-bank Offered Rate phase-out); (vi) increased competition in the financial services sector and the inability to attract new customers; (vii) changes in technology and the ability to develop and maintain secure and reliable electronic systems; (viii) the loss of key executives or associates;</w:t>
      </w:r>
    </w:p>
    <w:p>
      <w:pPr>
        <w:spacing w:after="0" w:line="2" w:lineRule="exact"/>
        <w:rPr>
          <w:sz w:val="20"/>
          <w:szCs w:val="20"/>
          <w:color w:val="auto"/>
        </w:rPr>
      </w:pPr>
    </w:p>
    <w:p>
      <w:pPr>
        <w:ind w:left="60" w:right="179" w:hanging="10"/>
        <w:spacing w:after="0" w:line="270" w:lineRule="auto"/>
        <w:tabs>
          <w:tab w:leader="none" w:pos="3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consumer spending; (x) unexpected results of current and/or future acquisitions, which may include failure to realize the anticipated benefits of the acquisition and the possibility that the transaction costs may be greater than anticipated; (xi) unexpected outcomes of existing or new litigation involving the Company;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the Company and its business, including additional factors that could materially affect its financial results, is included in the Company’s filings with the Securities and Exchange Commission.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w:t>
      </w:r>
    </w:p>
    <w:p>
      <w:pPr>
        <w:spacing w:after="0" w:line="162" w:lineRule="exact"/>
        <w:rPr>
          <w:sz w:val="20"/>
          <w:szCs w:val="20"/>
          <w:color w:val="auto"/>
        </w:rPr>
      </w:pPr>
    </w:p>
    <w:p>
      <w:pPr>
        <w:jc w:val="both"/>
        <w:ind w:left="60" w:right="479"/>
        <w:spacing w:after="0" w:line="294" w:lineRule="auto"/>
        <w:rPr>
          <w:sz w:val="20"/>
          <w:szCs w:val="20"/>
          <w:color w:val="auto"/>
        </w:rPr>
      </w:pPr>
      <w:r>
        <w:rPr>
          <w:rFonts w:ascii="Arial" w:cs="Arial" w:eastAsia="Arial" w:hAnsi="Arial"/>
          <w:sz w:val="16"/>
          <w:szCs w:val="16"/>
          <w:color w:val="auto"/>
        </w:rPr>
        <w:t>Our significant accounting policies are described in Note 1 of the Company’s 2019 Form 10-K. The majority of these accounting policies do not require management to make difficult, subjective or complex judgments or estimates or the variability of the estimates is not material. However, the following policies could be deemed critical:</w:t>
      </w:r>
    </w:p>
    <w:p>
      <w:pPr>
        <w:spacing w:after="0" w:line="134" w:lineRule="exact"/>
        <w:rPr>
          <w:sz w:val="20"/>
          <w:szCs w:val="20"/>
          <w:color w:val="auto"/>
        </w:rPr>
      </w:pPr>
    </w:p>
    <w:p>
      <w:pPr>
        <w:ind w:left="60" w:right="79"/>
        <w:spacing w:after="0" w:line="259" w:lineRule="auto"/>
        <w:rPr>
          <w:sz w:val="20"/>
          <w:szCs w:val="20"/>
          <w:color w:val="auto"/>
        </w:rPr>
      </w:pPr>
      <w:r>
        <w:rPr>
          <w:rFonts w:ascii="Arial" w:cs="Arial" w:eastAsia="Arial" w:hAnsi="Arial"/>
          <w:sz w:val="17"/>
          <w:szCs w:val="17"/>
          <w:b w:val="1"/>
          <w:bCs w:val="1"/>
          <w:i w:val="1"/>
          <w:iCs w:val="1"/>
          <w:color w:val="auto"/>
        </w:rPr>
        <w:t>Fair Value of Investment Securities</w:t>
      </w:r>
      <w:r>
        <w:rPr>
          <w:rFonts w:ascii="Arial" w:cs="Arial" w:eastAsia="Arial" w:hAnsi="Arial"/>
          <w:sz w:val="17"/>
          <w:szCs w:val="17"/>
          <w:color w:val="auto"/>
        </w:rPr>
        <w:t>. The fair values of investment securities are measurements from an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60"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13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199"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09" w:lineRule="exact"/>
        <w:rPr>
          <w:sz w:val="20"/>
          <w:szCs w:val="20"/>
          <w:color w:val="auto"/>
        </w:rPr>
      </w:pPr>
    </w:p>
    <w:p>
      <w:pPr>
        <w:ind w:left="60" w:right="27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allowance through provision for credit losses. Impairment related to noncredit factors is recognized in accumulated other comprehensive income, net of applicable taxes.</w:t>
      </w:r>
    </w:p>
    <w:p>
      <w:pPr>
        <w:spacing w:after="0" w:line="174" w:lineRule="exact"/>
        <w:rPr>
          <w:sz w:val="20"/>
          <w:szCs w:val="20"/>
          <w:color w:val="auto"/>
        </w:rPr>
      </w:pPr>
    </w:p>
    <w:p>
      <w:pPr>
        <w:ind w:left="60" w:right="79"/>
        <w:spacing w:after="0" w:line="279" w:lineRule="auto"/>
        <w:rPr>
          <w:sz w:val="20"/>
          <w:szCs w:val="20"/>
          <w:color w:val="auto"/>
        </w:rPr>
      </w:pPr>
      <w:r>
        <w:rPr>
          <w:rFonts w:ascii="Arial" w:cs="Arial" w:eastAsia="Arial" w:hAnsi="Arial"/>
          <w:sz w:val="16"/>
          <w:szCs w:val="16"/>
          <w:b w:val="1"/>
          <w:bCs w:val="1"/>
          <w:i w:val="1"/>
          <w:iCs w:val="1"/>
          <w:color w:val="auto"/>
        </w:rPr>
        <w:t>Fair Value of Assets Acquired and Liabilities Assumed in Business Combinations</w:t>
      </w:r>
      <w:r>
        <w:rPr>
          <w:rFonts w:ascii="Arial" w:cs="Arial" w:eastAsia="Arial" w:hAnsi="Arial"/>
          <w:sz w:val="16"/>
          <w:szCs w:val="16"/>
          <w:color w:val="auto"/>
        </w:rPr>
        <w:t>. Business combinations are accounted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using the acquisition method of accounting. Under the acquisition method of accounting, assets acquired and liabilities assumed are recorded at their estimated fair value on the date of acquisition. Fair values are determined based on the definition of “fair value” defined in FASB ASC Topic 820 —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 “the price that would be received to sell an asset or paid to transfer a liability in an orderly transaction between market participants at the measurement date.”</w:t>
      </w:r>
    </w:p>
    <w:p>
      <w:pPr>
        <w:spacing w:after="0" w:line="146" w:lineRule="exact"/>
        <w:rPr>
          <w:sz w:val="20"/>
          <w:szCs w:val="20"/>
          <w:color w:val="auto"/>
        </w:rPr>
      </w:pPr>
    </w:p>
    <w:p>
      <w:pPr>
        <w:ind w:left="60" w:right="179"/>
        <w:spacing w:after="0" w:line="276"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Acquired loans are in the scope of the CECL methodology. However, the offset to record the allowance at the date of acquisition on acquired loans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48" w:lineRule="exact"/>
        <w:rPr>
          <w:sz w:val="20"/>
          <w:szCs w:val="20"/>
          <w:color w:val="auto"/>
        </w:rPr>
      </w:pPr>
    </w:p>
    <w:p>
      <w:pPr>
        <w:ind w:left="60" w:right="119"/>
        <w:spacing w:after="0"/>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purchase price over the fair value of net assets acquired using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 The Company will continue to monitor events around COVID-19 and its potential impact on goodwill.</w:t>
      </w:r>
    </w:p>
    <w:p>
      <w:pPr>
        <w:spacing w:after="0" w:line="176" w:lineRule="exact"/>
        <w:rPr>
          <w:sz w:val="20"/>
          <w:szCs w:val="20"/>
          <w:color w:val="auto"/>
        </w:rPr>
      </w:pPr>
    </w:p>
    <w:p>
      <w:pPr>
        <w:ind w:left="60" w:right="59"/>
        <w:spacing w:after="0" w:line="27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estimates income tax expense based on amounts expected to be owed to federal and state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859"/>
        <w:spacing w:after="0" w:line="261" w:lineRule="auto"/>
        <w:rPr>
          <w:sz w:val="20"/>
          <w:szCs w:val="20"/>
          <w:color w:val="auto"/>
        </w:rPr>
      </w:pPr>
      <w:r>
        <w:rPr>
          <w:rFonts w:ascii="Arial" w:cs="Arial" w:eastAsia="Arial" w:hAnsi="Arial"/>
          <w:sz w:val="18"/>
          <w:szCs w:val="18"/>
          <w:color w:val="auto"/>
        </w:rPr>
        <w:t>related statutes, regulations and other relevant factors. Because of the complexity of tax laws and interpretations, interpretation is subject to judgment.</w:t>
      </w:r>
    </w:p>
    <w:p>
      <w:pPr>
        <w:spacing w:after="0" w:line="184" w:lineRule="exact"/>
        <w:rPr>
          <w:sz w:val="20"/>
          <w:szCs w:val="20"/>
          <w:color w:val="auto"/>
        </w:rPr>
      </w:pPr>
    </w:p>
    <w:p>
      <w:pPr>
        <w:ind w:left="60" w:right="139"/>
        <w:spacing w:after="0" w:line="276" w:lineRule="auto"/>
        <w:rPr>
          <w:sz w:val="20"/>
          <w:szCs w:val="20"/>
          <w:color w:val="auto"/>
        </w:rPr>
      </w:pPr>
      <w:r>
        <w:rPr>
          <w:rFonts w:ascii="Arial" w:cs="Arial" w:eastAsia="Arial" w:hAnsi="Arial"/>
          <w:sz w:val="16"/>
          <w:szCs w:val="16"/>
          <w:b w:val="1"/>
          <w:bCs w:val="1"/>
          <w:i w:val="1"/>
          <w:iCs w:val="1"/>
          <w:color w:val="auto"/>
        </w:rPr>
        <w:t xml:space="preserve">Allowance for Credit Losses. </w:t>
      </w:r>
      <w:r>
        <w:rPr>
          <w:rFonts w:ascii="Arial" w:cs="Arial" w:eastAsia="Arial" w:hAnsi="Arial"/>
          <w:sz w:val="16"/>
          <w:szCs w:val="16"/>
          <w:color w:val="auto"/>
        </w:rPr>
        <w:t>The Company calculates the allowance for credit losses at each reporting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recognizes an allowance for the lifetime expected credit losses for the amount the Company does not expect to collect. The measurement of expected credit losses is based on relevant information about past events, including historical experience, current conditions and reasonable and supportable forecasts that affect the collectability of the reported book value. The calculation also contemplates that the Company may not be able to make or obtain such forecasts for the entire life of the financial assets and requires a reversion to historical credit loss information.</w:t>
      </w:r>
    </w:p>
    <w:p>
      <w:pPr>
        <w:spacing w:after="0" w:line="175"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In determining the allowance, management relies predominantly on a disciplined credit review and approval process that extends to the full range of the Company’s credit exposure. The allowance for credit losses must be determined on a collective (pool) basis when similar risk characteristics exists. On a case-by-case basis, the Company may conclude a loan should be evaluated on an individual basis based on the disparate risk characteristics.</w:t>
      </w:r>
    </w:p>
    <w:p>
      <w:pPr>
        <w:spacing w:after="0" w:line="18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Loans deemed uncollectible are charged against and reduce the allowance. A provision for credit losses is charged to current expense and acts to replenish the allowance for credit losses in order to maintain the allowance at a level that management deems adequate. Determining the allowance involves significant judgments and assumptions by management. Because of the nature of the judgments and assumptions made by management, actual results may differ from these judgments and assumptions.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69"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95" w:lineRule="exact"/>
        <w:rPr>
          <w:sz w:val="20"/>
          <w:szCs w:val="20"/>
          <w:color w:val="auto"/>
        </w:rPr>
      </w:pPr>
    </w:p>
    <w:p>
      <w:pPr>
        <w:ind w:left="60" w:right="99"/>
        <w:spacing w:after="0" w:line="27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at June 30, 2020.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measurement date; variable-rate assets and liabilities are repriced based on repricing frequency; and prepayment speeds on loans are projected for both declining and rising rate environments.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99"/>
        <w:spacing w:after="0" w:line="301" w:lineRule="auto"/>
        <w:rPr>
          <w:sz w:val="20"/>
          <w:szCs w:val="20"/>
          <w:color w:val="auto"/>
        </w:rPr>
      </w:pPr>
      <w:r>
        <w:rPr>
          <w:rFonts w:ascii="Arial" w:cs="Arial" w:eastAsia="Arial" w:hAnsi="Arial"/>
          <w:sz w:val="15"/>
          <w:szCs w:val="15"/>
          <w:color w:val="auto"/>
        </w:rPr>
        <w:t>The interest rate risk of First Busey as a result of immediate and sustained changes in interest rates, expressed as a change in net interest income as a percentage of the net interest income calculated in the constant base model, was as follows:</w:t>
      </w: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Year-One: Basis Point Changes</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gridSpan w:val="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- 100</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940" w:type="dxa"/>
            <w:vAlign w:val="bottom"/>
          </w:tcPr>
          <w:p>
            <w:pPr>
              <w:spacing w:after="0"/>
              <w:rPr>
                <w:sz w:val="14"/>
                <w:szCs w:val="14"/>
                <w:color w:val="auto"/>
              </w:rPr>
            </w:pPr>
          </w:p>
        </w:tc>
        <w:tc>
          <w:tcPr>
            <w:tcW w:w="1560" w:type="dxa"/>
            <w:vAlign w:val="bottom"/>
          </w:tcPr>
          <w:p>
            <w:pPr>
              <w:jc w:val="right"/>
              <w:ind w:right="856"/>
              <w:spacing w:after="0"/>
              <w:rPr>
                <w:sz w:val="20"/>
                <w:szCs w:val="20"/>
                <w:color w:val="auto"/>
              </w:rPr>
            </w:pPr>
            <w:r>
              <w:rPr>
                <w:rFonts w:ascii="Arial" w:cs="Arial" w:eastAsia="Arial" w:hAnsi="Arial"/>
                <w:sz w:val="14"/>
                <w:szCs w:val="14"/>
                <w:b w:val="1"/>
                <w:bCs w:val="1"/>
                <w:color w:val="auto"/>
              </w:rPr>
              <w:t>+200</w:t>
            </w: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2020</w:t>
            </w:r>
          </w:p>
        </w:tc>
        <w:tc>
          <w:tcPr>
            <w:tcW w:w="7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rPr>
              <w:t>NM</w:t>
            </w:r>
          </w:p>
        </w:tc>
        <w:tc>
          <w:tcPr>
            <w:tcW w:w="9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8.72 %</w:t>
            </w:r>
          </w:p>
        </w:tc>
        <w:tc>
          <w:tcPr>
            <w:tcW w:w="15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17.24 %</w:t>
            </w:r>
          </w:p>
        </w:tc>
        <w:tc>
          <w:tcPr>
            <w:tcW w:w="14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25.47 %</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5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1"/>
              </w:rPr>
              <w:t>(5.94)%</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5.39 %</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10.24 %</w:t>
            </w:r>
          </w:p>
        </w:tc>
        <w:tc>
          <w:tcPr>
            <w:tcW w:w="14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15.01 %</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Year-Two: Basis Point Changes</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80" w:type="dxa"/>
            <w:vAlign w:val="bottom"/>
            <w:gridSpan w:val="2"/>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- 100</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940" w:type="dxa"/>
            <w:vAlign w:val="bottom"/>
          </w:tcPr>
          <w:p>
            <w:pPr>
              <w:spacing w:after="0"/>
              <w:rPr>
                <w:sz w:val="14"/>
                <w:szCs w:val="14"/>
                <w:color w:val="auto"/>
              </w:rPr>
            </w:pPr>
          </w:p>
        </w:tc>
        <w:tc>
          <w:tcPr>
            <w:tcW w:w="1560" w:type="dxa"/>
            <w:vAlign w:val="bottom"/>
          </w:tcPr>
          <w:p>
            <w:pPr>
              <w:jc w:val="right"/>
              <w:ind w:right="856"/>
              <w:spacing w:after="0"/>
              <w:rPr>
                <w:sz w:val="20"/>
                <w:szCs w:val="20"/>
                <w:color w:val="auto"/>
              </w:rPr>
            </w:pPr>
            <w:r>
              <w:rPr>
                <w:rFonts w:ascii="Arial" w:cs="Arial" w:eastAsia="Arial" w:hAnsi="Arial"/>
                <w:sz w:val="14"/>
                <w:szCs w:val="14"/>
                <w:b w:val="1"/>
                <w:bCs w:val="1"/>
                <w:color w:val="auto"/>
              </w:rPr>
              <w:t>+200</w:t>
            </w: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2020</w:t>
            </w:r>
          </w:p>
        </w:tc>
        <w:tc>
          <w:tcPr>
            <w:tcW w:w="7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rPr>
              <w:t>NM</w:t>
            </w:r>
          </w:p>
        </w:tc>
        <w:tc>
          <w:tcPr>
            <w:tcW w:w="9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7"/>
              </w:rPr>
              <w:t>10.90 %</w:t>
            </w:r>
          </w:p>
        </w:tc>
        <w:tc>
          <w:tcPr>
            <w:tcW w:w="156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21.36 %</w:t>
            </w:r>
          </w:p>
        </w:tc>
        <w:tc>
          <w:tcPr>
            <w:tcW w:w="14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31.44 %</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420" w:type="dxa"/>
            <w:vAlign w:val="bottom"/>
            <w:gridSpan w:val="2"/>
          </w:tcPr>
          <w:p>
            <w:pPr>
              <w:spacing w:after="0"/>
              <w:rPr>
                <w:sz w:val="19"/>
                <w:szCs w:val="19"/>
                <w:color w:val="auto"/>
              </w:rPr>
            </w:pPr>
          </w:p>
        </w:tc>
        <w:tc>
          <w:tcPr>
            <w:tcW w:w="1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5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1"/>
              </w:rPr>
              <w:t>(8.19)%</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6.96 %</w:t>
            </w:r>
          </w:p>
        </w:tc>
        <w:tc>
          <w:tcPr>
            <w:tcW w:w="15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13.16 %</w:t>
            </w:r>
          </w:p>
        </w:tc>
        <w:tc>
          <w:tcPr>
            <w:tcW w:w="14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19.28 %</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0" w:right="239"/>
        <w:spacing w:after="0" w:line="262" w:lineRule="auto"/>
        <w:rPr>
          <w:sz w:val="20"/>
          <w:szCs w:val="20"/>
          <w:color w:val="auto"/>
        </w:rPr>
      </w:pPr>
      <w:r>
        <w:rPr>
          <w:rFonts w:ascii="Arial" w:cs="Arial" w:eastAsia="Arial" w:hAnsi="Arial"/>
          <w:sz w:val="17"/>
          <w:szCs w:val="17"/>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8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79"/>
        <w:spacing w:after="0" w:line="268"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June 30, 2020, under the supervision and with the participation of our Chief Executive Officer, Chief Financial Officer and several other members of our senior management. Based on this evaluation, our Chief Executive Officer and Chief Financial Officer concluded that, as of June 30, 2020, our disclosure controls and procedures were effective in ensuring that the information we are required to disclose in the reports we file or submit under the Exchange Act was</w:t>
      </w:r>
    </w:p>
    <w:p>
      <w:pPr>
        <w:spacing w:after="0" w:line="1" w:lineRule="exact"/>
        <w:rPr>
          <w:sz w:val="20"/>
          <w:szCs w:val="20"/>
          <w:color w:val="auto"/>
        </w:rPr>
      </w:pPr>
    </w:p>
    <w:p>
      <w:pPr>
        <w:ind w:left="60" w:right="99" w:hanging="10"/>
        <w:spacing w:after="0" w:line="239" w:lineRule="auto"/>
        <w:tabs>
          <w:tab w:leader="none" w:pos="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During the quarter ended June 30, 2020, First Busey did not make any changes in its internal control over financial reporting or other factors that have materially affected, or are reasonably likely to materially affect, its internal control over financial reporting.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84"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679"/>
        <w:spacing w:after="0" w:line="261" w:lineRule="auto"/>
        <w:rPr>
          <w:sz w:val="20"/>
          <w:szCs w:val="20"/>
          <w:color w:val="auto"/>
        </w:rPr>
      </w:pPr>
      <w:r>
        <w:rPr>
          <w:rFonts w:ascii="Arial" w:cs="Arial" w:eastAsia="Arial" w:hAnsi="Arial"/>
          <w:sz w:val="18"/>
          <w:szCs w:val="18"/>
          <w:color w:val="auto"/>
        </w:rPr>
        <w:t>In addition to the risk factors set forth under Part I, Item 1A “Risk Factors” in the Company’s 2019 Form 10-K, the following risk factors apply to First Busey:</w:t>
      </w:r>
    </w:p>
    <w:p>
      <w:pPr>
        <w:spacing w:after="0" w:line="184"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Our business, financial condition, liquidity and results of operations have been, and will likely continue to be, adversely affected by the COVID-19 pandemic.</w:t>
      </w:r>
    </w:p>
    <w:p>
      <w:pPr>
        <w:spacing w:after="0" w:line="184" w:lineRule="exact"/>
        <w:rPr>
          <w:sz w:val="20"/>
          <w:szCs w:val="20"/>
          <w:color w:val="auto"/>
        </w:rPr>
      </w:pPr>
    </w:p>
    <w:p>
      <w:pPr>
        <w:ind w:left="60" w:right="139"/>
        <w:spacing w:after="0" w:line="272" w:lineRule="auto"/>
        <w:rPr>
          <w:sz w:val="20"/>
          <w:szCs w:val="20"/>
          <w:color w:val="auto"/>
        </w:rPr>
      </w:pPr>
      <w:r>
        <w:rPr>
          <w:rFonts w:ascii="Arial" w:cs="Arial" w:eastAsia="Arial" w:hAnsi="Arial"/>
          <w:sz w:val="16"/>
          <w:szCs w:val="16"/>
          <w:color w:val="auto"/>
        </w:rPr>
        <w:t>The COVID-19 pandemic has created an economic recession and has caused severe financial disruptions that have adversely affected, and are likely to continue to adversely affect, our business, financial condition, liquidity and results of operations. The extent to which COVID-19 will continue to negatively affect our business, financial condition, liquidity and results of operations will depend on future developments, which are highly uncertain and cannot be predicted, including the scope and duration of the pandemic, the continued effectiveness of our business continuity plan (including work-from-home arrangements and staffing in operational facilities), the direct and indirect impact of the pandemic on our employees, customers, clients, counterparties and service providers, as well as other market participants, and actions taken by governmental authorities and other third parties in response to the pandemic.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COVID-19 pandemic has or could contribute to:</w:t>
      </w:r>
    </w:p>
    <w:p>
      <w:pPr>
        <w:spacing w:after="0" w:line="12" w:lineRule="exact"/>
        <w:rPr>
          <w:sz w:val="20"/>
          <w:szCs w:val="20"/>
          <w:color w:val="auto"/>
        </w:rPr>
      </w:pPr>
    </w:p>
    <w:p>
      <w:pPr>
        <w:ind w:left="720" w:right="119" w:hanging="319"/>
        <w:spacing w:after="0" w:line="23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unemployment and decreased consumer confidence and business generally, leading to an increased risk of delinquencies, defaults and foreclosures.</w:t>
      </w:r>
    </w:p>
    <w:p>
      <w:pPr>
        <w:spacing w:after="0" w:line="1" w:lineRule="exact"/>
        <w:rPr>
          <w:rFonts w:ascii="Arial" w:cs="Arial" w:eastAsia="Arial" w:hAnsi="Arial"/>
          <w:sz w:val="18"/>
          <w:szCs w:val="18"/>
          <w:color w:val="auto"/>
        </w:rPr>
      </w:pPr>
    </w:p>
    <w:p>
      <w:pPr>
        <w:ind w:left="720" w:right="419" w:hanging="319"/>
        <w:spacing w:after="0" w:line="23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Ratings downgrades, credit deterioration and defaults in many industries, including hotel, restaurant, transportation, long-term healthcare, retail and commercial real estate, which may lead to increased provision expense.</w:t>
      </w:r>
    </w:p>
    <w:p>
      <w:pPr>
        <w:spacing w:after="0" w:line="2" w:lineRule="exact"/>
        <w:rPr>
          <w:rFonts w:ascii="Arial" w:cs="Arial" w:eastAsia="Arial" w:hAnsi="Arial"/>
          <w:sz w:val="18"/>
          <w:szCs w:val="18"/>
          <w:color w:val="auto"/>
        </w:rPr>
      </w:pPr>
    </w:p>
    <w:p>
      <w:pPr>
        <w:ind w:left="720" w:right="259" w:hanging="319"/>
        <w:spacing w:after="0" w:line="23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sudden and significant reduction in the valuation of the equity, fixed-income and commodity markets and the significant increase in the volatility of those markets.</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interest rates and yields, which may lead to decreased net interest income.</w:t>
      </w:r>
    </w:p>
    <w:p>
      <w:pPr>
        <w:ind w:left="720" w:hanging="319"/>
        <w:spacing w:after="0" w:line="23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draws on credit lines, as customers and clients seek to increase liquidity.</w:t>
      </w:r>
    </w:p>
    <w:p>
      <w:pPr>
        <w:ind w:left="720" w:hanging="319"/>
        <w:spacing w:after="0" w:line="23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fees for customer services.</w:t>
      </w:r>
    </w:p>
    <w:p>
      <w:pPr>
        <w:ind w:left="720" w:hanging="319"/>
        <w:spacing w:after="0" w:line="23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demands on capital and liquidity.</w:t>
      </w:r>
    </w:p>
    <w:p>
      <w:pPr>
        <w:ind w:left="720" w:right="99" w:hanging="319"/>
        <w:spacing w:after="0" w:line="264"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sustained decline in our stock price or the occurrence of what management would deem to be a triggering event that could, under certain circumstances, cause management to perform impairment testing on our goodwill and other intangible assets that could result in an impairment charge being recorded for that period, which would adversely impact our results of operations and the ability of Busey Bank to pay dividends to the Company.</w:t>
      </w:r>
    </w:p>
    <w:p>
      <w:pPr>
        <w:ind w:left="720" w:right="219" w:hanging="319"/>
        <w:spacing w:after="0" w:line="234"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reduction in the value of the assets that the Company manages or otherwise administers or services for others, affecting related fee income and demand for the Company’s services.</w:t>
      </w:r>
    </w:p>
    <w:p>
      <w:pPr>
        <w:spacing w:after="0" w:line="1" w:lineRule="exact"/>
        <w:rPr>
          <w:rFonts w:ascii="Arial" w:cs="Arial" w:eastAsia="Arial" w:hAnsi="Arial"/>
          <w:sz w:val="18"/>
          <w:szCs w:val="18"/>
          <w:color w:val="auto"/>
        </w:rPr>
      </w:pPr>
    </w:p>
    <w:p>
      <w:pPr>
        <w:ind w:left="720" w:right="1119" w:hanging="319"/>
        <w:spacing w:after="0" w:line="24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Heightened cybersecurity, information security and operational risks as a result of work-from-home arrangements.</w:t>
      </w:r>
    </w:p>
    <w:p>
      <w:pPr>
        <w:spacing w:after="0" w:line="199"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The outbreak of COVID-19 has resulted in a decline in our clients’ businesses, a decrease in consumer confidence, an increase in unemployment and disruptions in the services provided by our vendors. Continued disruptions to our clients’ businesses could result in increased risk of delinquencies, defaults, foreclosures and losses on our loans, declines in assets under management and wealth management revenues, negatively impact regional economic conditions, result in declines in local loan demand, liquidity of loan guarantors, loan collateral (particularly in real estate), loan originations and deposit availability and negatively impact the implementation of our growth strategy. Although governmental authorities have introduced a number of programs designed to soften the impact of COVID-19 on small businesses, once these programs expire, our borrowers may not be able to satisfy their financial obligations to us.</w:t>
      </w:r>
    </w:p>
    <w:p>
      <w:pPr>
        <w:spacing w:after="0" w:line="181" w:lineRule="exact"/>
        <w:rPr>
          <w:sz w:val="20"/>
          <w:szCs w:val="20"/>
          <w:color w:val="auto"/>
        </w:rPr>
      </w:pPr>
    </w:p>
    <w:p>
      <w:pPr>
        <w:ind w:left="60" w:right="119"/>
        <w:spacing w:after="0" w:line="279" w:lineRule="auto"/>
        <w:rPr>
          <w:sz w:val="20"/>
          <w:szCs w:val="20"/>
          <w:color w:val="auto"/>
        </w:rPr>
      </w:pPr>
      <w:r>
        <w:rPr>
          <w:rFonts w:ascii="Arial" w:cs="Arial" w:eastAsia="Arial" w:hAnsi="Arial"/>
          <w:sz w:val="16"/>
          <w:szCs w:val="16"/>
          <w:color w:val="auto"/>
        </w:rPr>
        <w:t>In general, the success of the unprecedented measures taken by governmental authorities to provide economic assistance to individual households and businesses, stabilize the markets and support economic growth is unknown and they may not be sufficient to fully mitigate the negative impact of the COVID-19 pandemic. Additionally, some measures, such as a suspension of mortgage and other loan payments and foreclosures, may have a negative impact on our business, financial condition, liquidity and results of operations. We also face an increased risk of litigation and governmental and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regulatory scrutiny as a result of the effects of COVID-19 on market and economic conditions and actions governmental authorities take in response to those conditions.</w:t>
      </w:r>
    </w:p>
    <w:p>
      <w:pPr>
        <w:spacing w:after="0" w:line="184"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The length of the pandemic and the efficacy of the extraordinary measures being put in place to address it are unknown. Until the pandemic subsides, we expect draws on lines of credit, reduced revenues in our businesses and increased customer and client defaults. Even after the pandemic subsides, the U.S. economy may continue to experience a recession, and we anticipate our businesses would be materially and adversely affected by a prolonged recession. To the extent the pandemic adversely affects our business, financial condition, liquidity or results of operations, it may also have the effect of heightening many of the other risks described in the section entitled “Risk Factors” in our 2019 Annual Report on Form 10-K and any subsequent Quarterly Reports on Form 10-Q.</w:t>
      </w:r>
    </w:p>
    <w:p>
      <w:pPr>
        <w:spacing w:after="0" w:line="207" w:lineRule="exact"/>
        <w:rPr>
          <w:sz w:val="20"/>
          <w:szCs w:val="20"/>
          <w:color w:val="auto"/>
        </w:rPr>
      </w:pPr>
    </w:p>
    <w:p>
      <w:pPr>
        <w:jc w:val="both"/>
        <w:ind w:left="60" w:right="219"/>
        <w:spacing w:after="0" w:line="279" w:lineRule="auto"/>
        <w:rPr>
          <w:sz w:val="20"/>
          <w:szCs w:val="20"/>
          <w:color w:val="auto"/>
        </w:rPr>
      </w:pPr>
      <w:r>
        <w:rPr>
          <w:rFonts w:ascii="Arial" w:cs="Arial" w:eastAsia="Arial" w:hAnsi="Arial"/>
          <w:sz w:val="18"/>
          <w:szCs w:val="18"/>
          <w:b w:val="1"/>
          <w:bCs w:val="1"/>
          <w:i w:val="1"/>
          <w:iCs w:val="1"/>
          <w:color w:val="auto"/>
        </w:rPr>
        <w:t>The U.S. government and banking regulators, including the Federal Reserve, have taken a number of unprecedented actions in response to the COVID-19 pandemic, which could ultimately have a material adverse effect on our business and results of operations.</w:t>
      </w:r>
    </w:p>
    <w:p>
      <w:pPr>
        <w:spacing w:after="0" w:line="61" w:lineRule="exact"/>
        <w:rPr>
          <w:sz w:val="20"/>
          <w:szCs w:val="20"/>
          <w:color w:val="auto"/>
        </w:rPr>
      </w:pPr>
    </w:p>
    <w:p>
      <w:pPr>
        <w:ind w:left="60" w:right="99"/>
        <w:spacing w:after="0" w:line="268" w:lineRule="auto"/>
        <w:rPr>
          <w:sz w:val="20"/>
          <w:szCs w:val="20"/>
          <w:color w:val="auto"/>
        </w:rPr>
      </w:pPr>
      <w:r>
        <w:rPr>
          <w:rFonts w:ascii="Arial" w:cs="Arial" w:eastAsia="Arial" w:hAnsi="Arial"/>
          <w:sz w:val="16"/>
          <w:szCs w:val="16"/>
          <w:color w:val="auto"/>
        </w:rPr>
        <w:t>The CARES Act established a $2.0 trillion economic stimulus package, including cash payments to individuals, supplemental unemployment insurance benefits and a $349 billion loan program administered through the SBA, referred to as the PPP. In addition to implementing the programs contemplated by the CARES Act, the federal bank regulatory agencies have issued a steady stream of guidance in response to the COVID-19 pandemic and have taken a number of unprecedented steps to help banks navigate the pandemic and mitigate its impact. These include, without limitation:</w:t>
      </w:r>
    </w:p>
    <w:p>
      <w:pPr>
        <w:ind w:left="1380" w:hanging="331"/>
        <w:spacing w:after="0" w:line="236"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banks to focus on business continuity and pandemic planning;</w:t>
      </w:r>
    </w:p>
    <w:p>
      <w:pPr>
        <w:ind w:left="1380" w:hanging="331"/>
        <w:spacing w:after="0" w:line="234"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pandemic scenarios to stress testing;</w:t>
      </w:r>
    </w:p>
    <w:p>
      <w:pPr>
        <w:ind w:left="1380" w:hanging="331"/>
        <w:spacing w:after="0" w:line="234"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encouraging bank use of capital buffers and reserves in lending programs;</w:t>
      </w:r>
    </w:p>
    <w:p>
      <w:pPr>
        <w:ind w:left="1380" w:hanging="331"/>
        <w:spacing w:after="0" w:line="234"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permitting certain regulatory reporting extensions;</w:t>
      </w:r>
    </w:p>
    <w:p>
      <w:pPr>
        <w:ind w:left="1380" w:hanging="331"/>
        <w:spacing w:after="0" w:line="234"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margin requirements on swaps;</w:t>
      </w:r>
    </w:p>
    <w:p>
      <w:pPr>
        <w:ind w:left="1380" w:hanging="331"/>
        <w:spacing w:after="0" w:line="234"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permitting certain otherwise prohibited investments in investment funds;</w:t>
      </w:r>
    </w:p>
    <w:p>
      <w:pPr>
        <w:ind w:left="1380" w:right="319" w:hanging="331"/>
        <w:spacing w:after="0" w:line="234"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issuing guidance to encourage banks to work with customers affected by the pandemic and encourage loan workouts; and</w:t>
      </w:r>
    </w:p>
    <w:p>
      <w:pPr>
        <w:spacing w:after="0" w:line="1" w:lineRule="exact"/>
        <w:rPr>
          <w:rFonts w:ascii="Arial" w:cs="Arial" w:eastAsia="Arial" w:hAnsi="Arial"/>
          <w:sz w:val="18"/>
          <w:szCs w:val="18"/>
          <w:color w:val="auto"/>
        </w:rPr>
      </w:pPr>
    </w:p>
    <w:p>
      <w:pPr>
        <w:ind w:left="1380" w:right="979" w:hanging="331"/>
        <w:spacing w:after="0" w:line="243"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credit under the Community Reinvestment Act for certain pandemic-related loans, investments and public service.</w:t>
      </w:r>
    </w:p>
    <w:p>
      <w:pPr>
        <w:spacing w:after="0" w:line="199" w:lineRule="exact"/>
        <w:rPr>
          <w:sz w:val="20"/>
          <w:szCs w:val="20"/>
          <w:color w:val="auto"/>
        </w:rPr>
      </w:pPr>
    </w:p>
    <w:p>
      <w:pPr>
        <w:ind w:left="60" w:right="79"/>
        <w:spacing w:after="0" w:line="271" w:lineRule="auto"/>
        <w:rPr>
          <w:sz w:val="20"/>
          <w:szCs w:val="20"/>
          <w:color w:val="auto"/>
        </w:rPr>
      </w:pPr>
      <w:r>
        <w:rPr>
          <w:rFonts w:ascii="Arial" w:cs="Arial" w:eastAsia="Arial" w:hAnsi="Arial"/>
          <w:sz w:val="16"/>
          <w:szCs w:val="16"/>
          <w:color w:val="auto"/>
        </w:rPr>
        <w:t>The COVID-19 pandemic has significantly affected the financial markets, and the Federal Reserve has taken a number of actions in response. In March 2020, the Federal Reserve dramatically reduced the target federal funds rate and announced a $700 billion quantitative easing program in response to the expected economic downturn caused by the COVID-19 pandemic. In addition, the Federal Reserve reduced the interest that it pays on excess reserves. We expect that these reductions in interest rates, especially if prolonged, could adversely affect our net interest income and margins and our profitability. The Federal Reserve also launched the Main Street Lending Program, which will offer deferred interest on four-year loans to small and mid-sized businesses. The full impact of the COVID-19 pandemic on our business activities as a result of new government and regulatory laws, policies, programs and guidelines, as well as market reactions to such activities, remains uncertain but may ultimately have a material adverse effect on our business and results of operations.</w:t>
      </w:r>
    </w:p>
    <w:p>
      <w:pPr>
        <w:spacing w:after="0" w:line="182" w:lineRule="exact"/>
        <w:rPr>
          <w:sz w:val="20"/>
          <w:szCs w:val="20"/>
          <w:color w:val="auto"/>
        </w:rPr>
      </w:pPr>
    </w:p>
    <w:p>
      <w:pPr>
        <w:ind w:left="60" w:right="239"/>
        <w:spacing w:after="0" w:line="261" w:lineRule="auto"/>
        <w:rPr>
          <w:sz w:val="20"/>
          <w:szCs w:val="20"/>
          <w:color w:val="auto"/>
        </w:rPr>
      </w:pPr>
      <w:r>
        <w:rPr>
          <w:rFonts w:ascii="Arial" w:cs="Arial" w:eastAsia="Arial" w:hAnsi="Arial"/>
          <w:sz w:val="18"/>
          <w:szCs w:val="18"/>
          <w:b w:val="1"/>
          <w:bCs w:val="1"/>
          <w:i w:val="1"/>
          <w:iCs w:val="1"/>
          <w:color w:val="auto"/>
        </w:rPr>
        <w:t>COVID-19 has disrupted banking and other financial activities in the areas in which we operate and could potentially create widespread business continuity issues for us.</w:t>
      </w:r>
    </w:p>
    <w:p>
      <w:pPr>
        <w:spacing w:after="0" w:line="184"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The COVID-19 pandemic has negatively impacted the ability of our employees and clients to engage in banking and other financial transactions in the geographic area in which we operate and could create widespread business continuity issues for us. We also could be adversely affected if key personnel or a significant number of employees were to become unavailable due to the effects and restrictions of an outbreak or escalation of the COVID-19 pandemic in our market area, including because of illness, quarantines, government actions or other restrictions in connection with the COVID-19 pandemic. Although we have business continuity plans and other safeguards in place, there is no assurance that such plans and safeguards will be effective. Further, we rely upon our third-party vendors to conduct business and to process, record, and monitor transactions. If any of these vendors are unable to continue to provide us with these services, it could negatively impact our ability to serve our clients.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spacing w:after="0" w:line="248" w:lineRule="auto"/>
        <w:rPr>
          <w:sz w:val="20"/>
          <w:szCs w:val="20"/>
          <w:color w:val="auto"/>
        </w:rPr>
      </w:pPr>
      <w:r>
        <w:rPr>
          <w:rFonts w:ascii="Arial" w:cs="Arial" w:eastAsia="Arial" w:hAnsi="Arial"/>
          <w:sz w:val="18"/>
          <w:szCs w:val="18"/>
          <w:b w:val="1"/>
          <w:bCs w:val="1"/>
          <w:i w:val="1"/>
          <w:iCs w:val="1"/>
          <w:color w:val="auto"/>
        </w:rPr>
        <w:t>As a participating lender in the PPP, the Company is subject to additional risks of litigation from its customers or other parties regarding the processing of loans for the PPP and risks that the SBA may not fund some or all PPP loan guaranties.</w:t>
      </w:r>
    </w:p>
    <w:p>
      <w:pPr>
        <w:spacing w:after="0" w:line="195" w:lineRule="exact"/>
        <w:rPr>
          <w:sz w:val="20"/>
          <w:szCs w:val="20"/>
          <w:color w:val="auto"/>
        </w:rPr>
      </w:pPr>
    </w:p>
    <w:p>
      <w:pPr>
        <w:ind w:left="60" w:right="79"/>
        <w:spacing w:after="0" w:line="254" w:lineRule="auto"/>
        <w:rPr>
          <w:sz w:val="20"/>
          <w:szCs w:val="20"/>
          <w:color w:val="auto"/>
        </w:rPr>
      </w:pPr>
      <w:r>
        <w:rPr>
          <w:rFonts w:ascii="Arial" w:cs="Arial" w:eastAsia="Arial" w:hAnsi="Arial"/>
          <w:sz w:val="17"/>
          <w:szCs w:val="17"/>
          <w:color w:val="auto"/>
        </w:rPr>
        <w:t>On March 27, 2020, President Trump signed the CARES Act, which included a $349 billion loan program administered through the SBA referred to as the PPP. Under the PPP, small businesses and other entities and individuals could apply for loans from existing SBA lenders and other approved regulated lenders that enroll in the program, subject to numerous limitations and eligibility criteria. The PPP opened on April 3, 2020; however, because of the short timeframe between the passing of the CARES Act and the opening of the PPP, there was some ambiguity in the laws, rules and guidance regarding the operation of the PPP, which exposes the Company to risks relating to noncompliance with the PPP. On or about April 16, 2020, the SBA notified lenders that the $349 billion earmarked for the PPP was exhausted. Congress then authorized an additional $310 billion funding for PPP loans.</w:t>
      </w:r>
    </w:p>
    <w:p>
      <w:pPr>
        <w:spacing w:after="0" w:line="194"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Since the opening of the PPP, several other larger banks have been subject to litigation regarding the process and procedures that such banks used in processing applications for the PPP and claims related to agent fees. The Company may be exposed to the risk of similar litigation, from both customers and non-customers that approached the banks regarding PPP loans, regarding their process and procedures used in processing applications for the PPP. If any such litigation is filed against us and is not resolved in a manner favorable to us, it may result in significant financial liability or adversely affect our reputation. In addition, litigation can be costly, regardless of outcome. Any financial liability, litigation costs or reputational damage caused by PPP related litigation could have a material adverse impact on our business, financial condition and results of operations.</w:t>
      </w:r>
    </w:p>
    <w:p>
      <w:pPr>
        <w:spacing w:after="0" w:line="194"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auto"/>
        </w:rPr>
        <w:t>We also have credit risk on PPP loans if a determination is made by the SBA that there is a deficiency in the manner in which the loan was originated, funded, or serviced by the Company,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right="99"/>
        <w:spacing w:after="0" w:line="267" w:lineRule="auto"/>
        <w:rPr>
          <w:sz w:val="20"/>
          <w:szCs w:val="20"/>
          <w:color w:val="auto"/>
        </w:rPr>
      </w:pPr>
      <w:r>
        <w:rPr>
          <w:rFonts w:ascii="Arial" w:cs="Arial" w:eastAsia="Arial" w:hAnsi="Arial"/>
          <w:sz w:val="16"/>
          <w:szCs w:val="16"/>
          <w:color w:val="auto"/>
        </w:rPr>
        <w:t>On February 3, 2015, First Busey’s board of directors authorized the Company to repurchase up to an aggregate of 666,667 shares of its common stock. The repurchase plan has no expiration date and replaced the prior repurchase plan originally approved in 2008. On May 22, 2019, First Busey’s board of directors approved an amendment to increase the authorized shares under the repurchase program by 1,000,000 shares. Further, on February 5, 2020, First Busey’s board of directors approved an amendment to increase the authorized shares under the repurchase program by 2,000,000 shares. On March 16, 2020, due to uncertainties related to COVID-19, the Company suspended share repurchases under the plan and it is uncertain when the Company will resume the repurchase of shares as part of this program in the future.</w:t>
      </w:r>
    </w:p>
    <w:p>
      <w:pPr>
        <w:spacing w:after="0" w:line="1"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There were no purchases made by or on behalf of First Busey of its common stock shares during the quarter ended June 30, 2020. At June 30, 2020, the Company had 1,982,088 shares that may still be purchased under the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060" w:type="dxa"/>
            <w:vAlign w:val="bottom"/>
            <w:gridSpan w:val="9"/>
          </w:tcPr>
          <w:p>
            <w:pPr>
              <w:ind w:left="2780"/>
              <w:spacing w:after="0"/>
              <w:rPr>
                <w:sz w:val="20"/>
                <w:szCs w:val="20"/>
                <w:color w:val="auto"/>
              </w:rPr>
            </w:pPr>
            <w:r>
              <w:rPr>
                <w:rFonts w:ascii="Arial" w:cs="Arial" w:eastAsia="Arial" w:hAnsi="Arial"/>
                <w:sz w:val="18"/>
                <w:szCs w:val="18"/>
                <w:b w:val="1"/>
                <w:bCs w:val="1"/>
                <w:color w:val="auto"/>
              </w:rPr>
              <w:t>ITEM 6. EXHIBITS</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8060" w:type="dxa"/>
            <w:vAlign w:val="bottom"/>
            <w:gridSpan w:val="9"/>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Form of Director Deferred Stock Unit Award</w:t>
              </w:r>
            </w:hyperlink>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8060" w:type="dxa"/>
            <w:vAlign w:val="bottom"/>
            <w:gridSpan w:val="9"/>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Form of Performance-Based Restricted Stock Unit Agreement (filed as Exhibit 10.1 to the Company’s Form 8-</w:t>
              </w:r>
            </w:hyperlink>
          </w:p>
        </w:tc>
      </w:tr>
      <w:tr>
        <w:trPr>
          <w:trHeight w:val="183"/>
        </w:trPr>
        <w:tc>
          <w:tcPr>
            <w:tcW w:w="900" w:type="dxa"/>
            <w:vAlign w:val="bottom"/>
          </w:tcPr>
          <w:p>
            <w:pPr>
              <w:spacing w:after="0"/>
              <w:rPr>
                <w:sz w:val="15"/>
                <w:szCs w:val="15"/>
                <w:color w:val="auto"/>
              </w:rPr>
            </w:pPr>
          </w:p>
        </w:tc>
        <w:tc>
          <w:tcPr>
            <w:tcW w:w="80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K, filed with the SEC on July 9, 2020, and incorporated herein by reference).</w:t>
              </w:r>
            </w:hyperlink>
          </w:p>
        </w:tc>
        <w:tc>
          <w:tcPr>
            <w:tcW w:w="2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8060" w:type="dxa"/>
            <w:vAlign w:val="bottom"/>
            <w:gridSpan w:val="9"/>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First Busey Corporation 2020 Equity Incentive Plan (filed as Appendix A to the Company’s Proxy Statement</w:t>
              </w:r>
            </w:hyperlink>
          </w:p>
        </w:tc>
      </w:tr>
      <w:tr>
        <w:trPr>
          <w:trHeight w:val="224"/>
        </w:trPr>
        <w:tc>
          <w:tcPr>
            <w:tcW w:w="900" w:type="dxa"/>
            <w:vAlign w:val="bottom"/>
          </w:tcPr>
          <w:p>
            <w:pPr>
              <w:spacing w:after="0"/>
              <w:rPr>
                <w:sz w:val="19"/>
                <w:szCs w:val="19"/>
                <w:color w:val="auto"/>
              </w:rPr>
            </w:pPr>
          </w:p>
        </w:tc>
        <w:tc>
          <w:tcPr>
            <w:tcW w:w="786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on Form DEF 14A, filed with the SEC on April 9, 2020, and incorporated herein by reference).</w:t>
              </w:r>
            </w:hyperlink>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8060" w:type="dxa"/>
            <w:vAlign w:val="bottom"/>
            <w:gridSpan w:val="9"/>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Form of Restricted Stock Unit Award (filed as Exhibit 4.5 to the Company’s Form S-8, filed with the SEC on</w:t>
              </w:r>
            </w:hyperlink>
          </w:p>
        </w:tc>
      </w:tr>
      <w:tr>
        <w:trPr>
          <w:trHeight w:val="183"/>
        </w:trPr>
        <w:tc>
          <w:tcPr>
            <w:tcW w:w="900" w:type="dxa"/>
            <w:vAlign w:val="bottom"/>
          </w:tcPr>
          <w:p>
            <w:pPr>
              <w:spacing w:after="0"/>
              <w:rPr>
                <w:sz w:val="15"/>
                <w:szCs w:val="15"/>
                <w:color w:val="auto"/>
              </w:rPr>
            </w:pPr>
          </w:p>
        </w:tc>
        <w:tc>
          <w:tcPr>
            <w:tcW w:w="78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May 29, 2020, and incorporated herein by reference).</w:t>
              </w:r>
            </w:hyperlink>
          </w:p>
        </w:tc>
        <w:tc>
          <w:tcPr>
            <w:tcW w:w="180" w:type="dxa"/>
            <w:vAlign w:val="bottom"/>
            <w:gridSpan w:val="2"/>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8060" w:type="dxa"/>
            <w:vAlign w:val="bottom"/>
            <w:gridSpan w:val="9"/>
          </w:tcPr>
          <w:p>
            <w:pPr>
              <w:spacing w:after="0"/>
              <w:rPr>
                <w:rFonts w:ascii="Arial" w:cs="Arial" w:eastAsia="Arial" w:hAnsi="Arial"/>
                <w:sz w:val="18"/>
                <w:szCs w:val="18"/>
                <w:color w:val="0000EE"/>
              </w:rPr>
            </w:pPr>
            <w:hyperlink w:anchor="page79">
              <w:r>
                <w:rPr>
                  <w:rFonts w:ascii="Arial" w:cs="Arial" w:eastAsia="Arial" w:hAnsi="Arial"/>
                  <w:sz w:val="18"/>
                  <w:szCs w:val="18"/>
                  <w:u w:val="single" w:color="auto"/>
                  <w:color w:val="0000EE"/>
                </w:rPr>
                <w:t>Certification of Principal Executive Officer, pursuant to Rule 13a-14(a) and Rule 15d-14(a)</w:t>
              </w:r>
              <w:r>
                <w:rPr>
                  <w:rFonts w:ascii="Arial" w:cs="Arial" w:eastAsia="Arial" w:hAnsi="Arial"/>
                  <w:sz w:val="18"/>
                  <w:szCs w:val="18"/>
                  <w:color w:val="0000EE"/>
                </w:rPr>
                <w:t>.</w:t>
              </w:r>
            </w:hyperlink>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gridSpan w:val="9"/>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Certification of Principal Financial Officer, pursuant to Rule 13a-14(a) and Rule 15d-14(a).</w:t>
              </w:r>
            </w:hyperlink>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8060" w:type="dxa"/>
            <w:vAlign w:val="bottom"/>
            <w:gridSpan w:val="9"/>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Certification pursuant to 18 U.S.C. Section 1350, as adopted pursuant to Section 906 of the Sarbanes-Oxley</w:t>
              </w:r>
            </w:hyperlink>
          </w:p>
        </w:tc>
      </w:tr>
      <w:tr>
        <w:trPr>
          <w:trHeight w:val="183"/>
        </w:trPr>
        <w:tc>
          <w:tcPr>
            <w:tcW w:w="900" w:type="dxa"/>
            <w:vAlign w:val="bottom"/>
          </w:tcPr>
          <w:p>
            <w:pPr>
              <w:spacing w:after="0"/>
              <w:rPr>
                <w:sz w:val="15"/>
                <w:szCs w:val="15"/>
                <w:color w:val="auto"/>
              </w:rPr>
            </w:pPr>
          </w:p>
        </w:tc>
        <w:tc>
          <w:tcPr>
            <w:tcW w:w="42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Act of 2002, from the Company’s Chief Executive Officer.</w:t>
              </w:r>
            </w:hyperlink>
          </w:p>
        </w:tc>
        <w:tc>
          <w:tcPr>
            <w:tcW w:w="3520" w:type="dxa"/>
            <w:vAlign w:val="bottom"/>
            <w:tcBorders>
              <w:top w:val="single" w:sz="8" w:color="0000EE"/>
            </w:tcBorders>
            <w:gridSpan w:val="2"/>
          </w:tcPr>
          <w:p>
            <w:pPr>
              <w:spacing w:after="0"/>
              <w:rPr>
                <w:sz w:val="15"/>
                <w:szCs w:val="15"/>
                <w:color w:val="auto"/>
              </w:rPr>
            </w:pPr>
          </w:p>
        </w:tc>
        <w:tc>
          <w:tcPr>
            <w:tcW w:w="300" w:type="dxa"/>
            <w:vAlign w:val="bottom"/>
            <w:gridSpan w:val="4"/>
          </w:tcPr>
          <w:p>
            <w:pPr>
              <w:spacing w:after="0"/>
              <w:rPr>
                <w:sz w:val="15"/>
                <w:szCs w:val="15"/>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8060" w:type="dxa"/>
            <w:vAlign w:val="bottom"/>
            <w:gridSpan w:val="9"/>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Certification pursuant to 18 U.S.C. Section 1350, as adopted pursuant to Section 906 of the Sarbanes-Oxley</w:t>
              </w:r>
            </w:hyperlink>
          </w:p>
        </w:tc>
      </w:tr>
      <w:tr>
        <w:trPr>
          <w:trHeight w:val="183"/>
        </w:trPr>
        <w:tc>
          <w:tcPr>
            <w:tcW w:w="900" w:type="dxa"/>
            <w:vAlign w:val="bottom"/>
          </w:tcPr>
          <w:p>
            <w:pPr>
              <w:spacing w:after="0"/>
              <w:rPr>
                <w:sz w:val="15"/>
                <w:szCs w:val="15"/>
                <w:color w:val="auto"/>
              </w:rPr>
            </w:pPr>
          </w:p>
        </w:tc>
        <w:tc>
          <w:tcPr>
            <w:tcW w:w="77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Act of 2002, from the Company’s Chief Financial Officer.</w:t>
              </w:r>
            </w:hyperlink>
          </w:p>
        </w:tc>
        <w:tc>
          <w:tcPr>
            <w:tcW w:w="300" w:type="dxa"/>
            <w:vAlign w:val="bottom"/>
            <w:gridSpan w:val="4"/>
          </w:tcPr>
          <w:p>
            <w:pPr>
              <w:spacing w:after="0"/>
              <w:rPr>
                <w:sz w:val="15"/>
                <w:szCs w:val="15"/>
                <w:color w:val="auto"/>
              </w:rPr>
            </w:pPr>
          </w:p>
        </w:tc>
      </w:tr>
      <w:tr>
        <w:trPr>
          <w:trHeight w:val="45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1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iXBRL Instance Document</w:t>
            </w:r>
          </w:p>
        </w:tc>
        <w:tc>
          <w:tcPr>
            <w:tcW w:w="3880" w:type="dxa"/>
            <w:vAlign w:val="bottom"/>
            <w:gridSpan w:val="7"/>
          </w:tcPr>
          <w:p>
            <w:pPr>
              <w:spacing w:after="0"/>
              <w:rPr>
                <w:sz w:val="24"/>
                <w:szCs w:val="24"/>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8060" w:type="dxa"/>
            <w:vAlign w:val="bottom"/>
            <w:gridSpan w:val="9"/>
          </w:tcPr>
          <w:p>
            <w:pPr>
              <w:spacing w:after="0"/>
              <w:rPr>
                <w:sz w:val="20"/>
                <w:szCs w:val="20"/>
                <w:color w:val="auto"/>
              </w:rPr>
            </w:pPr>
            <w:r>
              <w:rPr>
                <w:rFonts w:ascii="Arial" w:cs="Arial" w:eastAsia="Arial" w:hAnsi="Arial"/>
                <w:sz w:val="18"/>
                <w:szCs w:val="18"/>
                <w:color w:val="auto"/>
              </w:rPr>
              <w:t>iXBRL Taxonomy Extension Schema</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8060" w:type="dxa"/>
            <w:vAlign w:val="bottom"/>
            <w:gridSpan w:val="9"/>
          </w:tcPr>
          <w:p>
            <w:pPr>
              <w:spacing w:after="0"/>
              <w:rPr>
                <w:sz w:val="20"/>
                <w:szCs w:val="20"/>
                <w:color w:val="auto"/>
              </w:rPr>
            </w:pPr>
            <w:r>
              <w:rPr>
                <w:rFonts w:ascii="Arial" w:cs="Arial" w:eastAsia="Arial" w:hAnsi="Arial"/>
                <w:sz w:val="18"/>
                <w:szCs w:val="18"/>
                <w:color w:val="auto"/>
              </w:rPr>
              <w:t>iXBRL Taxonomy Extension Calculation Linkbase</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8060" w:type="dxa"/>
            <w:vAlign w:val="bottom"/>
            <w:gridSpan w:val="9"/>
          </w:tcPr>
          <w:p>
            <w:pPr>
              <w:spacing w:after="0"/>
              <w:rPr>
                <w:sz w:val="20"/>
                <w:szCs w:val="20"/>
                <w:color w:val="auto"/>
              </w:rPr>
            </w:pPr>
            <w:r>
              <w:rPr>
                <w:rFonts w:ascii="Arial" w:cs="Arial" w:eastAsia="Arial" w:hAnsi="Arial"/>
                <w:sz w:val="18"/>
                <w:szCs w:val="18"/>
                <w:color w:val="auto"/>
              </w:rPr>
              <w:t>iXBRL Taxonomy Extension Label Linkbase</w:t>
            </w:r>
          </w:p>
        </w:tc>
      </w:tr>
      <w:tr>
        <w:trPr>
          <w:trHeight w:val="513"/>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8060" w:type="dxa"/>
            <w:vAlign w:val="bottom"/>
            <w:gridSpan w:val="9"/>
          </w:tcPr>
          <w:p>
            <w:pPr>
              <w:spacing w:after="0"/>
              <w:rPr>
                <w:sz w:val="20"/>
                <w:szCs w:val="20"/>
                <w:color w:val="auto"/>
              </w:rPr>
            </w:pPr>
            <w:r>
              <w:rPr>
                <w:rFonts w:ascii="Arial" w:cs="Arial" w:eastAsia="Arial" w:hAnsi="Arial"/>
                <w:sz w:val="18"/>
                <w:szCs w:val="18"/>
                <w:color w:val="auto"/>
              </w:rPr>
              <w:t>iXBRL Taxonomy Extension Presentation Linkbase</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8060" w:type="dxa"/>
            <w:vAlign w:val="bottom"/>
            <w:gridSpan w:val="9"/>
          </w:tcPr>
          <w:p>
            <w:pPr>
              <w:spacing w:after="0"/>
              <w:rPr>
                <w:sz w:val="20"/>
                <w:szCs w:val="20"/>
                <w:color w:val="auto"/>
              </w:rPr>
            </w:pPr>
            <w:r>
              <w:rPr>
                <w:rFonts w:ascii="Arial" w:cs="Arial" w:eastAsia="Arial" w:hAnsi="Arial"/>
                <w:sz w:val="18"/>
                <w:szCs w:val="18"/>
                <w:color w:val="auto"/>
              </w:rPr>
              <w:t>iXBRL Taxonomy Extension Definition Linkbase</w:t>
            </w:r>
          </w:p>
        </w:tc>
      </w:tr>
    </w:tbl>
    <w:p>
      <w:pPr>
        <w:spacing w:after="0" w:line="229" w:lineRule="exact"/>
        <w:rPr>
          <w:sz w:val="20"/>
          <w:szCs w:val="20"/>
          <w:color w:val="auto"/>
        </w:rPr>
      </w:pPr>
    </w:p>
    <w:p>
      <w:pPr>
        <w:ind w:left="920" w:right="219" w:hanging="893"/>
        <w:spacing w:after="0" w:line="261"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1"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pacing w:after="0" w:line="2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VAN A. DUKEMAN</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JEFFREY D. JONES</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ind w:left="4860"/>
        <w:spacing w:after="0"/>
        <w:rPr>
          <w:sz w:val="20"/>
          <w:szCs w:val="20"/>
          <w:color w:val="auto"/>
        </w:rPr>
      </w:pPr>
      <w:r>
        <w:rPr>
          <w:rFonts w:ascii="Arial" w:cs="Arial" w:eastAsia="Arial" w:hAnsi="Arial"/>
          <w:sz w:val="18"/>
          <w:szCs w:val="18"/>
          <w:color w:val="auto"/>
        </w:rPr>
        <w:t>(Principal Financial Officer)</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By:/s/ LYNETTE M. STRODE</w:t>
      </w:r>
    </w:p>
    <w:p>
      <w:pPr>
        <w:spacing w:after="0" w:line="3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Lynette M. Strode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-130175</wp:posOffset>
            </wp:positionV>
            <wp:extent cx="2597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1" w:name="page72"/>
    <w:bookmarkEnd w:id="71"/>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344"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FIRST BUSEY CORPORATION</w:t>
      </w:r>
    </w:p>
    <w:p>
      <w:pPr>
        <w:spacing w:after="0" w:line="31"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2020 EQUITY INCENTIVE PLAN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DIRECTOR DEFERRED STOCK UNIT AWARD</w:t>
      </w:r>
    </w:p>
    <w:p>
      <w:pPr>
        <w:spacing w:after="0" w:line="212" w:lineRule="exact"/>
        <w:rPr>
          <w:sz w:val="20"/>
          <w:szCs w:val="20"/>
          <w:color w:val="auto"/>
        </w:rPr>
      </w:pPr>
    </w:p>
    <w:p>
      <w:pPr>
        <w:jc w:val="both"/>
        <w:ind w:left="220" w:right="219" w:firstLine="648"/>
        <w:spacing w:after="0" w:line="279" w:lineRule="auto"/>
        <w:rPr>
          <w:sz w:val="20"/>
          <w:szCs w:val="20"/>
          <w:color w:val="auto"/>
        </w:rPr>
      </w:pPr>
      <w:r>
        <w:rPr>
          <w:rFonts w:ascii="Arial" w:cs="Arial" w:eastAsia="Arial" w:hAnsi="Arial"/>
          <w:sz w:val="21"/>
          <w:szCs w:val="21"/>
          <w:color w:val="auto"/>
        </w:rPr>
        <w:t>The Participant specified below has been granted this Deferred Stock Unit Award (the “</w:t>
      </w:r>
      <w:r>
        <w:rPr>
          <w:rFonts w:ascii="Arial" w:cs="Arial" w:eastAsia="Arial" w:hAnsi="Arial"/>
          <w:sz w:val="21"/>
          <w:szCs w:val="21"/>
          <w:b w:val="1"/>
          <w:bCs w:val="1"/>
          <w:color w:val="auto"/>
        </w:rPr>
        <w:t>Award</w:t>
      </w:r>
      <w:r>
        <w:rPr>
          <w:rFonts w:ascii="Arial" w:cs="Arial" w:eastAsia="Arial" w:hAnsi="Arial"/>
          <w:sz w:val="21"/>
          <w:szCs w:val="21"/>
          <w:color w:val="auto"/>
        </w:rPr>
        <w:t>”) by First Busey Corporation, a Nevada corporation (the “</w:t>
      </w:r>
      <w:r>
        <w:rPr>
          <w:rFonts w:ascii="Arial" w:cs="Arial" w:eastAsia="Arial" w:hAnsi="Arial"/>
          <w:sz w:val="21"/>
          <w:szCs w:val="21"/>
          <w:b w:val="1"/>
          <w:bCs w:val="1"/>
          <w:color w:val="auto"/>
        </w:rPr>
        <w:t>Company</w:t>
      </w:r>
      <w:r>
        <w:rPr>
          <w:rFonts w:ascii="Arial" w:cs="Arial" w:eastAsia="Arial" w:hAnsi="Arial"/>
          <w:sz w:val="21"/>
          <w:szCs w:val="21"/>
          <w:color w:val="auto"/>
        </w:rPr>
        <w:t>”), under the terms of the First Busey Corporation 2020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 The Award is subject to the Plan and the following terms and conditions (the “</w:t>
      </w:r>
      <w:r>
        <w:rPr>
          <w:rFonts w:ascii="Arial" w:cs="Arial" w:eastAsia="Arial" w:hAnsi="Arial"/>
          <w:sz w:val="21"/>
          <w:szCs w:val="21"/>
          <w:b w:val="1"/>
          <w:bCs w:val="1"/>
          <w:color w:val="auto"/>
        </w:rPr>
        <w:t>Award Terms</w:t>
      </w:r>
      <w:r>
        <w:rPr>
          <w:rFonts w:ascii="Arial" w:cs="Arial" w:eastAsia="Arial" w:hAnsi="Arial"/>
          <w:sz w:val="21"/>
          <w:szCs w:val="21"/>
          <w:color w:val="auto"/>
        </w:rPr>
        <w:t>”):</w:t>
      </w:r>
    </w:p>
    <w:p>
      <w:pPr>
        <w:spacing w:after="0" w:line="167" w:lineRule="exact"/>
        <w:rPr>
          <w:sz w:val="20"/>
          <w:szCs w:val="20"/>
          <w:color w:val="auto"/>
        </w:rPr>
      </w:pPr>
    </w:p>
    <w:p>
      <w:pPr>
        <w:jc w:val="both"/>
        <w:ind w:left="220" w:right="219" w:firstLine="648"/>
        <w:spacing w:after="0" w:line="267" w:lineRule="auto"/>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21"/>
          <w:szCs w:val="21"/>
          <w:b w:val="1"/>
          <w:bCs w:val="1"/>
          <w:u w:val="single" w:color="auto"/>
          <w:color w:val="auto"/>
        </w:rPr>
        <w:t>Award</w:t>
      </w:r>
      <w:r>
        <w:rPr>
          <w:rFonts w:ascii="Arial" w:cs="Arial" w:eastAsia="Arial" w:hAnsi="Arial"/>
          <w:sz w:val="21"/>
          <w:szCs w:val="21"/>
          <w:color w:val="auto"/>
        </w:rPr>
        <w:t>. In accordance with the Plan, the Company hereby grants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the Award of deferred stock units (each, a “</w:t>
      </w:r>
      <w:r>
        <w:rPr>
          <w:rFonts w:ascii="Arial" w:cs="Arial" w:eastAsia="Arial" w:hAnsi="Arial"/>
          <w:sz w:val="21"/>
          <w:szCs w:val="21"/>
          <w:b w:val="1"/>
          <w:bCs w:val="1"/>
          <w:color w:val="auto"/>
        </w:rPr>
        <w:t>DSU</w:t>
      </w:r>
      <w:r>
        <w:rPr>
          <w:rFonts w:ascii="Arial" w:cs="Arial" w:eastAsia="Arial" w:hAnsi="Arial"/>
          <w:sz w:val="21"/>
          <w:szCs w:val="21"/>
          <w:color w:val="auto"/>
        </w:rPr>
        <w:t>”), where each DSU represents the right to receive one share of Stock (a “</w:t>
      </w:r>
      <w:r>
        <w:rPr>
          <w:rFonts w:ascii="Arial" w:cs="Arial" w:eastAsia="Arial" w:hAnsi="Arial"/>
          <w:sz w:val="21"/>
          <w:szCs w:val="21"/>
          <w:b w:val="1"/>
          <w:bCs w:val="1"/>
          <w:color w:val="auto"/>
        </w:rPr>
        <w:t>Share</w:t>
      </w:r>
      <w:r>
        <w:rPr>
          <w:rFonts w:ascii="Arial" w:cs="Arial" w:eastAsia="Arial" w:hAnsi="Arial"/>
          <w:sz w:val="21"/>
          <w:szCs w:val="21"/>
          <w:color w:val="auto"/>
        </w:rPr>
        <w:t>”) in the future, subject to the Award Terms. The Award is in all respects limited and conditioned by the Plan and as provided herein.</w:t>
      </w:r>
    </w:p>
    <w:p>
      <w:pPr>
        <w:spacing w:after="0" w:line="181" w:lineRule="exact"/>
        <w:rPr>
          <w:sz w:val="20"/>
          <w:szCs w:val="20"/>
          <w:color w:val="auto"/>
        </w:rPr>
      </w:pPr>
    </w:p>
    <w:p>
      <w:pPr>
        <w:jc w:val="both"/>
        <w:ind w:left="220" w:right="219" w:firstLine="648"/>
        <w:spacing w:after="0" w:line="269" w:lineRule="auto"/>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Terms of Deferred Stock Unit Award</w:t>
      </w:r>
      <w:r>
        <w:rPr>
          <w:rFonts w:ascii="Arial" w:cs="Arial" w:eastAsia="Arial" w:hAnsi="Arial"/>
          <w:sz w:val="22"/>
          <w:szCs w:val="22"/>
          <w:color w:val="auto"/>
        </w:rPr>
        <w:t>. The following words and phrases</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the Award have the following meanings:</w:t>
      </w:r>
    </w:p>
    <w:p>
      <w:pPr>
        <w:spacing w:after="0" w:line="162" w:lineRule="exact"/>
        <w:rPr>
          <w:sz w:val="20"/>
          <w:szCs w:val="20"/>
          <w:color w:val="auto"/>
        </w:rPr>
      </w:pPr>
    </w:p>
    <w:p>
      <w:pPr>
        <w:ind w:left="2160" w:hanging="651"/>
        <w:spacing w:after="0"/>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Participant</w:t>
      </w:r>
      <w:r>
        <w:rPr>
          <w:rFonts w:ascii="Arial" w:cs="Arial" w:eastAsia="Arial" w:hAnsi="Arial"/>
          <w:sz w:val="22"/>
          <w:szCs w:val="22"/>
          <w:color w:val="auto"/>
        </w:rPr>
        <w:t>” is _______________________.</w:t>
      </w:r>
    </w:p>
    <w:p>
      <w:pPr>
        <w:spacing w:after="0" w:line="219" w:lineRule="exact"/>
        <w:rPr>
          <w:rFonts w:ascii="Arial" w:cs="Arial" w:eastAsia="Arial" w:hAnsi="Arial"/>
          <w:sz w:val="22"/>
          <w:szCs w:val="22"/>
          <w:color w:val="auto"/>
        </w:rPr>
      </w:pPr>
    </w:p>
    <w:p>
      <w:pPr>
        <w:ind w:left="2160" w:hanging="651"/>
        <w:spacing w:after="0"/>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Grant Date</w:t>
      </w:r>
      <w:r>
        <w:rPr>
          <w:rFonts w:ascii="Arial" w:cs="Arial" w:eastAsia="Arial" w:hAnsi="Arial"/>
          <w:sz w:val="22"/>
          <w:szCs w:val="22"/>
          <w:color w:val="auto"/>
        </w:rPr>
        <w:t>” is _______________________.</w:t>
      </w:r>
    </w:p>
    <w:p>
      <w:pPr>
        <w:spacing w:after="0" w:line="219" w:lineRule="exact"/>
        <w:rPr>
          <w:rFonts w:ascii="Arial" w:cs="Arial" w:eastAsia="Arial" w:hAnsi="Arial"/>
          <w:sz w:val="22"/>
          <w:szCs w:val="22"/>
          <w:color w:val="auto"/>
        </w:rPr>
      </w:pPr>
    </w:p>
    <w:p>
      <w:pPr>
        <w:ind w:left="2160" w:hanging="651"/>
        <w:spacing w:after="0"/>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number of “</w:t>
      </w:r>
      <w:r>
        <w:rPr>
          <w:rFonts w:ascii="Arial" w:cs="Arial" w:eastAsia="Arial" w:hAnsi="Arial"/>
          <w:sz w:val="22"/>
          <w:szCs w:val="22"/>
          <w:b w:val="1"/>
          <w:bCs w:val="1"/>
          <w:color w:val="auto"/>
        </w:rPr>
        <w:t>DSUs</w:t>
      </w:r>
      <w:r>
        <w:rPr>
          <w:rFonts w:ascii="Arial" w:cs="Arial" w:eastAsia="Arial" w:hAnsi="Arial"/>
          <w:sz w:val="22"/>
          <w:szCs w:val="22"/>
          <w:color w:val="auto"/>
        </w:rPr>
        <w:t>” is _______________________.</w:t>
      </w:r>
    </w:p>
    <w:p>
      <w:pPr>
        <w:spacing w:after="0" w:line="226" w:lineRule="exact"/>
        <w:rPr>
          <w:sz w:val="20"/>
          <w:szCs w:val="20"/>
          <w:color w:val="auto"/>
        </w:rPr>
      </w:pPr>
    </w:p>
    <w:p>
      <w:pPr>
        <w:jc w:val="both"/>
        <w:ind w:left="220" w:right="239" w:firstLine="648"/>
        <w:spacing w:after="0" w:line="276" w:lineRule="auto"/>
        <w:rPr>
          <w:sz w:val="20"/>
          <w:szCs w:val="20"/>
          <w:color w:val="auto"/>
        </w:rPr>
      </w:pPr>
      <w:r>
        <w:rPr>
          <w:rFonts w:ascii="Arial" w:cs="Arial" w:eastAsia="Arial" w:hAnsi="Arial"/>
          <w:sz w:val="22"/>
          <w:szCs w:val="22"/>
          <w:color w:val="auto"/>
        </w:rPr>
        <w:t>Except for terms defined herein, any capitalized term in the Award Terms has the meaning ascribed to that term under the Plan.</w:t>
      </w:r>
    </w:p>
    <w:p>
      <w:pPr>
        <w:spacing w:after="0" w:line="168" w:lineRule="exact"/>
        <w:rPr>
          <w:sz w:val="20"/>
          <w:szCs w:val="20"/>
          <w:color w:val="auto"/>
        </w:rPr>
      </w:pPr>
    </w:p>
    <w:p>
      <w:pPr>
        <w:jc w:val="both"/>
        <w:ind w:left="220" w:right="219" w:firstLine="648"/>
        <w:spacing w:after="0" w:line="267" w:lineRule="auto"/>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21"/>
          <w:szCs w:val="21"/>
          <w:b w:val="1"/>
          <w:bCs w:val="1"/>
          <w:u w:val="single" w:color="auto"/>
          <w:color w:val="auto"/>
        </w:rPr>
        <w:t>Restricted Period</w:t>
      </w:r>
      <w:r>
        <w:rPr>
          <w:rFonts w:ascii="Arial" w:cs="Arial" w:eastAsia="Arial" w:hAnsi="Arial"/>
          <w:sz w:val="21"/>
          <w:szCs w:val="21"/>
          <w:color w:val="auto"/>
        </w:rPr>
        <w:t>. The Award Terms evidence the Company’s grant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as of the Grant Date, on the terms and conditions described in the Award Terms and in the Plan, of a number of DSUs, each of which represents the right of the Participant to receive one Share free of restrictions once the Restricted Period ends.</w:t>
      </w:r>
    </w:p>
    <w:p>
      <w:pPr>
        <w:spacing w:after="0" w:line="167" w:lineRule="exact"/>
        <w:rPr>
          <w:sz w:val="20"/>
          <w:szCs w:val="20"/>
          <w:color w:val="auto"/>
        </w:rPr>
      </w:pPr>
    </w:p>
    <w:p>
      <w:pPr>
        <w:jc w:val="both"/>
        <w:ind w:left="220" w:right="219" w:firstLine="1289"/>
        <w:spacing w:after="0" w:line="274" w:lineRule="auto"/>
        <w:tabs>
          <w:tab w:leader="none" w:pos="2164" w:val="left"/>
        </w:tabs>
        <w:numPr>
          <w:ilvl w:val="0"/>
          <w:numId w:val="30"/>
        </w:numPr>
        <w:rPr>
          <w:rFonts w:ascii="Arial" w:cs="Arial" w:eastAsia="Arial" w:hAnsi="Arial"/>
          <w:sz w:val="21"/>
          <w:szCs w:val="21"/>
          <w:color w:val="auto"/>
        </w:rPr>
      </w:pPr>
      <w:r>
        <w:rPr>
          <w:rFonts w:ascii="Arial" w:cs="Arial" w:eastAsia="Arial" w:hAnsi="Arial"/>
          <w:sz w:val="21"/>
          <w:szCs w:val="21"/>
          <w:color w:val="auto"/>
        </w:rPr>
        <w:t>Subject to the Award Terms, the “</w:t>
      </w:r>
      <w:r>
        <w:rPr>
          <w:rFonts w:ascii="Arial" w:cs="Arial" w:eastAsia="Arial" w:hAnsi="Arial"/>
          <w:sz w:val="21"/>
          <w:szCs w:val="21"/>
          <w:b w:val="1"/>
          <w:bCs w:val="1"/>
          <w:color w:val="auto"/>
        </w:rPr>
        <w:t>Restricted Period</w:t>
      </w:r>
      <w:r>
        <w:rPr>
          <w:rFonts w:ascii="Arial" w:cs="Arial" w:eastAsia="Arial" w:hAnsi="Arial"/>
          <w:sz w:val="21"/>
          <w:szCs w:val="21"/>
          <w:color w:val="auto"/>
        </w:rPr>
        <w:t>” shall begin on the Grant Date and end on the first anniversary of the Grant Date (but only if the Participant has not had a Termination of Service before the end of the Restricted Period).</w:t>
      </w:r>
    </w:p>
    <w:p>
      <w:pPr>
        <w:spacing w:after="0" w:line="171" w:lineRule="exact"/>
        <w:rPr>
          <w:rFonts w:ascii="Arial" w:cs="Arial" w:eastAsia="Arial" w:hAnsi="Arial"/>
          <w:sz w:val="21"/>
          <w:szCs w:val="21"/>
          <w:color w:val="auto"/>
        </w:rPr>
      </w:pPr>
    </w:p>
    <w:p>
      <w:pPr>
        <w:ind w:left="220" w:right="239" w:firstLine="1289"/>
        <w:spacing w:after="0" w:line="269" w:lineRule="auto"/>
        <w:tabs>
          <w:tab w:leader="none" w:pos="2164"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b w:val="1"/>
          <w:bCs w:val="1"/>
          <w:color w:val="auto"/>
        </w:rPr>
        <w:t>Section 3(a)</w:t>
      </w:r>
      <w:r>
        <w:rPr>
          <w:rFonts w:ascii="Arial" w:cs="Arial" w:eastAsia="Arial" w:hAnsi="Arial"/>
          <w:sz w:val="22"/>
          <w:szCs w:val="22"/>
          <w:color w:val="auto"/>
        </w:rPr>
        <w:t>, the Restricted Period for the DSUs shall end immediately, and the DSUs shall be fully earned and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317500</wp:posOffset>
            </wp:positionV>
            <wp:extent cx="54521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2" w:name="page73"/>
    <w:bookmarkEnd w:id="72"/>
    <w:p>
      <w:pPr>
        <w:ind w:left="220" w:right="239"/>
        <w:spacing w:after="0" w:line="343" w:lineRule="auto"/>
        <w:rPr>
          <w:sz w:val="20"/>
          <w:szCs w:val="20"/>
          <w:color w:val="auto"/>
        </w:rPr>
      </w:pPr>
      <w:r>
        <w:rPr>
          <w:rFonts w:ascii="Arial" w:cs="Arial" w:eastAsia="Arial" w:hAnsi="Arial"/>
          <w:sz w:val="19"/>
          <w:szCs w:val="19"/>
          <w:color w:val="auto"/>
        </w:rPr>
        <w:t>immediately upon (i) a Change in Control that occurs on or before the Participant’s Termination of Service, or (ii) the Participant’s Termination of Service due to the Participant’s death.</w:t>
      </w:r>
    </w:p>
    <w:p>
      <w:pPr>
        <w:spacing w:after="0" w:line="104" w:lineRule="exact"/>
        <w:rPr>
          <w:sz w:val="20"/>
          <w:szCs w:val="20"/>
          <w:color w:val="auto"/>
        </w:rPr>
      </w:pPr>
    </w:p>
    <w:p>
      <w:pPr>
        <w:jc w:val="both"/>
        <w:ind w:left="220" w:right="219" w:firstLine="1289"/>
        <w:spacing w:after="0" w:line="250" w:lineRule="auto"/>
        <w:tabs>
          <w:tab w:leader="none" w:pos="2164"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In the event the Participant’s Termination of Service occurs prior to the expiration of the Restricted Period, other than as provided in </w:t>
      </w:r>
      <w:r>
        <w:rPr>
          <w:rFonts w:ascii="Arial" w:cs="Arial" w:eastAsia="Arial" w:hAnsi="Arial"/>
          <w:sz w:val="22"/>
          <w:szCs w:val="22"/>
          <w:b w:val="1"/>
          <w:bCs w:val="1"/>
          <w:color w:val="auto"/>
        </w:rPr>
        <w:t>Section 3(b)</w:t>
      </w:r>
      <w:r>
        <w:rPr>
          <w:rFonts w:ascii="Arial" w:cs="Arial" w:eastAsia="Arial" w:hAnsi="Arial"/>
          <w:sz w:val="22"/>
          <w:szCs w:val="22"/>
          <w:color w:val="auto"/>
        </w:rPr>
        <w:t xml:space="preserve"> above, the Participant shall forfeit all rights, title and interest in and to any DSUs still subject to the Restricted Period as of the Participant’s Termination of Service.</w:t>
      </w:r>
    </w:p>
    <w:p>
      <w:pPr>
        <w:spacing w:after="0" w:line="195" w:lineRule="exact"/>
        <w:rPr>
          <w:sz w:val="20"/>
          <w:szCs w:val="20"/>
          <w:color w:val="auto"/>
        </w:rPr>
      </w:pPr>
    </w:p>
    <w:p>
      <w:pPr>
        <w:ind w:left="220" w:right="239" w:firstLine="648"/>
        <w:spacing w:after="0" w:line="269" w:lineRule="auto"/>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Settlement of Units</w:t>
      </w:r>
      <w:r>
        <w:rPr>
          <w:rFonts w:ascii="Arial" w:cs="Arial" w:eastAsia="Arial" w:hAnsi="Arial"/>
          <w:sz w:val="22"/>
          <w:szCs w:val="22"/>
          <w:color w:val="auto"/>
        </w:rPr>
        <w:t>. Delivery of Shares or other amounts in connection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Award shall be subject to the following:</w:t>
      </w:r>
    </w:p>
    <w:p>
      <w:pPr>
        <w:spacing w:after="0" w:line="168" w:lineRule="exact"/>
        <w:rPr>
          <w:sz w:val="20"/>
          <w:szCs w:val="20"/>
          <w:color w:val="auto"/>
        </w:rPr>
      </w:pPr>
    </w:p>
    <w:p>
      <w:pPr>
        <w:jc w:val="both"/>
        <w:ind w:left="220" w:right="219" w:firstLine="1289"/>
        <w:spacing w:after="0" w:line="275" w:lineRule="auto"/>
        <w:tabs>
          <w:tab w:leader="none" w:pos="2164"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 xml:space="preserve">Delivery of Stock. </w:t>
      </w:r>
      <w:r>
        <w:rPr>
          <w:rFonts w:ascii="Arial" w:cs="Arial" w:eastAsia="Arial" w:hAnsi="Arial"/>
          <w:sz w:val="19"/>
          <w:szCs w:val="19"/>
          <w:color w:val="auto"/>
        </w:rPr>
        <w:t>The Company shall deliver to the Participant one Share</w:t>
      </w:r>
      <w:r>
        <w:rPr>
          <w:rFonts w:ascii="Arial" w:cs="Arial" w:eastAsia="Arial" w:hAnsi="Arial"/>
          <w:sz w:val="19"/>
          <w:szCs w:val="19"/>
          <w:i w:val="1"/>
          <w:iCs w:val="1"/>
          <w:color w:val="auto"/>
        </w:rPr>
        <w:t xml:space="preserve"> </w:t>
      </w:r>
      <w:r>
        <w:rPr>
          <w:rFonts w:ascii="Arial" w:cs="Arial" w:eastAsia="Arial" w:hAnsi="Arial"/>
          <w:sz w:val="19"/>
          <w:szCs w:val="19"/>
          <w:color w:val="auto"/>
        </w:rPr>
        <w:t>free and clear of any restrictions in settlement of each of the vested and unrestricted DSUs within 30 days following the earlier to occur of a Change in Control or the Participant’s Termination of Service (the “</w:t>
      </w:r>
      <w:r>
        <w:rPr>
          <w:rFonts w:ascii="Arial" w:cs="Arial" w:eastAsia="Arial" w:hAnsi="Arial"/>
          <w:sz w:val="19"/>
          <w:szCs w:val="19"/>
          <w:b w:val="1"/>
          <w:bCs w:val="1"/>
          <w:color w:val="auto"/>
        </w:rPr>
        <w:t>Settlement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Settlement Date occurs within the 30 days preceding the end of a calendar year, such settlement shall occur on the 30</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day following the Settlement Date. Notwithstanding the foregoing, if the Participant is deemed a “specified employee” within the meaning of Code Section 409A, as determined by the Committee, at a time when the Participant becomes eligible for settlement of the DSUs upon a “separation from service” within the meaning of Code Section 409A and according to Company policy, as may be in effect, then to the extent necessary to prevent any accelerated or additional tax under Code Section 409A, such settlement will be delayed until the earlier of: (i) the date that is the first day of the seventh month following the Participant’s Termination of Service, and (ii) the Participant’s death.</w:t>
      </w:r>
    </w:p>
    <w:p>
      <w:pPr>
        <w:spacing w:after="0" w:line="171" w:lineRule="exact"/>
        <w:rPr>
          <w:rFonts w:ascii="Arial" w:cs="Arial" w:eastAsia="Arial" w:hAnsi="Arial"/>
          <w:sz w:val="19"/>
          <w:szCs w:val="19"/>
          <w:color w:val="auto"/>
        </w:rPr>
      </w:pPr>
    </w:p>
    <w:p>
      <w:pPr>
        <w:jc w:val="both"/>
        <w:ind w:left="220" w:right="219" w:firstLine="1289"/>
        <w:spacing w:after="0" w:line="248" w:lineRule="auto"/>
        <w:tabs>
          <w:tab w:leader="none" w:pos="2164"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Modification of Settlement Date</w:t>
      </w:r>
      <w:r>
        <w:rPr>
          <w:rFonts w:ascii="Arial" w:cs="Arial" w:eastAsia="Arial" w:hAnsi="Arial"/>
          <w:sz w:val="22"/>
          <w:szCs w:val="22"/>
          <w:color w:val="auto"/>
        </w:rPr>
        <w:t>. The Participant shall have no right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modify the Settlement Date, </w:t>
      </w:r>
      <w:r>
        <w:rPr>
          <w:rFonts w:ascii="Arial" w:cs="Arial" w:eastAsia="Arial" w:hAnsi="Arial"/>
          <w:sz w:val="22"/>
          <w:szCs w:val="22"/>
          <w:i w:val="1"/>
          <w:iCs w:val="1"/>
          <w:color w:val="auto"/>
        </w:rPr>
        <w:t>provided, however</w:t>
      </w:r>
      <w:r>
        <w:rPr>
          <w:rFonts w:ascii="Arial" w:cs="Arial" w:eastAsia="Arial" w:hAnsi="Arial"/>
          <w:sz w:val="22"/>
          <w:szCs w:val="22"/>
          <w:color w:val="auto"/>
        </w:rPr>
        <w:t>, at the discretion of the Committee, the Settlement Date may be modified in a second election under Treasury Regulation §1.409A-2(b), due to an unforeseeable emergency as described in Treasury Regulation §1.409A-3(i)(3), or as otherwise permitted in accordance with Code Section 409A.</w:t>
      </w:r>
    </w:p>
    <w:p>
      <w:pPr>
        <w:spacing w:after="0" w:line="191" w:lineRule="exact"/>
        <w:rPr>
          <w:rFonts w:ascii="Arial" w:cs="Arial" w:eastAsia="Arial" w:hAnsi="Arial"/>
          <w:sz w:val="22"/>
          <w:szCs w:val="22"/>
          <w:color w:val="auto"/>
        </w:rPr>
      </w:pPr>
    </w:p>
    <w:p>
      <w:pPr>
        <w:jc w:val="both"/>
        <w:ind w:left="220" w:right="219" w:firstLine="1289"/>
        <w:spacing w:after="0" w:line="248" w:lineRule="auto"/>
        <w:tabs>
          <w:tab w:leader="none" w:pos="2164"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 xml:space="preserve">Compliance with Applicable Laws. </w:t>
      </w:r>
      <w:r>
        <w:rPr>
          <w:rFonts w:ascii="Arial" w:cs="Arial" w:eastAsia="Arial" w:hAnsi="Arial"/>
          <w:sz w:val="22"/>
          <w:szCs w:val="22"/>
          <w:color w:val="auto"/>
        </w:rPr>
        <w:t>Notwithstanding any other provision of</w:t>
      </w:r>
      <w:r>
        <w:rPr>
          <w:rFonts w:ascii="Arial" w:cs="Arial" w:eastAsia="Arial" w:hAnsi="Arial"/>
          <w:sz w:val="22"/>
          <w:szCs w:val="22"/>
          <w:i w:val="1"/>
          <w:iCs w:val="1"/>
          <w:color w:val="auto"/>
        </w:rPr>
        <w:t xml:space="preserve"> </w:t>
      </w:r>
      <w:r>
        <w:rPr>
          <w:rFonts w:ascii="Arial" w:cs="Arial" w:eastAsia="Arial" w:hAnsi="Arial"/>
          <w:sz w:val="22"/>
          <w:szCs w:val="22"/>
          <w:color w:val="auto"/>
        </w:rPr>
        <w:t>the Award Terms or the Plan, the Company shall have no obligation to deliver any Shares or make any other distribution of benefits in connection with the Award or the Plan unless such delivery or distribution complies with all applicable laws and the applicable requirements of any securities exchange or similar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73" w:name="page74"/>
    <w:bookmarkEnd w:id="73"/>
    <w:p>
      <w:pPr>
        <w:jc w:val="both"/>
        <w:ind w:left="220" w:right="219" w:firstLine="1289"/>
        <w:spacing w:after="0" w:line="250" w:lineRule="auto"/>
        <w:tabs>
          <w:tab w:leader="none" w:pos="2164"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Certificates. </w:t>
      </w:r>
      <w:r>
        <w:rPr>
          <w:rFonts w:ascii="Arial" w:cs="Arial" w:eastAsia="Arial" w:hAnsi="Arial"/>
          <w:sz w:val="22"/>
          <w:szCs w:val="22"/>
          <w:color w:val="auto"/>
        </w:rPr>
        <w:t>To the extent the Award Terms and the Plan provide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issuance of Shares, the issuance may be effected on a non-certificated basis, to the extent not prohibited by applicable law or the applicable requirements of any securities exchange or similar entity.</w:t>
      </w:r>
    </w:p>
    <w:p>
      <w:pPr>
        <w:spacing w:after="0" w:line="182" w:lineRule="exact"/>
        <w:rPr>
          <w:sz w:val="20"/>
          <w:szCs w:val="20"/>
          <w:color w:val="auto"/>
        </w:rPr>
      </w:pPr>
    </w:p>
    <w:p>
      <w:pPr>
        <w:jc w:val="both"/>
        <w:ind w:left="220" w:right="219" w:firstLine="648"/>
        <w:spacing w:after="0" w:line="258" w:lineRule="auto"/>
        <w:rPr>
          <w:sz w:val="20"/>
          <w:szCs w:val="20"/>
          <w:color w:val="auto"/>
        </w:rPr>
      </w:pPr>
      <w:r>
        <w:rPr>
          <w:rFonts w:ascii="Arial" w:cs="Arial" w:eastAsia="Arial" w:hAnsi="Arial"/>
          <w:sz w:val="21"/>
          <w:szCs w:val="21"/>
          <w:b w:val="1"/>
          <w:bCs w:val="1"/>
          <w:color w:val="auto"/>
        </w:rPr>
        <w:t xml:space="preserve">Section 5. </w:t>
      </w:r>
      <w:r>
        <w:rPr>
          <w:rFonts w:ascii="Arial" w:cs="Arial" w:eastAsia="Arial" w:hAnsi="Arial"/>
          <w:sz w:val="21"/>
          <w:szCs w:val="21"/>
          <w:b w:val="1"/>
          <w:bCs w:val="1"/>
          <w:u w:val="single" w:color="auto"/>
          <w:color w:val="auto"/>
        </w:rPr>
        <w:t>Withholding</w:t>
      </w:r>
      <w:r>
        <w:rPr>
          <w:rFonts w:ascii="Arial" w:cs="Arial" w:eastAsia="Arial" w:hAnsi="Arial"/>
          <w:sz w:val="21"/>
          <w:szCs w:val="21"/>
          <w:color w:val="auto"/>
        </w:rPr>
        <w:t>. All deliveries of Shares pursuant to the Award are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conditioned on the Participant’s satisfaction of any applicable withholding taxes. The Company, in its sole discretion, shall have the right to require the Participant (or if applicable, permitted assigns, heirs or Designated Beneficiaries) to remit to the Company an amount sufficient to satisfy any federal, state, local, foreign or other tax obligations imposed in connection with the grant, vesting or delivery of Shares in connection with the Award by requiring the Participant to choose between remitting the amount (a) in cash (through payroll deduction or otherwise) or (b) through the surrender of Shares that the Participant already owns, or to which the Participant is otherwise entitled under the Plan. In no event, however, does this </w:t>
      </w:r>
      <w:r>
        <w:rPr>
          <w:rFonts w:ascii="Arial" w:cs="Arial" w:eastAsia="Arial" w:hAnsi="Arial"/>
          <w:sz w:val="21"/>
          <w:szCs w:val="21"/>
          <w:b w:val="1"/>
          <w:bCs w:val="1"/>
          <w:color w:val="auto"/>
        </w:rPr>
        <w:t>Section 5</w:t>
      </w:r>
      <w:r>
        <w:rPr>
          <w:rFonts w:ascii="Arial" w:cs="Arial" w:eastAsia="Arial" w:hAnsi="Arial"/>
          <w:sz w:val="21"/>
          <w:szCs w:val="21"/>
          <w:color w:val="auto"/>
        </w:rPr>
        <w:t xml:space="preserve"> give the Participant any discretion to determine or affect the timing of deliveries of Shares pursuant to the Award or the timing of payment of tax obligations.</w:t>
      </w:r>
    </w:p>
    <w:p>
      <w:pPr>
        <w:spacing w:after="0" w:line="195" w:lineRule="exact"/>
        <w:rPr>
          <w:sz w:val="20"/>
          <w:szCs w:val="20"/>
          <w:color w:val="auto"/>
        </w:rPr>
      </w:pPr>
    </w:p>
    <w:p>
      <w:pPr>
        <w:jc w:val="both"/>
        <w:ind w:left="220" w:right="239" w:firstLine="648"/>
        <w:spacing w:after="0" w:line="304"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b w:val="1"/>
          <w:bCs w:val="1"/>
          <w:u w:val="single" w:color="auto"/>
          <w:color w:val="auto"/>
        </w:rPr>
        <w:t>Non-Transferability of Award</w:t>
      </w:r>
      <w:r>
        <w:rPr>
          <w:rFonts w:ascii="Arial" w:cs="Arial" w:eastAsia="Arial" w:hAnsi="Arial"/>
          <w:sz w:val="19"/>
          <w:szCs w:val="19"/>
          <w:color w:val="auto"/>
        </w:rPr>
        <w:t>. Except as otherwise provided in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Participant shall not sell, assign, transfer, pledge, hypothecate, mortgage, encumber or otherwise dispose of any DSUs prior to the settlement of the DSUs pursuant to </w:t>
      </w:r>
      <w:r>
        <w:rPr>
          <w:rFonts w:ascii="Arial" w:cs="Arial" w:eastAsia="Arial" w:hAnsi="Arial"/>
          <w:sz w:val="19"/>
          <w:szCs w:val="19"/>
          <w:b w:val="1"/>
          <w:bCs w:val="1"/>
          <w:color w:val="auto"/>
        </w:rPr>
        <w:t>Section 4(a)</w:t>
      </w:r>
      <w:r>
        <w:rPr>
          <w:rFonts w:ascii="Arial" w:cs="Arial" w:eastAsia="Arial" w:hAnsi="Arial"/>
          <w:sz w:val="19"/>
          <w:szCs w:val="19"/>
          <w:color w:val="auto"/>
        </w:rPr>
        <w:t xml:space="preserve"> above. Any purported transfer or assignment in violation of the provisions of this </w:t>
      </w:r>
      <w:r>
        <w:rPr>
          <w:rFonts w:ascii="Arial" w:cs="Arial" w:eastAsia="Arial" w:hAnsi="Arial"/>
          <w:sz w:val="19"/>
          <w:szCs w:val="19"/>
          <w:b w:val="1"/>
          <w:bCs w:val="1"/>
          <w:color w:val="auto"/>
        </w:rPr>
        <w:t>Section 6</w:t>
      </w:r>
      <w:r>
        <w:rPr>
          <w:rFonts w:ascii="Arial" w:cs="Arial" w:eastAsia="Arial" w:hAnsi="Arial"/>
          <w:sz w:val="19"/>
          <w:szCs w:val="19"/>
          <w:color w:val="auto"/>
        </w:rPr>
        <w:t xml:space="preserve"> will be void.</w:t>
      </w:r>
    </w:p>
    <w:p>
      <w:pPr>
        <w:spacing w:after="0" w:line="135" w:lineRule="exact"/>
        <w:rPr>
          <w:sz w:val="20"/>
          <w:szCs w:val="20"/>
          <w:color w:val="auto"/>
        </w:rPr>
      </w:pPr>
    </w:p>
    <w:p>
      <w:pPr>
        <w:jc w:val="both"/>
        <w:ind w:left="220" w:right="219" w:firstLine="648"/>
        <w:spacing w:after="0" w:line="287"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b w:val="1"/>
          <w:bCs w:val="1"/>
          <w:u w:val="single" w:color="auto"/>
          <w:color w:val="auto"/>
        </w:rPr>
        <w:t>Dividend Equivalents</w:t>
      </w:r>
      <w:r>
        <w:rPr>
          <w:rFonts w:ascii="Arial" w:cs="Arial" w:eastAsia="Arial" w:hAnsi="Arial"/>
          <w:sz w:val="19"/>
          <w:szCs w:val="19"/>
          <w:color w:val="auto"/>
        </w:rPr>
        <w:t>. Each DSU includes a right to dividend equivalent</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which in accordance with Section 2.1(g) of the Plan, represents an unfunded and unsecured promise to deliver to the Participant additional DSUs equal in value to any regular dividends and distributions that would be paid on Shares with respect to the DSUs if such Shares had been delivered during the Restricted Period and during the period following the end of the Restricted Period and prior to the date of settlement of the Award (“</w:t>
      </w:r>
      <w:r>
        <w:rPr>
          <w:rFonts w:ascii="Arial" w:cs="Arial" w:eastAsia="Arial" w:hAnsi="Arial"/>
          <w:sz w:val="19"/>
          <w:szCs w:val="19"/>
          <w:b w:val="1"/>
          <w:bCs w:val="1"/>
          <w:color w:val="auto"/>
        </w:rPr>
        <w:t>Dividend Equivalents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no Dividend Equivalents shall be credited under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7</w:t>
      </w:r>
      <w:r>
        <w:rPr>
          <w:rFonts w:ascii="Arial" w:cs="Arial" w:eastAsia="Arial" w:hAnsi="Arial"/>
          <w:sz w:val="19"/>
          <w:szCs w:val="19"/>
          <w:i w:val="1"/>
          <w:iCs w:val="1"/>
          <w:color w:val="auto"/>
        </w:rPr>
        <w:t xml:space="preserve"> </w:t>
      </w:r>
      <w:r>
        <w:rPr>
          <w:rFonts w:ascii="Arial" w:cs="Arial" w:eastAsia="Arial" w:hAnsi="Arial"/>
          <w:sz w:val="19"/>
          <w:szCs w:val="19"/>
          <w:color w:val="auto"/>
        </w:rPr>
        <w:t>to or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benefit of the Participant with respect to record dates for such dividends or distributions occurring before the Grant Date or on or after the date, if any, on which the Participant has forfeited the DSUs. Dividend Equivalents shall be credited to an Award at the time the respective dividends or distributions are paid and shall be subject to the same restrictions applicable to the underlying Award such that no Dividend Equivalents shall be delivered unless and until the DSUs to which they relate are settled in Shares in accordance with </w:t>
      </w:r>
      <w:r>
        <w:rPr>
          <w:rFonts w:ascii="Arial" w:cs="Arial" w:eastAsia="Arial" w:hAnsi="Arial"/>
          <w:sz w:val="19"/>
          <w:szCs w:val="19"/>
          <w:b w:val="1"/>
          <w:bCs w:val="1"/>
          <w:color w:val="auto"/>
        </w:rPr>
        <w:t>Section 4</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312420</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4" w:name="page75"/>
    <w:bookmarkEnd w:id="74"/>
    <w:p>
      <w:pPr>
        <w:jc w:val="both"/>
        <w:ind w:left="220" w:right="219" w:firstLine="648"/>
        <w:spacing w:after="0" w:line="304" w:lineRule="auto"/>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b w:val="1"/>
          <w:bCs w:val="1"/>
          <w:u w:val="single" w:color="auto"/>
          <w:color w:val="auto"/>
        </w:rPr>
        <w:t>No Rights as Shareholder</w:t>
      </w:r>
      <w:r>
        <w:rPr>
          <w:rFonts w:ascii="Arial" w:cs="Arial" w:eastAsia="Arial" w:hAnsi="Arial"/>
          <w:sz w:val="19"/>
          <w:szCs w:val="19"/>
          <w:color w:val="auto"/>
        </w:rPr>
        <w:t>. Prior to the settlement of the DSUs pursuant to</w:t>
      </w:r>
      <w:r>
        <w:rPr>
          <w:rFonts w:ascii="Arial" w:cs="Arial" w:eastAsia="Arial" w:hAnsi="Arial"/>
          <w:sz w:val="19"/>
          <w:szCs w:val="19"/>
          <w:b w:val="1"/>
          <w:bCs w:val="1"/>
          <w:color w:val="auto"/>
        </w:rPr>
        <w:t xml:space="preserve"> Section 4(a) </w:t>
      </w:r>
      <w:r>
        <w:rPr>
          <w:rFonts w:ascii="Arial" w:cs="Arial" w:eastAsia="Arial" w:hAnsi="Arial"/>
          <w:sz w:val="19"/>
          <w:szCs w:val="19"/>
          <w:color w:val="auto"/>
        </w:rPr>
        <w:t>above and the issuance of a stock certificate or its equivalent as provided herein,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have only the rights of a general unsecured creditor, and no rights of a shareholder of the Company with respect to the DSUs, including but not limited to voting rights.</w:t>
      </w:r>
    </w:p>
    <w:p>
      <w:pPr>
        <w:spacing w:after="0" w:line="135" w:lineRule="exact"/>
        <w:rPr>
          <w:sz w:val="20"/>
          <w:szCs w:val="20"/>
          <w:color w:val="auto"/>
        </w:rPr>
      </w:pPr>
    </w:p>
    <w:p>
      <w:pPr>
        <w:jc w:val="both"/>
        <w:ind w:left="220" w:right="219" w:firstLine="648"/>
        <w:spacing w:after="0" w:line="285"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b w:val="1"/>
          <w:bCs w:val="1"/>
          <w:u w:val="single" w:color="auto"/>
          <w:color w:val="auto"/>
        </w:rPr>
        <w:t>Heirs and Successors</w:t>
      </w:r>
      <w:r>
        <w:rPr>
          <w:rFonts w:ascii="Arial" w:cs="Arial" w:eastAsia="Arial" w:hAnsi="Arial"/>
          <w:sz w:val="19"/>
          <w:szCs w:val="19"/>
          <w:color w:val="auto"/>
        </w:rPr>
        <w:t>. The Award Terms shall be binding upon, and inure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benefit of, the Company and its successors and assigns, and upon any person acquiring, whether by merger, consolidation, purchase of assets or otherwise, all or substantially all of the Company’s assets or business. If any rights of the Participant or benefits distributable to the Participant under the Award Terms have not been settled or distributed, respectively, at the time of the Participant’s death, such rights shall be settled and payable to the Designated Beneficiary, and such benefits shall be distributed to the Designated Beneficiary, in accordance with the provisions of the Award Terms and the Plan. The “</w:t>
      </w:r>
      <w:r>
        <w:rPr>
          <w:rFonts w:ascii="Arial" w:cs="Arial" w:eastAsia="Arial" w:hAnsi="Arial"/>
          <w:sz w:val="19"/>
          <w:szCs w:val="19"/>
          <w:b w:val="1"/>
          <w:bCs w:val="1"/>
          <w:color w:val="auto"/>
        </w:rPr>
        <w:t>Designated Beneficiary</w:t>
      </w:r>
      <w:r>
        <w:rPr>
          <w:rFonts w:ascii="Arial" w:cs="Arial" w:eastAsia="Arial" w:hAnsi="Arial"/>
          <w:sz w:val="19"/>
          <w:szCs w:val="19"/>
          <w:color w:val="auto"/>
        </w:rPr>
        <w:t>” shall be the beneficiary or beneficiaries designated by the Participant in a writing filed with the Committee in such form as the Committee may require. The designation of beneficiary may be amended or revoked from time to time by the Participant in accordance with the procedures established by the Committee. If a Participant fails to designate a beneficiary, or if the Designated Beneficiary does not survive the Participant, any rights that would have been payable to the Participant shall be payable to the legal representative of the estate of the Participant. If a Participant designates a beneficiary and the Designated Beneficiary survives the Participant but dies before the settlement of the Designated Beneficiary’s rights under the Award Terms, then any rights that would have been payable to the Designated Beneficiary shall be payable to the legal representative of the estate of the Designated Beneficiary.</w:t>
      </w:r>
    </w:p>
    <w:p>
      <w:pPr>
        <w:spacing w:after="0" w:line="200" w:lineRule="exact"/>
        <w:rPr>
          <w:sz w:val="20"/>
          <w:szCs w:val="20"/>
          <w:color w:val="auto"/>
        </w:rPr>
      </w:pPr>
    </w:p>
    <w:p>
      <w:pPr>
        <w:spacing w:after="0" w:line="236" w:lineRule="exact"/>
        <w:rPr>
          <w:sz w:val="20"/>
          <w:szCs w:val="20"/>
          <w:color w:val="auto"/>
        </w:rPr>
      </w:pPr>
    </w:p>
    <w:p>
      <w:pPr>
        <w:jc w:val="both"/>
        <w:ind w:left="220" w:right="219" w:firstLine="648"/>
        <w:spacing w:after="0" w:line="290"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b w:val="1"/>
          <w:bCs w:val="1"/>
          <w:u w:val="single" w:color="auto"/>
          <w:color w:val="auto"/>
        </w:rPr>
        <w:t>Administration</w:t>
      </w:r>
      <w:r>
        <w:rPr>
          <w:rFonts w:ascii="Arial" w:cs="Arial" w:eastAsia="Arial" w:hAnsi="Arial"/>
          <w:sz w:val="19"/>
          <w:szCs w:val="19"/>
          <w:color w:val="auto"/>
        </w:rPr>
        <w:t>. The authority to manage and control the 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administration of the Award Terms and the Plan is vested in the Committee, and the Committee has all powers with respect to the Award Terms as it has with respect to the Plan. Any interpretation of the Award Terms or the Plan by the Committee and any decision made by it with respect to the Award Terms or the Plan shall be final and binding on all persons. In addition, neither the Company, any member of the Committee nor any person to whom the Committee delegates its powers, responsibilities or duties in writing will have any liability to the Participant (or if applicable, permitted assigns, heirs or Designated Beneficiaries) or any other person for any action taken or omitted in respect of this or any other Award.</w:t>
      </w:r>
    </w:p>
    <w:p>
      <w:pPr>
        <w:spacing w:after="0" w:line="148" w:lineRule="exact"/>
        <w:rPr>
          <w:sz w:val="20"/>
          <w:szCs w:val="20"/>
          <w:color w:val="auto"/>
        </w:rPr>
      </w:pPr>
    </w:p>
    <w:p>
      <w:pPr>
        <w:jc w:val="both"/>
        <w:ind w:left="220" w:right="219" w:firstLine="648"/>
        <w:spacing w:after="0" w:line="269" w:lineRule="auto"/>
        <w:rPr>
          <w:sz w:val="20"/>
          <w:szCs w:val="20"/>
          <w:color w:val="auto"/>
        </w:rPr>
      </w:pPr>
      <w:r>
        <w:rPr>
          <w:rFonts w:ascii="Arial" w:cs="Arial" w:eastAsia="Arial" w:hAnsi="Arial"/>
          <w:sz w:val="22"/>
          <w:szCs w:val="22"/>
          <w:b w:val="1"/>
          <w:bCs w:val="1"/>
          <w:color w:val="auto"/>
        </w:rPr>
        <w:t xml:space="preserve">Section 11. </w:t>
      </w:r>
      <w:r>
        <w:rPr>
          <w:rFonts w:ascii="Arial" w:cs="Arial" w:eastAsia="Arial" w:hAnsi="Arial"/>
          <w:sz w:val="22"/>
          <w:szCs w:val="22"/>
          <w:b w:val="1"/>
          <w:bCs w:val="1"/>
          <w:u w:val="single" w:color="auto"/>
          <w:color w:val="auto"/>
        </w:rPr>
        <w:t>Plan Governs</w:t>
      </w:r>
      <w:r>
        <w:rPr>
          <w:rFonts w:ascii="Arial" w:cs="Arial" w:eastAsia="Arial" w:hAnsi="Arial"/>
          <w:sz w:val="22"/>
          <w:szCs w:val="22"/>
          <w:color w:val="auto"/>
        </w:rPr>
        <w:t>. Notwithstanding anything in the Award Terms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the Award is subject to the terms of the Plan,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5" w:name="page76"/>
    <w:bookmarkEnd w:id="75"/>
    <w:p>
      <w:pPr>
        <w:jc w:val="both"/>
        <w:ind w:left="220" w:right="219"/>
        <w:spacing w:after="0" w:line="297" w:lineRule="auto"/>
        <w:rPr>
          <w:sz w:val="20"/>
          <w:szCs w:val="20"/>
          <w:color w:val="auto"/>
        </w:rPr>
      </w:pPr>
      <w:r>
        <w:rPr>
          <w:rFonts w:ascii="Arial" w:cs="Arial" w:eastAsia="Arial" w:hAnsi="Arial"/>
          <w:sz w:val="19"/>
          <w:szCs w:val="19"/>
          <w:color w:val="auto"/>
        </w:rPr>
        <w:t>copy of which may be obtained by the Participant from the Corporate Secretary of the Company. The Award Terms are subject to all interpretations, amendments, rules and regulations promulgated by the Committee from time to time pursuant to the Plan. Notwithstanding anything in the Award Terms to the contrary, in the event of any discrepancies between the corporate records of the Company and the Award Terms, the corporate records of the Company shall control.</w:t>
      </w:r>
    </w:p>
    <w:p>
      <w:pPr>
        <w:spacing w:after="0" w:line="154" w:lineRule="exact"/>
        <w:rPr>
          <w:sz w:val="20"/>
          <w:szCs w:val="20"/>
          <w:color w:val="auto"/>
        </w:rPr>
      </w:pPr>
    </w:p>
    <w:p>
      <w:pPr>
        <w:jc w:val="both"/>
        <w:ind w:left="220" w:right="219" w:firstLine="648"/>
        <w:spacing w:after="0" w:line="249" w:lineRule="auto"/>
        <w:rPr>
          <w:sz w:val="20"/>
          <w:szCs w:val="20"/>
          <w:color w:val="auto"/>
        </w:rPr>
      </w:pPr>
      <w:r>
        <w:rPr>
          <w:rFonts w:ascii="Arial" w:cs="Arial" w:eastAsia="Arial" w:hAnsi="Arial"/>
          <w:sz w:val="22"/>
          <w:szCs w:val="22"/>
          <w:b w:val="1"/>
          <w:bCs w:val="1"/>
          <w:color w:val="auto"/>
        </w:rPr>
        <w:t xml:space="preserve">Section 12. </w:t>
      </w:r>
      <w:r>
        <w:rPr>
          <w:rFonts w:ascii="Arial" w:cs="Arial" w:eastAsia="Arial" w:hAnsi="Arial"/>
          <w:sz w:val="22"/>
          <w:szCs w:val="22"/>
          <w:b w:val="1"/>
          <w:bCs w:val="1"/>
          <w:u w:val="single" w:color="auto"/>
          <w:color w:val="auto"/>
        </w:rPr>
        <w:t>Not an Employment Contract</w:t>
      </w:r>
      <w:r>
        <w:rPr>
          <w:rFonts w:ascii="Arial" w:cs="Arial" w:eastAsia="Arial" w:hAnsi="Arial"/>
          <w:sz w:val="22"/>
          <w:szCs w:val="22"/>
          <w:color w:val="auto"/>
        </w:rPr>
        <w:t>. The Award shall not confer on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any right with respect to continuance of employment or other service with the Company or any Subsidiary, nor shall it interfere in any way with any right the Company or any Subsidiary may otherwise have to terminate or modify the terms of such Participant’s employment or other service at any time.</w:t>
      </w:r>
    </w:p>
    <w:p>
      <w:pPr>
        <w:spacing w:after="0" w:line="186" w:lineRule="exact"/>
        <w:rPr>
          <w:sz w:val="20"/>
          <w:szCs w:val="20"/>
          <w:color w:val="auto"/>
        </w:rPr>
      </w:pPr>
    </w:p>
    <w:p>
      <w:pPr>
        <w:jc w:val="both"/>
        <w:ind w:left="220" w:right="219" w:firstLine="648"/>
        <w:spacing w:after="0" w:line="256" w:lineRule="auto"/>
        <w:rPr>
          <w:sz w:val="20"/>
          <w:szCs w:val="20"/>
          <w:color w:val="auto"/>
        </w:rPr>
      </w:pPr>
      <w:r>
        <w:rPr>
          <w:rFonts w:ascii="Arial" w:cs="Arial" w:eastAsia="Arial" w:hAnsi="Arial"/>
          <w:sz w:val="22"/>
          <w:szCs w:val="22"/>
          <w:b w:val="1"/>
          <w:bCs w:val="1"/>
          <w:color w:val="auto"/>
        </w:rPr>
        <w:t xml:space="preserve">Section 13.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The Award Terms may be amended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provisions of the Plan, and may otherwise be amended in writing by the Participant and the Company without the consent of any other person.</w:t>
      </w:r>
    </w:p>
    <w:p>
      <w:pPr>
        <w:spacing w:after="0" w:line="176" w:lineRule="exact"/>
        <w:rPr>
          <w:sz w:val="20"/>
          <w:szCs w:val="20"/>
          <w:color w:val="auto"/>
        </w:rPr>
      </w:pPr>
    </w:p>
    <w:p>
      <w:pPr>
        <w:jc w:val="both"/>
        <w:ind w:left="220" w:right="239" w:firstLine="648"/>
        <w:spacing w:after="0" w:line="252"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Award Terms, the Plan, and all actions taken</w:t>
      </w:r>
      <w:r>
        <w:rPr>
          <w:rFonts w:ascii="Arial" w:cs="Arial" w:eastAsia="Arial" w:hAnsi="Arial"/>
          <w:sz w:val="22"/>
          <w:szCs w:val="22"/>
          <w:b w:val="1"/>
          <w:bCs w:val="1"/>
          <w:color w:val="auto"/>
        </w:rPr>
        <w:t xml:space="preserve"> </w:t>
      </w:r>
      <w:r>
        <w:rPr>
          <w:rFonts w:ascii="Arial" w:cs="Arial" w:eastAsia="Arial" w:hAnsi="Arial"/>
          <w:sz w:val="22"/>
          <w:szCs w:val="22"/>
          <w:color w:val="auto"/>
        </w:rPr>
        <w:t>in connection herewith and therewith shall be governed by and construed in accordance with the laws of the State of Illinois, without reference to principles of conflict of laws, except as superseded by applicable federal law.</w:t>
      </w:r>
    </w:p>
    <w:p>
      <w:pPr>
        <w:spacing w:after="0" w:line="193" w:lineRule="exact"/>
        <w:rPr>
          <w:sz w:val="20"/>
          <w:szCs w:val="20"/>
          <w:color w:val="auto"/>
        </w:rPr>
      </w:pPr>
    </w:p>
    <w:p>
      <w:pPr>
        <w:jc w:val="both"/>
        <w:ind w:left="220" w:right="239" w:firstLine="648"/>
        <w:spacing w:after="0" w:line="262" w:lineRule="auto"/>
        <w:rPr>
          <w:sz w:val="20"/>
          <w:szCs w:val="20"/>
          <w:color w:val="auto"/>
        </w:rPr>
      </w:pPr>
      <w:r>
        <w:rPr>
          <w:rFonts w:ascii="Arial" w:cs="Arial" w:eastAsia="Arial" w:hAnsi="Arial"/>
          <w:sz w:val="21"/>
          <w:szCs w:val="21"/>
          <w:b w:val="1"/>
          <w:bCs w:val="1"/>
          <w:color w:val="auto"/>
        </w:rPr>
        <w:t xml:space="preserve">Section 15. </w:t>
      </w: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The Award is intended to comply with Code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409A and the Award shall be administered and interpreted in accordance with such intent. The Committee reserves the right (including the right to delegate such right) to unilaterally amend the Award Terms without the consent of the Participant in order to maintain compliance with Code Section 409A; and the Participant’s receipt of the Award constitutes the Participant’s acknowledgement of and consent to such rights of the Committee.</w:t>
      </w:r>
    </w:p>
    <w:p>
      <w:pPr>
        <w:spacing w:after="0" w:line="173" w:lineRule="exact"/>
        <w:rPr>
          <w:sz w:val="20"/>
          <w:szCs w:val="20"/>
          <w:color w:val="auto"/>
        </w:rPr>
      </w:pPr>
    </w:p>
    <w:p>
      <w:pPr>
        <w:jc w:val="both"/>
        <w:ind w:left="220" w:right="219" w:firstLine="648"/>
        <w:spacing w:after="0" w:line="260" w:lineRule="auto"/>
        <w:rPr>
          <w:sz w:val="20"/>
          <w:szCs w:val="20"/>
          <w:color w:val="auto"/>
        </w:rPr>
      </w:pPr>
      <w:r>
        <w:rPr>
          <w:rFonts w:ascii="Arial" w:cs="Arial" w:eastAsia="Arial" w:hAnsi="Arial"/>
          <w:sz w:val="21"/>
          <w:szCs w:val="21"/>
          <w:b w:val="1"/>
          <w:bCs w:val="1"/>
          <w:color w:val="auto"/>
        </w:rPr>
        <w:t xml:space="preserve">Section 16. </w:t>
      </w:r>
      <w:r>
        <w:rPr>
          <w:rFonts w:ascii="Arial" w:cs="Arial" w:eastAsia="Arial" w:hAnsi="Arial"/>
          <w:sz w:val="21"/>
          <w:szCs w:val="21"/>
          <w:b w:val="1"/>
          <w:bCs w:val="1"/>
          <w:u w:val="single" w:color="auto"/>
          <w:color w:val="auto"/>
        </w:rPr>
        <w:t>Clawback</w:t>
      </w:r>
      <w:r>
        <w:rPr>
          <w:rFonts w:ascii="Arial" w:cs="Arial" w:eastAsia="Arial" w:hAnsi="Arial"/>
          <w:sz w:val="21"/>
          <w:szCs w:val="21"/>
          <w:color w:val="auto"/>
        </w:rPr>
        <w:t>. The Award and any amount or benefit received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hereunder shall be subject to potential cancellation, recoupment, rescission, payback or other action in accordance with the terms of the Award, any applicable policy that the Company may adopt from time to time (the </w:t>
      </w:r>
      <w:r>
        <w:rPr>
          <w:rFonts w:ascii="Arial" w:cs="Arial" w:eastAsia="Arial" w:hAnsi="Arial"/>
          <w:sz w:val="21"/>
          <w:szCs w:val="21"/>
          <w:b w:val="1"/>
          <w:bCs w:val="1"/>
          <w:color w:val="auto"/>
        </w:rPr>
        <w:t>“Policy”)</w:t>
      </w:r>
      <w:r>
        <w:rPr>
          <w:rFonts w:ascii="Arial" w:cs="Arial" w:eastAsia="Arial" w:hAnsi="Arial"/>
          <w:sz w:val="21"/>
          <w:szCs w:val="21"/>
          <w:color w:val="auto"/>
        </w:rPr>
        <w:t xml:space="preserve"> or any applicable law, as may be in effect from time to time. The Participant’s receipt of the Award constitutes the Participant’s acknowledgment of and consent to the Company’s application, implementation and enforcement of (a) the Policy or any similar policy established by the Company that may apply to the Participant and (b) any provision of applicable law relating to cancellation, rescission, payback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76" w:name="page77"/>
    <w:bookmarkEnd w:id="76"/>
    <w:p>
      <w:pPr>
        <w:jc w:val="both"/>
        <w:ind w:left="220" w:right="219"/>
        <w:spacing w:after="0" w:line="253" w:lineRule="auto"/>
        <w:rPr>
          <w:sz w:val="20"/>
          <w:szCs w:val="20"/>
          <w:color w:val="auto"/>
        </w:rPr>
      </w:pPr>
      <w:r>
        <w:rPr>
          <w:rFonts w:ascii="Arial" w:cs="Arial" w:eastAsia="Arial" w:hAnsi="Arial"/>
          <w:sz w:val="22"/>
          <w:szCs w:val="22"/>
          <w:color w:val="auto"/>
        </w:rPr>
        <w:t>recoupment of compensation, as well as the Participant’s express agreement that the Company may take such actions as may be necessary to effectuate the Policy, any similar policy or applicable law without further consideration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77" w:name="page78"/>
    <w:bookmarkEnd w:id="77"/>
    <w:p>
      <w:pPr>
        <w:jc w:val="both"/>
        <w:ind w:left="200" w:right="219"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the Award Terms to be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in its name and on its behalf, all as of the Grant Date, and the Participant acknowledges understanding and acceptance of, and agrees to, the Award Terms.</w:t>
      </w:r>
    </w:p>
    <w:p>
      <w:pPr>
        <w:spacing w:after="0" w:line="39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FIRST BUSEY CORPORATION</w:t>
      </w:r>
    </w:p>
    <w:p>
      <w:pPr>
        <w:spacing w:after="0" w:line="193"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2757170</wp:posOffset>
            </wp:positionH>
            <wp:positionV relativeFrom="paragraph">
              <wp:posOffset>-17780</wp:posOffset>
            </wp:positionV>
            <wp:extent cx="22675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267585" cy="8890"/>
                    </a:xfrm>
                    <a:prstGeom prst="rect">
                      <a:avLst/>
                    </a:prstGeom>
                    <a:noFill/>
                  </pic:spPr>
                </pic:pic>
              </a:graphicData>
            </a:graphic>
          </wp:anchor>
        </w:drawing>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Its: President &amp; CEO</w:t>
      </w:r>
    </w:p>
    <w:p>
      <w:pPr>
        <w:spacing w:after="0" w:line="200" w:lineRule="exact"/>
        <w:rPr>
          <w:sz w:val="20"/>
          <w:szCs w:val="20"/>
          <w:color w:val="auto"/>
        </w:rPr>
      </w:pPr>
    </w:p>
    <w:p>
      <w:pPr>
        <w:spacing w:after="0" w:line="222"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547370</wp:posOffset>
            </wp:positionV>
            <wp:extent cx="2462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341630</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40" w:hanging="332"/>
        <w:spacing w:after="0" w:line="263" w:lineRule="auto"/>
        <w:tabs>
          <w:tab w:leader="none" w:pos="3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20" w:right="100" w:hanging="331"/>
        <w:spacing w:after="0" w:line="311" w:lineRule="auto"/>
        <w:tabs>
          <w:tab w:leader="none" w:pos="661"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20" w:right="220" w:hanging="331"/>
        <w:spacing w:after="0" w:line="286" w:lineRule="auto"/>
        <w:tabs>
          <w:tab w:leader="none" w:pos="671"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400" w:hanging="331"/>
        <w:spacing w:after="0" w:line="263" w:lineRule="auto"/>
        <w:tabs>
          <w:tab w:leader="none" w:pos="661"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20" w:right="20" w:hanging="331"/>
        <w:spacing w:after="0" w:line="311" w:lineRule="auto"/>
        <w:tabs>
          <w:tab w:leader="none" w:pos="671"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56"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6"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40" w:hanging="332"/>
        <w:spacing w:after="0" w:line="263" w:lineRule="auto"/>
        <w:tabs>
          <w:tab w:leader="none" w:pos="3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56" w:val="left"/>
        </w:tabs>
        <w:numPr>
          <w:ilvl w:val="2"/>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20" w:right="220" w:hanging="331"/>
        <w:spacing w:after="0" w:line="286" w:lineRule="auto"/>
        <w:tabs>
          <w:tab w:leader="none" w:pos="671"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400" w:hanging="331"/>
        <w:spacing w:after="0" w:line="263" w:lineRule="auto"/>
        <w:tabs>
          <w:tab w:leader="none" w:pos="6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20" w:right="20" w:hanging="331"/>
        <w:spacing w:after="0" w:line="311" w:lineRule="auto"/>
        <w:tabs>
          <w:tab w:leader="none" w:pos="671"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56" w:val="left"/>
        </w:tabs>
        <w:numPr>
          <w:ilvl w:val="2"/>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6"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June 30, 2020,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1" w:name="page82"/>
    <w:bookmarkEnd w:id="81"/>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June 30, 2020,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upperLetter"/>
      <w:start w:val="68"/>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lowerRoman"/>
      <w:start w:val="9"/>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Roman"/>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04"/>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3"/>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4"/>
    </w:lvl>
  </w:abstractNum>
  <w:abstractNum w:abstractNumId="33">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03" Type="http://schemas.openxmlformats.org/officeDocument/2006/relationships/hyperlink" Target="https://www.sec.gov/Archives/edgar/data/314489/000031448920000025/exhibit10_1.htm" TargetMode="External"/><Relationship Id="rId104" Type="http://schemas.openxmlformats.org/officeDocument/2006/relationships/hyperlink" Target="https://www.sec.gov/Archives/edgar/data/314489/000104746920002220/a2241264zdef14a.htm" TargetMode="External"/><Relationship Id="rId105" Type="http://schemas.openxmlformats.org/officeDocument/2006/relationships/hyperlink" Target="https://www.sec.gov/Archives/edgar/data/314489/000110465920067637/tm2021060d1_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2020-08-06T15:03:31Z</dcterms:created>
  <dcterms:modified xsi:type="dcterms:W3CDTF">2020-08-06T15:03:31Z</dcterms:modified>
</cp:coreProperties>
</file>