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00"/>
        <w:jc w:val="both"/>
        <w:rPr/>
      </w:pPr>
      <w:hyperlink w:anchor="id8e9505b4b634662becfd501b907f7ad_61">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 SECURITIES AND EXCHANGE COMMISSION</w:t>
      </w:r>
    </w:p>
    <w:p>
      <w:pPr>
        <w:pStyle w:val="TextBody"/>
        <w:bidi w:val="0"/>
        <w:spacing w:lineRule="auto" w:line="288" w:before="0" w:after="10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7901" w:type="dxa"/>
        <w:jc w:val="left"/>
        <w:tblInd w:w="0" w:type="dxa"/>
        <w:tblLayout w:type="fixed"/>
        <w:tblCellMar>
          <w:top w:w="28" w:type="dxa"/>
          <w:left w:w="28" w:type="dxa"/>
          <w:bottom w:w="28" w:type="dxa"/>
          <w:right w:w="28" w:type="dxa"/>
        </w:tblCellMar>
      </w:tblPr>
      <w:tblGrid>
        <w:gridCol w:w="124"/>
        <w:gridCol w:w="109"/>
        <w:gridCol w:w="109"/>
        <w:gridCol w:w="2209"/>
        <w:gridCol w:w="2209"/>
        <w:gridCol w:w="31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5" w:before="0" w:after="283"/>
              <w:jc w:val="center"/>
              <w:rPr>
                <w:color w:val="000000"/>
              </w:rPr>
            </w:pPr>
            <w:r>
              <w:rPr>
                <w:color w:val="000000"/>
              </w:rPr>
              <w:t>☑</w:t>
            </w:r>
          </w:p>
        </w:tc>
        <w:tc>
          <w:tcPr>
            <w:tcW w:w="75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tbl>
      <w:tblPr>
        <w:tblW w:w="7946" w:type="dxa"/>
        <w:jc w:val="left"/>
        <w:tblInd w:w="0" w:type="dxa"/>
        <w:tblLayout w:type="fixed"/>
        <w:tblCellMar>
          <w:top w:w="28" w:type="dxa"/>
          <w:left w:w="28" w:type="dxa"/>
          <w:bottom w:w="28" w:type="dxa"/>
          <w:right w:w="28" w:type="dxa"/>
        </w:tblCellMar>
      </w:tblPr>
      <w:tblGrid>
        <w:gridCol w:w="124"/>
        <w:gridCol w:w="109"/>
        <w:gridCol w:w="109"/>
        <w:gridCol w:w="2221"/>
        <w:gridCol w:w="2221"/>
        <w:gridCol w:w="3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Wingdings;sans-serif" w:hAnsi="Wingdings;sans-serif"/>
                <w:b/>
                <w:color w:val="000000"/>
                <w:sz w:val="20"/>
              </w:rPr>
            </w:pPr>
            <w:r>
              <w:rPr>
                <w:rFonts w:ascii="Wingdings;sans-serif" w:hAnsi="Wingdings;sans-serif"/>
                <w:b/>
                <w:color w:val="000000"/>
                <w:sz w:val="20"/>
              </w:rPr>
              <w:t>o</w:t>
            </w:r>
          </w:p>
        </w:tc>
        <w:tc>
          <w:tcPr>
            <w:tcW w:w="7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No. 0-15950</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FIRST BUSEY CORPORATION</w:t>
      </w:r>
    </w:p>
    <w:p>
      <w:pPr>
        <w:pStyle w:val="TextBody"/>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035" w:type="dxa"/>
        <w:jc w:val="left"/>
        <w:tblInd w:w="0" w:type="dxa"/>
        <w:tblLayout w:type="fixed"/>
        <w:tblCellMar>
          <w:top w:w="28" w:type="dxa"/>
          <w:left w:w="28" w:type="dxa"/>
          <w:bottom w:w="28" w:type="dxa"/>
          <w:right w:w="28" w:type="dxa"/>
        </w:tblCellMar>
      </w:tblPr>
      <w:tblGrid>
        <w:gridCol w:w="1560"/>
        <w:gridCol w:w="1374"/>
        <w:gridCol w:w="1386"/>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37-1078406</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 W. University Ave.</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Champaign, Illinois</w:t>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61820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200" w:after="20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(217) 365-4544</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p>
      <w:pPr>
        <w:pStyle w:val="TextBody"/>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948" w:type="dxa"/>
        <w:jc w:val="left"/>
        <w:tblInd w:w="0" w:type="dxa"/>
        <w:tblLayout w:type="fixed"/>
        <w:tblCellMar>
          <w:top w:w="28" w:type="dxa"/>
          <w:left w:w="28" w:type="dxa"/>
          <w:bottom w:w="28" w:type="dxa"/>
          <w:right w:w="28" w:type="dxa"/>
        </w:tblCellMar>
      </w:tblPr>
      <w:tblGrid>
        <w:gridCol w:w="986"/>
        <w:gridCol w:w="867"/>
        <w:gridCol w:w="877"/>
        <w:gridCol w:w="109"/>
        <w:gridCol w:w="109"/>
        <w:gridCol w:w="109"/>
        <w:gridCol w:w="579"/>
        <w:gridCol w:w="579"/>
        <w:gridCol w:w="581"/>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 (s)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7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40" w:before="0" w:after="18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40" w:before="0" w:after="18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6269" w:type="dxa"/>
        <w:jc w:val="left"/>
        <w:tblInd w:w="0" w:type="dxa"/>
        <w:tblLayout w:type="fixed"/>
        <w:tblCellMar>
          <w:top w:w="28" w:type="dxa"/>
          <w:left w:w="28" w:type="dxa"/>
          <w:bottom w:w="28" w:type="dxa"/>
          <w:right w:w="28" w:type="dxa"/>
        </w:tblCellMar>
      </w:tblPr>
      <w:tblGrid>
        <w:gridCol w:w="815"/>
        <w:gridCol w:w="716"/>
        <w:gridCol w:w="719"/>
        <w:gridCol w:w="749"/>
        <w:gridCol w:w="749"/>
        <w:gridCol w:w="752"/>
        <w:gridCol w:w="518"/>
        <w:gridCol w:w="518"/>
        <w:gridCol w:w="733"/>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180"/>
              <w:jc w:val="both"/>
              <w:rPr/>
            </w:pPr>
            <w:r>
              <w:rPr>
                <w:rFonts w:ascii="Times New Roman;sans-serif" w:hAnsi="Times New Roman;sans-serif"/>
                <w:b w:val="false"/>
                <w:color w:val="000000"/>
                <w:sz w:val="18"/>
              </w:rPr>
              <w:t>Large accelerated filer </w:t>
            </w:r>
            <w:r>
              <w:rPr>
                <w:color w:val="000000"/>
              </w:rPr>
              <w:t>☑</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180"/>
              <w:jc w:val="both"/>
              <w:rPr/>
            </w:pPr>
            <w:r>
              <w:rPr>
                <w:rFonts w:ascii="Times New Roman;sans-serif" w:hAnsi="Times New Roman;sans-serif"/>
                <w:b w:val="false"/>
                <w:color w:val="000000"/>
                <w:sz w:val="18"/>
              </w:rPr>
              <w:t>Accelerated filer </w:t>
            </w:r>
            <w:r>
              <w:rPr>
                <w:rFonts w:ascii="Wingdings;sans-serif" w:hAnsi="Wingdings;sans-serif"/>
                <w:b w:val="false"/>
                <w:color w:val="000000"/>
                <w:sz w:val="18"/>
              </w:rPr>
              <w:t>o</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180"/>
              <w:jc w:val="both"/>
              <w:rPr/>
            </w:pPr>
            <w:r>
              <w:rPr>
                <w:rFonts w:ascii="Times New Roman;sans-serif" w:hAnsi="Times New Roman;sans-serif"/>
                <w:b w:val="false"/>
                <w:color w:val="000000"/>
                <w:sz w:val="18"/>
              </w:rPr>
              <w:t>Non-accelerated filer </w:t>
            </w:r>
            <w:r>
              <w:rPr>
                <w:rFonts w:ascii="Wingdings;sans-serif" w:hAnsi="Wingdings;sans-serif"/>
                <w:b w:val="false"/>
                <w:color w:val="000000"/>
                <w:sz w:val="18"/>
              </w:rPr>
              <w:t>o</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 ☐</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40" w:before="0" w:after="180"/>
        <w:jc w:val="both"/>
        <w:rPr/>
      </w:pPr>
      <w:r>
        <w:rPr>
          <w:rFonts w:ascii="Times New Roman;sans-serif" w:hAnsi="Times New Roman;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40" w:before="0" w:after="180"/>
        <w:jc w:val="both"/>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issuer’s classes of common stock, as of the latest practicable date.</w:t>
      </w:r>
    </w:p>
    <w:tbl>
      <w:tblPr>
        <w:tblW w:w="6395" w:type="dxa"/>
        <w:jc w:val="left"/>
        <w:tblInd w:w="0" w:type="dxa"/>
        <w:tblLayout w:type="fixed"/>
        <w:tblCellMar>
          <w:top w:w="28" w:type="dxa"/>
          <w:left w:w="28" w:type="dxa"/>
          <w:bottom w:w="28" w:type="dxa"/>
          <w:right w:w="28" w:type="dxa"/>
        </w:tblCellMar>
      </w:tblPr>
      <w:tblGrid>
        <w:gridCol w:w="124"/>
        <w:gridCol w:w="109"/>
        <w:gridCol w:w="109"/>
        <w:gridCol w:w="901"/>
        <w:gridCol w:w="901"/>
        <w:gridCol w:w="913"/>
        <w:gridCol w:w="109"/>
        <w:gridCol w:w="109"/>
        <w:gridCol w:w="109"/>
        <w:gridCol w:w="879"/>
        <w:gridCol w:w="879"/>
        <w:gridCol w:w="8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Outstanding at August 3,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55,281,483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before="0" w:after="0"/>
        <w:jc w:val="center"/>
        <w:rPr/>
      </w:pPr>
      <w:r>
        <w:rPr/>
      </w:r>
    </w:p>
    <w:p>
      <w:pPr>
        <w:pStyle w:val="TextBody"/>
        <w:bidi w:val="0"/>
        <w:spacing w:lineRule="auto" w:line="288" w:before="200" w:after="200"/>
        <w:jc w:val="center"/>
        <w:rPr>
          <w:rFonts w:ascii="Times New Roman;sans-serif" w:hAnsi="Times New Roman;sans-serif"/>
          <w:b/>
          <w:color w:val="000000"/>
          <w:sz w:val="20"/>
        </w:rPr>
      </w:pPr>
      <w:bookmarkStart w:id="0" w:name="id8e9505b4b634662becfd501b907f7ad_62"/>
      <w:bookmarkStart w:id="1" w:name="id8e9505b4b634662becfd501b907f7ad_61"/>
      <w:bookmarkEnd w:id="0"/>
      <w:bookmarkEnd w:id="1"/>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2"/>
        <w:gridCol w:w="257"/>
        <w:gridCol w:w="262"/>
        <w:gridCol w:w="3012"/>
        <w:gridCol w:w="2975"/>
        <w:gridCol w:w="3034"/>
        <w:gridCol w:w="109"/>
        <w:gridCol w:w="109"/>
        <w:gridCol w:w="155"/>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012"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0">
              <w:r>
                <w:rPr>
                  <w:rStyle w:val="InternetLink"/>
                  <w:rFonts w:ascii="Times New Roman;sans-serif" w:hAnsi="Times New Roman;sans-serif"/>
                  <w:b w:val="false"/>
                  <w:color w:val="0000FF"/>
                  <w:sz w:val="20"/>
                  <w:u w:val="single"/>
                </w:rPr>
                <w:t>GLOSSARY</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0">
              <w:r>
                <w:rPr>
                  <w:rStyle w:val="InternetLink"/>
                  <w:rFonts w:ascii="Times New Roman;sans-serif" w:hAnsi="Times New Roman;sans-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3">
              <w:r>
                <w:rPr>
                  <w:rStyle w:val="InternetLink"/>
                  <w:rFonts w:ascii="Times New Roman;sans-serif" w:hAnsi="Times New Roman;sans-serif"/>
                  <w:b w:val="false"/>
                  <w:color w:val="0000FF"/>
                  <w:sz w:val="20"/>
                  <w:u w:val="single"/>
                </w:rPr>
                <w:t>PART I</w:t>
              </w:r>
            </w:hyperlink>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3">
              <w:r>
                <w:rPr>
                  <w:rStyle w:val="InternetLink"/>
                  <w:rFonts w:ascii="Times New Roman;sans-serif" w:hAnsi="Times New Roman;sans-serif"/>
                  <w:b w:val="false"/>
                  <w:color w:val="0000FF"/>
                  <w:sz w:val="20"/>
                  <w:u w:val="single"/>
                </w:rPr>
                <w:t>FINANCIAL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3">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6">
              <w:r>
                <w:rPr>
                  <w:rStyle w:val="InternetLink"/>
                  <w:rFonts w:ascii="Times New Roman;sans-serif" w:hAnsi="Times New Roman;sans-serif"/>
                  <w:b w:val="false"/>
                  <w:color w:val="0000FF"/>
                  <w:sz w:val="20"/>
                  <w:u w:val="single"/>
                </w:rPr>
                <w:t>Item 1.</w:t>
              </w:r>
            </w:hyperlink>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6">
              <w:r>
                <w:rPr>
                  <w:rStyle w:val="InternetLink"/>
                  <w:rFonts w:ascii="Times New Roman;sans-serif" w:hAnsi="Times New Roman;sans-serif"/>
                  <w:b w:val="false"/>
                  <w:color w:val="0000FF"/>
                  <w:sz w:val="20"/>
                  <w:u w:val="single"/>
                </w:rPr>
                <w:t>FINANCIAL STATEMENTS (UNAUDITED)</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6">
              <w:r>
                <w:rPr>
                  <w:rStyle w:val="InternetLink"/>
                  <w:rFonts w:ascii="Times New Roman;sans-serif" w:hAnsi="Times New Roman;sans-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9">
              <w:r>
                <w:rPr>
                  <w:rStyle w:val="InternetLink"/>
                  <w:rFonts w:ascii="Times New Roman;sans-serif" w:hAnsi="Times New Roman;sans-serif"/>
                  <w:b w:val="false"/>
                  <w:color w:val="0000FF"/>
                  <w:sz w:val="20"/>
                  <w:u w:val="single"/>
                </w:rPr>
                <w:t>CONSOLIDATED BALANCE SHEETS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9">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2">
              <w:r>
                <w:rPr>
                  <w:rStyle w:val="InternetLink"/>
                  <w:rFonts w:ascii="Times New Roman;sans-serif" w:hAnsi="Times New Roman;sans-serif"/>
                  <w:b w:val="false"/>
                  <w:color w:val="0000FF"/>
                  <w:sz w:val="20"/>
                  <w:u w:val="single"/>
                </w:rPr>
                <w:t>CONSOLIDATED STATEMENTS OF INCOME</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2">
              <w:r>
                <w:rPr>
                  <w:rStyle w:val="InternetLink"/>
                  <w:rFonts w:ascii="Times New Roman;sans-serif" w:hAnsi="Times New Roman;sans-serif"/>
                  <w:b w:val="false"/>
                  <w:color w:val="0000FF"/>
                  <w:sz w:val="20"/>
                  <w:u w:val="single"/>
                </w:rPr>
                <w:t>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5">
              <w:r>
                <w:rPr>
                  <w:rStyle w:val="InternetLink"/>
                  <w:rFonts w:ascii="Times New Roman;sans-serif" w:hAnsi="Times New Roman;sans-serif"/>
                  <w:b w:val="false"/>
                  <w:color w:val="0000FF"/>
                  <w:sz w:val="20"/>
                  <w:u w:val="single"/>
                </w:rPr>
                <w:t>CONSOLIDATED STATEMENTS OF COMPREHENSIVE INCOME (LOSS)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5">
              <w:r>
                <w:rPr>
                  <w:rStyle w:val="InternetLink"/>
                  <w:rFonts w:ascii="Times New Roman;sans-serif" w:hAnsi="Times New Roman;sans-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31">
              <w:r>
                <w:rPr>
                  <w:rStyle w:val="InternetLink"/>
                  <w:rFonts w:ascii="Times New Roman;sans-serif" w:hAnsi="Times New Roman;sans-serif"/>
                  <w:b w:val="false"/>
                  <w:color w:val="0000FF"/>
                  <w:sz w:val="20"/>
                  <w:u w:val="single"/>
                </w:rPr>
                <w:t>CONSOLIDATED STATEMENTS OF STOCKHOLDERS’ EQUITY</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31">
              <w:r>
                <w:rPr>
                  <w:rStyle w:val="InternetLink"/>
                  <w:rFonts w:ascii="Times New Roman;sans-serif" w:hAnsi="Times New Roman;sans-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37">
              <w:r>
                <w:rPr>
                  <w:rStyle w:val="InternetLink"/>
                  <w:rFonts w:ascii="Times New Roman;sans-serif" w:hAnsi="Times New Roman;sans-serif"/>
                  <w:b w:val="false"/>
                  <w:color w:val="0000FF"/>
                  <w:sz w:val="20"/>
                  <w:u w:val="single"/>
                </w:rPr>
                <w:t>CONSOLIDATED STATEMENTS OF CASH FLOWS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37">
              <w:r>
                <w:rPr>
                  <w:rStyle w:val="InternetLink"/>
                  <w:rFonts w:ascii="Times New Roman;sans-serif" w:hAnsi="Times New Roman;sans-serif"/>
                  <w:b w:val="false"/>
                  <w:color w:val="0000FF"/>
                  <w:sz w:val="20"/>
                  <w:u w:val="single"/>
                </w:rPr>
                <w:t>11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40">
              <w:r>
                <w:rPr>
                  <w:rStyle w:val="InternetLink"/>
                  <w:rFonts w:ascii="Times New Roman;sans-serif" w:hAnsi="Times New Roman;sans-serif"/>
                  <w:b w:val="false"/>
                  <w:color w:val="0000FF"/>
                  <w:sz w:val="20"/>
                  <w:u w:val="single"/>
                </w:rPr>
                <w:t>NOTES TO UNAUDITED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40">
              <w:r>
                <w:rPr>
                  <w:rStyle w:val="InternetLink"/>
                  <w:rFonts w:ascii="Times New Roman;sans-serif" w:hAnsi="Times New Roman;sans-serif"/>
                  <w:b w:val="false"/>
                  <w:color w:val="0000FF"/>
                  <w:sz w:val="20"/>
                  <w:u w:val="single"/>
                </w:rPr>
                <w:t>13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43">
              <w:r>
                <w:rPr>
                  <w:rStyle w:val="InternetLink"/>
                  <w:rFonts w:ascii="Times New Roman;sans-serif" w:hAnsi="Times New Roman;sans-serif"/>
                  <w:b w:val="false"/>
                  <w:color w:val="0000FF"/>
                  <w:sz w:val="20"/>
                  <w:u w:val="single"/>
                </w:rPr>
                <w:t>Note 1:    Significant Accounting Policies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40">
              <w:r>
                <w:rPr>
                  <w:rStyle w:val="InternetLink"/>
                  <w:rFonts w:ascii="Times New Roman;sans-serif" w:hAnsi="Times New Roman;sans-serif"/>
                  <w:b w:val="false"/>
                  <w:color w:val="0000FF"/>
                  <w:sz w:val="20"/>
                  <w:u w:val="single"/>
                </w:rPr>
                <w:t>13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46">
              <w:r>
                <w:rPr>
                  <w:rStyle w:val="InternetLink"/>
                  <w:rFonts w:ascii="Times New Roman;sans-serif" w:hAnsi="Times New Roman;sans-serif"/>
                  <w:b w:val="false"/>
                  <w:color w:val="0000FF"/>
                  <w:sz w:val="20"/>
                  <w:u w:val="single"/>
                </w:rPr>
                <w:t>Note 2:    Debt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46">
              <w:r>
                <w:rPr>
                  <w:rStyle w:val="InternetLink"/>
                  <w:rFonts w:ascii="Times New Roman;sans-serif" w:hAnsi="Times New Roman;sans-serif"/>
                  <w:b w:val="false"/>
                  <w:color w:val="0000FF"/>
                  <w:sz w:val="20"/>
                  <w:u w:val="single"/>
                </w:rPr>
                <w:t>15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49">
              <w:r>
                <w:rPr>
                  <w:rStyle w:val="InternetLink"/>
                  <w:rFonts w:ascii="Times New Roman;sans-serif" w:hAnsi="Times New Roman;sans-serif"/>
                  <w:b w:val="false"/>
                  <w:color w:val="0000FF"/>
                  <w:sz w:val="20"/>
                  <w:u w:val="single"/>
                </w:rPr>
                <w:t>Note 3:    Portfolio Loans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49">
              <w:r>
                <w:rPr>
                  <w:rStyle w:val="InternetLink"/>
                  <w:rFonts w:ascii="Times New Roman;sans-serif" w:hAnsi="Times New Roman;sans-serif"/>
                  <w:b w:val="false"/>
                  <w:color w:val="0000FF"/>
                  <w:sz w:val="20"/>
                  <w:u w:val="single"/>
                </w:rPr>
                <w:t>19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70">
              <w:r>
                <w:rPr>
                  <w:rStyle w:val="InternetLink"/>
                  <w:rFonts w:ascii="Times New Roman;sans-serif" w:hAnsi="Times New Roman;sans-serif"/>
                  <w:b w:val="false"/>
                  <w:color w:val="0000FF"/>
                  <w:sz w:val="20"/>
                  <w:u w:val="single"/>
                </w:rPr>
                <w:t>Note 4:    Leases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70">
              <w:r>
                <w:rPr>
                  <w:rStyle w:val="InternetLink"/>
                  <w:rFonts w:ascii="Times New Roman;sans-serif" w:hAnsi="Times New Roman;sans-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73">
              <w:r>
                <w:rPr>
                  <w:rStyle w:val="InternetLink"/>
                  <w:rFonts w:ascii="Times New Roman;sans-serif" w:hAnsi="Times New Roman;sans-serif"/>
                  <w:b w:val="false"/>
                  <w:color w:val="0000FF"/>
                  <w:sz w:val="20"/>
                  <w:u w:val="single"/>
                </w:rPr>
                <w:t>Note 5:    Deposits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73">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76">
              <w:r>
                <w:rPr>
                  <w:rStyle w:val="InternetLink"/>
                  <w:rFonts w:ascii="Times New Roman;sans-serif" w:hAnsi="Times New Roman;sans-serif"/>
                  <w:b w:val="false"/>
                  <w:color w:val="0000FF"/>
                  <w:sz w:val="20"/>
                  <w:u w:val="single"/>
                </w:rPr>
                <w:t>Note 6:    Borrowings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76">
              <w:r>
                <w:rPr>
                  <w:rStyle w:val="InternetLink"/>
                  <w:rFonts w:ascii="Times New Roman;sans-serif" w:hAnsi="Times New Roman;sans-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79">
              <w:r>
                <w:rPr>
                  <w:rStyle w:val="InternetLink"/>
                  <w:rFonts w:ascii="Times New Roman;sans-serif" w:hAnsi="Times New Roman;sans-serif"/>
                  <w:b w:val="false"/>
                  <w:color w:val="0000FF"/>
                  <w:sz w:val="20"/>
                  <w:u w:val="single"/>
                </w:rPr>
                <w:t>Note 7:    Regulatory Capital</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79">
              <w:r>
                <w:rPr>
                  <w:rStyle w:val="InternetLink"/>
                  <w:rFonts w:ascii="Times New Roman;sans-serif" w:hAnsi="Times New Roman;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82">
              <w:r>
                <w:rPr>
                  <w:rStyle w:val="InternetLink"/>
                  <w:rFonts w:ascii="Times New Roman;sans-serif" w:hAnsi="Times New Roman;sans-serif"/>
                  <w:b w:val="false"/>
                  <w:color w:val="0000FF"/>
                  <w:sz w:val="20"/>
                  <w:u w:val="single"/>
                </w:rPr>
                <w:t>Note 8:    Stock-Based Compensation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82">
              <w:r>
                <w:rPr>
                  <w:rStyle w:val="InternetLink"/>
                  <w:rFonts w:ascii="Times New Roman;sans-serif" w:hAnsi="Times New Roman;sans-serif"/>
                  <w:b w:val="false"/>
                  <w:color w:val="0000FF"/>
                  <w:sz w:val="20"/>
                  <w:u w:val="single"/>
                </w:rPr>
                <w:t>36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85">
              <w:r>
                <w:rPr>
                  <w:rStyle w:val="InternetLink"/>
                  <w:rFonts w:ascii="Times New Roman;sans-serif" w:hAnsi="Times New Roman;sans-serif"/>
                  <w:b w:val="false"/>
                  <w:color w:val="0000FF"/>
                  <w:sz w:val="20"/>
                  <w:u w:val="single"/>
                </w:rPr>
                <w:t>Note 9:    Outstanding Commitments and Contingent Liabilities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85">
              <w:r>
                <w:rPr>
                  <w:rStyle w:val="InternetLink"/>
                  <w:rFonts w:ascii="Times New Roman;sans-serif" w:hAnsi="Times New Roman;sans-serif"/>
                  <w:b w:val="false"/>
                  <w:color w:val="0000FF"/>
                  <w:sz w:val="20"/>
                  <w:u w:val="single"/>
                </w:rPr>
                <w:t>40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88">
              <w:r>
                <w:rPr>
                  <w:rStyle w:val="InternetLink"/>
                  <w:rFonts w:ascii="Times New Roman;sans-serif" w:hAnsi="Times New Roman;sans-serif"/>
                  <w:b w:val="false"/>
                  <w:color w:val="0000FF"/>
                  <w:sz w:val="20"/>
                  <w:u w:val="single"/>
                </w:rPr>
                <w:t>Note 10:  Derivative Financial Instruments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88">
              <w:r>
                <w:rPr>
                  <w:rStyle w:val="InternetLink"/>
                  <w:rFonts w:ascii="Times New Roman;sans-serif" w:hAnsi="Times New Roman;sans-serif"/>
                  <w:b w:val="false"/>
                  <w:color w:val="0000FF"/>
                  <w:sz w:val="20"/>
                  <w:u w:val="single"/>
                </w:rPr>
                <w:t>40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91">
              <w:r>
                <w:rPr>
                  <w:rStyle w:val="InternetLink"/>
                  <w:rFonts w:ascii="Times New Roman;sans-serif" w:hAnsi="Times New Roman;sans-serif"/>
                  <w:b w:val="false"/>
                  <w:color w:val="0000FF"/>
                  <w:sz w:val="20"/>
                  <w:u w:val="single"/>
                </w:rPr>
                <w:t>Note 11:  Fair Value Measurements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91">
              <w:r>
                <w:rPr>
                  <w:rStyle w:val="InternetLink"/>
                  <w:rFonts w:ascii="Times New Roman;sans-serif" w:hAnsi="Times New Roman;sans-serif"/>
                  <w:b w:val="false"/>
                  <w:color w:val="0000FF"/>
                  <w:sz w:val="20"/>
                  <w:u w:val="single"/>
                </w:rPr>
                <w:t>46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94">
              <w:r>
                <w:rPr>
                  <w:rStyle w:val="InternetLink"/>
                  <w:rFonts w:ascii="Times New Roman;sans-serif" w:hAnsi="Times New Roman;sans-serif"/>
                  <w:b w:val="false"/>
                  <w:color w:val="0000FF"/>
                  <w:sz w:val="20"/>
                  <w:u w:val="single"/>
                </w:rPr>
                <w:t>Note 12:  Earnings per Common Share</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94">
              <w:r>
                <w:rPr>
                  <w:rStyle w:val="InternetLink"/>
                  <w:rFonts w:ascii="Times New Roman;sans-serif" w:hAnsi="Times New Roman;sans-serif"/>
                  <w:b w:val="false"/>
                  <w:color w:val="0000FF"/>
                  <w:sz w:val="20"/>
                  <w:u w:val="single"/>
                </w:rPr>
                <w:t>50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97">
              <w:r>
                <w:rPr>
                  <w:rStyle w:val="InternetLink"/>
                  <w:rFonts w:ascii="Times New Roman;sans-serif" w:hAnsi="Times New Roman;sans-serif"/>
                  <w:b w:val="false"/>
                  <w:color w:val="0000FF"/>
                  <w:sz w:val="20"/>
                  <w:u w:val="single"/>
                </w:rPr>
                <w:t>Note 13:  Accumulated Other Comprehensive Income (Loss)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97">
              <w:r>
                <w:rPr>
                  <w:rStyle w:val="InternetLink"/>
                  <w:rFonts w:ascii="Times New Roman;sans-serif" w:hAnsi="Times New Roman;sans-serif"/>
                  <w:b w:val="false"/>
                  <w:color w:val="0000FF"/>
                  <w:sz w:val="20"/>
                  <w:u w:val="single"/>
                </w:rPr>
                <w:t>51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03">
              <w:r>
                <w:rPr>
                  <w:rStyle w:val="InternetLink"/>
                  <w:rFonts w:ascii="Times New Roman;sans-serif" w:hAnsi="Times New Roman;sans-serif"/>
                  <w:b w:val="false"/>
                  <w:color w:val="0000FF"/>
                  <w:sz w:val="20"/>
                  <w:u w:val="single"/>
                </w:rPr>
                <w:t>Note 14:  Operating Segments and Related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03">
              <w:r>
                <w:rPr>
                  <w:rStyle w:val="InternetLink"/>
                  <w:rFonts w:ascii="Times New Roman;sans-serif" w:hAnsi="Times New Roman;sans-serif"/>
                  <w:b w:val="false"/>
                  <w:color w:val="0000FF"/>
                  <w:sz w:val="20"/>
                  <w:u w:val="single"/>
                </w:rPr>
                <w:t>52</w:t>
              </w:r>
            </w:hyperlink>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902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09">
              <w:r>
                <w:rPr>
                  <w:rStyle w:val="InternetLink"/>
                  <w:rFonts w:ascii="Times New Roman;sans-serif" w:hAnsi="Times New Roman;sans-serif"/>
                  <w:b w:val="false"/>
                  <w:color w:val="0000FF"/>
                  <w:sz w:val="20"/>
                  <w:u w:val="single"/>
                </w:rPr>
                <w:t>Item 2.</w:t>
              </w:r>
            </w:hyperlink>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0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09">
              <w:r>
                <w:rPr>
                  <w:rStyle w:val="InternetLink"/>
                  <w:rFonts w:ascii="Times New Roman;sans-serif" w:hAnsi="Times New Roman;sans-serif"/>
                  <w:b w:val="false"/>
                  <w:color w:val="0000FF"/>
                  <w:sz w:val="20"/>
                  <w:u w:val="single"/>
                </w:rPr>
                <w:t>55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26">
              <w:r>
                <w:rPr>
                  <w:rStyle w:val="InternetLink"/>
                  <w:rFonts w:ascii="Times New Roman;sans-serif" w:hAnsi="Times New Roman;sans-serif"/>
                  <w:b w:val="false"/>
                  <w:color w:val="0000FF"/>
                  <w:sz w:val="20"/>
                  <w:u w:val="single"/>
                </w:rPr>
                <w:t>Item 3.</w:t>
              </w:r>
            </w:hyperlink>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26">
              <w:r>
                <w:rPr>
                  <w:rStyle w:val="InternetLink"/>
                  <w:rFonts w:ascii="Times New Roman;sans-serif" w:hAnsi="Times New Roman;sans-serif"/>
                  <w:b w:val="false"/>
                  <w:color w:val="0000FF"/>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26">
              <w:r>
                <w:rPr>
                  <w:rStyle w:val="InternetLink"/>
                  <w:rFonts w:ascii="Times New Roman;sans-serif" w:hAnsi="Times New Roman;sans-serif"/>
                  <w:b w:val="false"/>
                  <w:color w:val="0000FF"/>
                  <w:sz w:val="20"/>
                  <w:u w:val="single"/>
                </w:rPr>
                <w:t>87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29">
              <w:r>
                <w:rPr>
                  <w:rStyle w:val="InternetLink"/>
                  <w:rFonts w:ascii="Times New Roman;sans-serif" w:hAnsi="Times New Roman;sans-serif"/>
                  <w:b w:val="false"/>
                  <w:color w:val="0000FF"/>
                  <w:sz w:val="20"/>
                  <w:u w:val="single"/>
                </w:rPr>
                <w:t>Item 4.</w:t>
              </w:r>
            </w:hyperlink>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29">
              <w:r>
                <w:rPr>
                  <w:rStyle w:val="InternetLink"/>
                  <w:rFonts w:ascii="Times New Roman;sans-serif" w:hAnsi="Times New Roman;sans-serif"/>
                  <w:b w:val="false"/>
                  <w:color w:val="0000FF"/>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29">
              <w:r>
                <w:rPr>
                  <w:rStyle w:val="InternetLink"/>
                  <w:rFonts w:ascii="Times New Roman;sans-serif" w:hAnsi="Times New Roman;sans-serif"/>
                  <w:b w:val="false"/>
                  <w:color w:val="0000FF"/>
                  <w:sz w:val="20"/>
                  <w:u w:val="single"/>
                </w:rPr>
                <w:t>88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32">
              <w:r>
                <w:rPr>
                  <w:rStyle w:val="InternetLink"/>
                  <w:rFonts w:ascii="Times New Roman;sans-serif" w:hAnsi="Times New Roman;sans-serif"/>
                  <w:b w:val="false"/>
                  <w:color w:val="0000FF"/>
                  <w:sz w:val="20"/>
                  <w:u w:val="single"/>
                </w:rPr>
                <w:t>PART II</w:t>
              </w:r>
            </w:hyperlink>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32">
              <w:r>
                <w:rPr>
                  <w:rStyle w:val="InternetLink"/>
                  <w:rFonts w:ascii="Times New Roman;sans-serif" w:hAnsi="Times New Roman;sans-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32">
              <w:r>
                <w:rPr>
                  <w:rStyle w:val="InternetLink"/>
                  <w:rFonts w:ascii="Times New Roman;sans-serif" w:hAnsi="Times New Roman;sans-serif"/>
                  <w:b w:val="false"/>
                  <w:color w:val="0000FF"/>
                  <w:sz w:val="20"/>
                  <w:u w:val="single"/>
                </w:rPr>
                <w:t>89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35">
              <w:r>
                <w:rPr>
                  <w:rStyle w:val="InternetLink"/>
                  <w:rFonts w:ascii="Times New Roman;sans-serif" w:hAnsi="Times New Roman;sans-serif"/>
                  <w:b w:val="false"/>
                  <w:color w:val="0000FF"/>
                  <w:sz w:val="20"/>
                  <w:u w:val="single"/>
                </w:rPr>
                <w:t>Item 1.</w:t>
              </w:r>
            </w:hyperlink>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35">
              <w:r>
                <w:rPr>
                  <w:rStyle w:val="InternetLink"/>
                  <w:rFonts w:ascii="Times New Roman;sans-serif" w:hAnsi="Times New Roman;sans-serif"/>
                  <w:b w:val="false"/>
                  <w:color w:val="0000FF"/>
                  <w:sz w:val="20"/>
                  <w:u w:val="single"/>
                </w:rPr>
                <w:t>LEGAL PROCEEDINGS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35">
              <w:r>
                <w:rPr>
                  <w:rStyle w:val="InternetLink"/>
                  <w:rFonts w:ascii="Times New Roman;sans-serif" w:hAnsi="Times New Roman;sans-serif"/>
                  <w:b w:val="false"/>
                  <w:color w:val="0000FF"/>
                  <w:sz w:val="20"/>
                  <w:u w:val="single"/>
                </w:rPr>
                <w:t>89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38">
              <w:r>
                <w:rPr>
                  <w:rStyle w:val="InternetLink"/>
                  <w:rFonts w:ascii="Times New Roman;sans-serif" w:hAnsi="Times New Roman;sans-serif"/>
                  <w:b w:val="false"/>
                  <w:color w:val="0000FF"/>
                  <w:sz w:val="20"/>
                  <w:u w:val="single"/>
                </w:rPr>
                <w:t>Item 1A</w:t>
              </w:r>
            </w:hyperlink>
            <w:r>
              <w:rPr>
                <w:rFonts w:ascii="Times New Roman;sans-serif" w:hAnsi="Times New Roman;sans-serif"/>
                <w:b w:val="false"/>
                <w:color w:val="000000"/>
                <w:sz w:val="20"/>
              </w:rPr>
              <w:t>.</w:t>
            </w:r>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38">
              <w:r>
                <w:rPr>
                  <w:rStyle w:val="InternetLink"/>
                  <w:rFonts w:ascii="Times New Roman;sans-serif" w:hAnsi="Times New Roman;sans-serif"/>
                  <w:b w:val="false"/>
                  <w:color w:val="0000FF"/>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38">
              <w:r>
                <w:rPr>
                  <w:rStyle w:val="InternetLink"/>
                  <w:rFonts w:ascii="Times New Roman;sans-serif" w:hAnsi="Times New Roman;sans-serif"/>
                  <w:b w:val="false"/>
                  <w:color w:val="0000FF"/>
                  <w:sz w:val="20"/>
                  <w:u w:val="single"/>
                </w:rPr>
                <w:t>89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41">
              <w:r>
                <w:rPr>
                  <w:rStyle w:val="InternetLink"/>
                  <w:rFonts w:ascii="Times New Roman;sans-serif" w:hAnsi="Times New Roman;sans-serif"/>
                  <w:b w:val="false"/>
                  <w:color w:val="0000FF"/>
                  <w:sz w:val="20"/>
                  <w:u w:val="single"/>
                </w:rPr>
                <w:t>Item 2.</w:t>
              </w:r>
            </w:hyperlink>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41">
              <w:r>
                <w:rPr>
                  <w:rStyle w:val="InternetLink"/>
                  <w:rFonts w:ascii="Times New Roman;sans-serif" w:hAnsi="Times New Roman;sans-serif"/>
                  <w:b w:val="false"/>
                  <w:color w:val="0000FF"/>
                  <w:sz w:val="20"/>
                  <w:u w:val="single"/>
                </w:rPr>
                <w:t>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41">
              <w:r>
                <w:rPr>
                  <w:rStyle w:val="InternetLink"/>
                  <w:rFonts w:ascii="Times New Roman;sans-serif" w:hAnsi="Times New Roman;sans-serif"/>
                  <w:b w:val="false"/>
                  <w:color w:val="0000FF"/>
                  <w:sz w:val="20"/>
                  <w:u w:val="single"/>
                </w:rPr>
                <w:t>89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44">
              <w:r>
                <w:rPr>
                  <w:rStyle w:val="InternetLink"/>
                  <w:rFonts w:ascii="Times New Roman;sans-serif" w:hAnsi="Times New Roman;sans-serif"/>
                  <w:b w:val="false"/>
                  <w:color w:val="0000FF"/>
                  <w:sz w:val="20"/>
                  <w:u w:val="single"/>
                </w:rPr>
                <w:t>Item 3.</w:t>
              </w:r>
            </w:hyperlink>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44">
              <w:r>
                <w:rPr>
                  <w:rStyle w:val="InternetLink"/>
                  <w:rFonts w:ascii="Times New Roman;sans-serif" w:hAnsi="Times New Roman;sans-serif"/>
                  <w:b w:val="false"/>
                  <w:color w:val="0000FF"/>
                  <w:sz w:val="20"/>
                  <w:u w:val="single"/>
                </w:rPr>
                <w:t>DEFAULTS UPON SENIOR SECURITIES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44">
              <w:r>
                <w:rPr>
                  <w:rStyle w:val="InternetLink"/>
                  <w:rFonts w:ascii="Times New Roman;sans-serif" w:hAnsi="Times New Roman;sans-serif"/>
                  <w:b w:val="false"/>
                  <w:color w:val="0000FF"/>
                  <w:sz w:val="20"/>
                  <w:u w:val="single"/>
                </w:rPr>
                <w:t>89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47">
              <w:r>
                <w:rPr>
                  <w:rStyle w:val="InternetLink"/>
                  <w:rFonts w:ascii="Times New Roman;sans-serif" w:hAnsi="Times New Roman;sans-serif"/>
                  <w:b w:val="false"/>
                  <w:color w:val="0000FF"/>
                  <w:sz w:val="20"/>
                  <w:u w:val="single"/>
                </w:rPr>
                <w:t>Item 4.</w:t>
              </w:r>
            </w:hyperlink>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47">
              <w:r>
                <w:rPr>
                  <w:rStyle w:val="InternetLink"/>
                  <w:rFonts w:ascii="Times New Roman;sans-serif" w:hAnsi="Times New Roman;sans-serif"/>
                  <w:b w:val="false"/>
                  <w:color w:val="0000FF"/>
                  <w:sz w:val="20"/>
                  <w:u w:val="single"/>
                </w:rPr>
                <w:t>MINE SAFETY DISCLOSURES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47">
              <w:r>
                <w:rPr>
                  <w:rStyle w:val="InternetLink"/>
                  <w:rFonts w:ascii="Times New Roman;sans-serif" w:hAnsi="Times New Roman;sans-serif"/>
                  <w:b w:val="false"/>
                  <w:color w:val="0000FF"/>
                  <w:sz w:val="20"/>
                  <w:u w:val="single"/>
                </w:rPr>
                <w:t>89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50">
              <w:r>
                <w:rPr>
                  <w:rStyle w:val="InternetLink"/>
                  <w:rFonts w:ascii="Times New Roman;sans-serif" w:hAnsi="Times New Roman;sans-serif"/>
                  <w:b w:val="false"/>
                  <w:color w:val="0000FF"/>
                  <w:sz w:val="20"/>
                  <w:u w:val="single"/>
                </w:rPr>
                <w:t>Item 5.</w:t>
              </w:r>
            </w:hyperlink>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50">
              <w:r>
                <w:rPr>
                  <w:rStyle w:val="InternetLink"/>
                  <w:rFonts w:ascii="Times New Roman;sans-serif" w:hAnsi="Times New Roman;sans-serif"/>
                  <w:b w:val="false"/>
                  <w:color w:val="0000FF"/>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50">
              <w:r>
                <w:rPr>
                  <w:rStyle w:val="InternetLink"/>
                  <w:rFonts w:ascii="Times New Roman;sans-serif" w:hAnsi="Times New Roman;sans-serif"/>
                  <w:b w:val="false"/>
                  <w:color w:val="0000FF"/>
                  <w:sz w:val="20"/>
                  <w:u w:val="single"/>
                </w:rPr>
                <w:t>89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53">
              <w:r>
                <w:rPr>
                  <w:rStyle w:val="InternetLink"/>
                  <w:rFonts w:ascii="Times New Roman;sans-serif" w:hAnsi="Times New Roman;sans-serif"/>
                  <w:b w:val="false"/>
                  <w:color w:val="0000FF"/>
                  <w:sz w:val="20"/>
                  <w:u w:val="single"/>
                </w:rPr>
                <w:t>Item 6.</w:t>
              </w:r>
            </w:hyperlink>
          </w:p>
        </w:tc>
        <w:tc>
          <w:tcPr>
            <w:tcW w:w="902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53">
              <w:r>
                <w:rPr>
                  <w:rStyle w:val="InternetLink"/>
                  <w:rFonts w:ascii="Times New Roman;sans-serif" w:hAnsi="Times New Roman;sans-serif"/>
                  <w:b w:val="false"/>
                  <w:color w:val="0000FF"/>
                  <w:sz w:val="20"/>
                  <w:u w:val="single"/>
                </w:rPr>
                <w:t>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53">
              <w:r>
                <w:rPr>
                  <w:rStyle w:val="InternetLink"/>
                  <w:rFonts w:ascii="Times New Roman;sans-serif" w:hAnsi="Times New Roman;sans-serif"/>
                  <w:b w:val="false"/>
                  <w:color w:val="0000FF"/>
                  <w:sz w:val="20"/>
                  <w:u w:val="single"/>
                </w:rPr>
                <w:t>90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56">
              <w:r>
                <w:rPr>
                  <w:rStyle w:val="InternetLink"/>
                  <w:rFonts w:ascii="Times New Roman;sans-serif" w:hAnsi="Times New Roman;sans-serif"/>
                  <w:b w:val="false"/>
                  <w:color w:val="0000FF"/>
                  <w:sz w:val="20"/>
                  <w:u w:val="single"/>
                </w:rPr>
                <w:t>SIGNATURES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56">
              <w:r>
                <w:rPr>
                  <w:rStyle w:val="InternetLink"/>
                  <w:rFonts w:ascii="Times New Roman;sans-serif" w:hAnsi="Times New Roman;sans-serif"/>
                  <w:b w:val="false"/>
                  <w:color w:val="0000FF"/>
                  <w:sz w:val="20"/>
                  <w:u w:val="single"/>
                </w:rPr>
                <w:t>92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GLOSSARY</w:t>
      </w:r>
    </w:p>
    <w:p>
      <w:pPr>
        <w:pStyle w:val="TextBody"/>
        <w:bidi w:val="0"/>
        <w:spacing w:lineRule="auto" w:line="288" w:before="2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use acronyms, abbreviations, and other terms throughout this Quarterly Report, as defined in the glossary below:</w:t>
      </w:r>
    </w:p>
    <w:tbl>
      <w:tblPr>
        <w:tblW w:w="10205" w:type="dxa"/>
        <w:jc w:val="left"/>
        <w:tblInd w:w="0" w:type="dxa"/>
        <w:tblLayout w:type="fixed"/>
        <w:tblCellMar>
          <w:top w:w="28" w:type="dxa"/>
          <w:left w:w="28" w:type="dxa"/>
          <w:bottom w:w="28" w:type="dxa"/>
          <w:right w:w="28" w:type="dxa"/>
        </w:tblCellMar>
      </w:tblPr>
      <w:tblGrid>
        <w:gridCol w:w="804"/>
        <w:gridCol w:w="390"/>
        <w:gridCol w:w="398"/>
        <w:gridCol w:w="109"/>
        <w:gridCol w:w="109"/>
        <w:gridCol w:w="109"/>
        <w:gridCol w:w="2848"/>
        <w:gridCol w:w="2246"/>
        <w:gridCol w:w="3192"/>
      </w:tblGrid>
      <w:tr>
        <w:trPr/>
        <w:tc>
          <w:tcPr>
            <w:tcW w:w="80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3192" w:type="dxa"/>
            <w:tcBorders/>
            <w:vAlign w:val="center"/>
          </w:tcPr>
          <w:p>
            <w:pPr>
              <w:pStyle w:val="TableContents"/>
              <w:bidi w:val="0"/>
              <w:spacing w:before="0" w:after="283"/>
              <w:jc w:val="left"/>
              <w:rPr>
                <w:sz w:val="4"/>
                <w:szCs w:val="4"/>
              </w:rPr>
            </w:pPr>
            <w:r>
              <w:rPr>
                <w:sz w:val="4"/>
                <w:szCs w:val="4"/>
              </w:rPr>
            </w:r>
          </w:p>
        </w:tc>
      </w:tr>
      <w:tr>
        <w:trPr/>
        <w:tc>
          <w:tcPr>
            <w:tcW w:w="1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Definition</w:t>
            </w:r>
          </w:p>
        </w:tc>
      </w:tr>
      <w:tr>
        <w:trPr/>
        <w:tc>
          <w:tcPr>
            <w:tcW w:w="1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Equity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Busey's 2020 Equity Incentive Plan</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2020 Equity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Busey's Amended 2020 Equity Incentive Plan</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Annual report filed with the SEC on Form 10-K pursuant to Section 13 or 15(d) of the Exchange Act</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Basel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2010 capital accord adopted by the international Basel Committee on Banking Supervision</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Basel III Rule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promulgated by U.S. federal banking agencies – the OCC, the Federal Reserve, and the FDIC – to both enforce implementation of certain aspects of the Basel III capital reforms and effect certain changes required by the Dodd-Frank Wall Street Reform and Consumer Protection Act</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basis points</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Cummins-American Corp.</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ASU 2016-13, codified as ASC Topic 326 “Financial Instruments-Credit Losses,” which established the Current Expected Credit Losses methodology for measuring credit losses on financial instruments</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Coronavirus disease 2019</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stock unit</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price that would be received to sell an asset, or paid to transfer a liability, in an orderly transaction between market participants at the measurement date, as defined in ASC Topic 820 “Fair Value Measurement”</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Deposit Insurance Corporation</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Board of Governors of the Federal Reserve System</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Home Loan Bank</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Corporation, together with its wholly-owned consolidated subsidiaries; also, “Busey,” the “Company,” “we,” “us,” and “our”</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 Risk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Risk Management, Inc.</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FirsTech, Inc.</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FOMC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Open Market Committee</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Generally Accepted Accounting Principles</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National Association of Securities Dealers Automated Quotations</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Markets Tax Credit</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r>
      <w:tr>
        <w:trPr/>
        <w:tc>
          <w:tcPr>
            <w:tcW w:w="1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Purchased credit deteriorated</w:t>
            </w:r>
          </w:p>
        </w:tc>
      </w:tr>
      <w:tr>
        <w:trPr/>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6" w:type="dxa"/>
            <w:gridSpan w:val="3"/>
            <w:tcBorders/>
            <w:vAlign w:val="center"/>
          </w:tcPr>
          <w:p>
            <w:pPr>
              <w:pStyle w:val="TableContents"/>
              <w:bidi w:val="0"/>
              <w:spacing w:before="0" w:after="283"/>
              <w:jc w:val="left"/>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Paycheck Protection Program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35"/>
        <w:gridCol w:w="468"/>
        <w:gridCol w:w="478"/>
        <w:gridCol w:w="109"/>
        <w:gridCol w:w="109"/>
        <w:gridCol w:w="109"/>
        <w:gridCol w:w="2455"/>
        <w:gridCol w:w="2455"/>
        <w:gridCol w:w="3487"/>
      </w:tblGrid>
      <w:tr>
        <w:trPr/>
        <w:tc>
          <w:tcPr>
            <w:tcW w:w="53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487"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Definition</w:t>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w:t>
            </w:r>
          </w:p>
        </w:tc>
      </w:tr>
      <w:tr>
        <w:trPr/>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7" w:type="dxa"/>
            <w:gridSpan w:val="3"/>
            <w:tcBorders/>
            <w:vAlign w:val="center"/>
          </w:tcPr>
          <w:p>
            <w:pPr>
              <w:pStyle w:val="TableContents"/>
              <w:bidi w:val="0"/>
              <w:spacing w:before="0" w:after="283"/>
              <w:jc w:val="left"/>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Quarterly report filed with the SEC on Form 10-Q pursuant to Section 13 or 15(d) of the Exchange Act</w:t>
            </w:r>
          </w:p>
        </w:tc>
      </w:tr>
      <w:tr>
        <w:trPr/>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7" w:type="dxa"/>
            <w:gridSpan w:val="3"/>
            <w:tcBorders/>
            <w:vAlign w:val="center"/>
          </w:tcPr>
          <w:p>
            <w:pPr>
              <w:pStyle w:val="TableContents"/>
              <w:bidi w:val="0"/>
              <w:spacing w:before="0" w:after="283"/>
              <w:jc w:val="left"/>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w:t>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Small Business Administration</w:t>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r>
      <w:tr>
        <w:trPr/>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7" w:type="dxa"/>
            <w:gridSpan w:val="3"/>
            <w:tcBorders/>
            <w:vAlign w:val="center"/>
          </w:tcPr>
          <w:p>
            <w:pPr>
              <w:pStyle w:val="TableContents"/>
              <w:bidi w:val="0"/>
              <w:spacing w:before="0" w:after="283"/>
              <w:jc w:val="left"/>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 published by the Federal Reserve</w:t>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TDR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Troubled debt restructuring</w:t>
            </w:r>
          </w:p>
        </w:tc>
      </w:tr>
      <w:tr>
        <w:trPr/>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7" w:type="dxa"/>
            <w:gridSpan w:val="3"/>
            <w:tcBorders/>
            <w:vAlign w:val="center"/>
          </w:tcPr>
          <w:p>
            <w:pPr>
              <w:pStyle w:val="TableContents"/>
              <w:bidi w:val="0"/>
              <w:spacing w:before="0" w:after="283"/>
              <w:jc w:val="left"/>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Department of the Treasury</w:t>
            </w:r>
          </w:p>
        </w:tc>
      </w:tr>
      <w:tr>
        <w:trPr/>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5" name="Frame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00" w:after="12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extBody"/>
        <w:bidi w:val="0"/>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bl>
      <w:tblPr>
        <w:tblW w:w="9578" w:type="dxa"/>
        <w:jc w:val="left"/>
        <w:tblInd w:w="0" w:type="dxa"/>
        <w:tblLayout w:type="fixed"/>
        <w:tblCellMar>
          <w:top w:w="28" w:type="dxa"/>
          <w:left w:w="28" w:type="dxa"/>
          <w:bottom w:w="28" w:type="dxa"/>
          <w:right w:w="28" w:type="dxa"/>
        </w:tblCellMar>
      </w:tblPr>
      <w:tblGrid>
        <w:gridCol w:w="2408"/>
        <w:gridCol w:w="2120"/>
        <w:gridCol w:w="2146"/>
        <w:gridCol w:w="196"/>
        <w:gridCol w:w="961"/>
        <w:gridCol w:w="109"/>
        <w:gridCol w:w="109"/>
        <w:gridCol w:w="109"/>
        <w:gridCol w:w="109"/>
        <w:gridCol w:w="196"/>
        <w:gridCol w:w="961"/>
        <w:gridCol w:w="154"/>
      </w:tblGrid>
      <w:tr>
        <w:trPr/>
        <w:tc>
          <w:tcPr>
            <w:tcW w:w="2408"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6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and cash equivalents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securities available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2,461,393 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securities held to maturity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sale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Portfolio loans (net of ACL of $91,639 at June 30, 2023, and $91,608 at December 31, 2022)</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7,634,094 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 of 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surrender value of bank owned life insurance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12,209,029 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12,336,677 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Noninterest-bearing</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3,393,666 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6,677,614 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deposits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10,062,755 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10,071,280 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sold under agreements to repurchase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Subordinated notes, net of unamortized issuance costs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Junior subordinated debt owed to unconsolidated trusts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11,007,081 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11,190,700 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 xml:space="preserve">Outstanding commitments and contingent liabilities (see Notes </w:t>
            </w:r>
            <w:hyperlink w:anchor="i849a9726bda94af39d169d43c61a0228_70">
              <w:r>
                <w:rPr>
                  <w:rStyle w:val="InternetLink"/>
                  <w:rFonts w:ascii="Times New Roman;sans-serif" w:hAnsi="Times New Roman;sans-serif"/>
                  <w:b w:val="false"/>
                  <w:color w:val="0000FF"/>
                  <w:sz w:val="16"/>
                  <w:u w:val="single"/>
                </w:rPr>
                <w:t>4</w:t>
              </w:r>
            </w:hyperlink>
            <w:r>
              <w:rPr>
                <w:color w:val="000000"/>
              </w:rPr>
              <w:t xml:space="preserve"> </w:t>
            </w:r>
            <w:r>
              <w:rPr>
                <w:rFonts w:ascii="Times New Roman;sans-serif" w:hAnsi="Times New Roman;sans-serif"/>
                <w:b w:val="false"/>
                <w:color w:val="000000"/>
                <w:sz w:val="16"/>
              </w:rPr>
              <w:t xml:space="preserve">and </w:t>
            </w:r>
            <w:hyperlink w:anchor="i849a9726bda94af39d169d43c61a0228_85">
              <w:r>
                <w:rPr>
                  <w:rStyle w:val="InternetLink"/>
                  <w:rFonts w:ascii="Times New Roman;sans-serif" w:hAnsi="Times New Roman;sans-serif"/>
                  <w:b w:val="false"/>
                  <w:color w:val="0000FF"/>
                  <w:sz w:val="16"/>
                  <w:u w:val="single"/>
                </w:rPr>
                <w:t>9</w:t>
              </w:r>
            </w:hyperlink>
            <w:r>
              <w:rPr>
                <w:rFonts w:ascii="Times New Roman;sans-serif" w:hAnsi="Times New Roman;sans-serif"/>
                <w:b w:val="false"/>
                <w:color w:val="000000"/>
                <w:sz w:val="16"/>
              </w:rPr>
              <w: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 100,000,000 shares authorized)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 before treasury stock</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12,209,029 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12,336,677 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Shares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issued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58,116,969 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58,116,970 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Treasury shares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(2,826,122)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(2,837,846)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outstanding</w:t>
            </w:r>
          </w:p>
        </w:tc>
        <w:tc>
          <w:tcPr>
            <w:tcW w:w="11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55,290,847 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55,279,124 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pPr>
      <w:r>
        <w:rPr>
          <w:rFonts w:ascii="Times New Roman;sans-serif" w:hAnsi="Times New Roman;sans-serif"/>
          <w:b w:val="false"/>
          <w:color w:val="000000"/>
          <w:sz w:val="20"/>
        </w:rPr>
        <w:t xml:space="preserve">See accompanying </w:t>
      </w:r>
      <w:hyperlink w:anchor="i849a9726bda94af39d169d43c61a0228_43">
        <w:r>
          <w:rPr>
            <w:rStyle w:val="InternetLink"/>
          </w:rPr>
          <w:t>N</w:t>
        </w:r>
      </w:hyperlink>
      <w:hyperlink w:anchor="i849a9726bda94af39d169d43c61a0228_43">
        <w:r>
          <w:rPr>
            <w:rStyle w:val="InternetLink"/>
          </w:rPr>
          <w:t xml:space="preserve">otes to </w:t>
        </w:r>
      </w:hyperlink>
      <w:hyperlink w:anchor="i849a9726bda94af39d169d43c61a0228_43">
        <w:r>
          <w:rPr>
            <w:rStyle w:val="InternetLink"/>
          </w:rPr>
          <w:t>C</w:t>
        </w:r>
      </w:hyperlink>
      <w:hyperlink w:anchor="i849a9726bda94af39d169d43c61a0228_43">
        <w:r>
          <w:rPr>
            <w:rStyle w:val="InternetLink"/>
          </w:rPr>
          <w:t xml:space="preserve">onsolidated </w:t>
        </w:r>
      </w:hyperlink>
      <w:hyperlink w:anchor="i849a9726bda94af39d169d43c61a0228_43">
        <w:r>
          <w:rPr>
            <w:rStyle w:val="InternetLink"/>
          </w:rPr>
          <w:t>F</w:t>
        </w:r>
      </w:hyperlink>
      <w:hyperlink w:anchor="i849a9726bda94af39d169d43c61a0228_43">
        <w:r>
          <w:rPr>
            <w:rStyle w:val="InternetLink"/>
          </w:rPr>
          <w:t xml:space="preserve">inancial </w:t>
        </w:r>
      </w:hyperlink>
      <w:hyperlink w:anchor="i849a9726bda94af39d169d43c61a0228_43">
        <w:r>
          <w:rPr>
            <w:rStyle w:val="InternetLink"/>
          </w:rPr>
          <w:t>S</w:t>
        </w:r>
      </w:hyperlink>
      <w:hyperlink w:anchor="i849a9726bda94af39d169d43c61a0228_43">
        <w:r>
          <w:rPr>
            <w:rStyle w:val="InternetLink"/>
          </w:rPr>
          <w:t>tatements</w:t>
        </w:r>
      </w:hyperlink>
      <w:hyperlink w:anchor="i849a9726bda94af39d169d43c61a0228_43">
        <w:r>
          <w:rPr>
            <w:rStyle w:val="InternetLink"/>
          </w:rPr>
          <w:t xml:space="preserve"> (Unaudited)</w:t>
        </w:r>
      </w:hyperlink>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(Unaudited)</w:t>
      </w:r>
    </w:p>
    <w:p>
      <w:pPr>
        <w:pStyle w:val="TextBody"/>
        <w:bidi w:val="0"/>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 except per share amounts)</w:t>
      </w:r>
    </w:p>
    <w:tbl>
      <w:tblPr>
        <w:tblW w:w="10205" w:type="dxa"/>
        <w:jc w:val="left"/>
        <w:tblInd w:w="0" w:type="dxa"/>
        <w:tblLayout w:type="fixed"/>
        <w:tblCellMar>
          <w:top w:w="28" w:type="dxa"/>
          <w:left w:w="28" w:type="dxa"/>
          <w:bottom w:w="28" w:type="dxa"/>
          <w:right w:w="28" w:type="dxa"/>
        </w:tblCellMar>
      </w:tblPr>
      <w:tblGrid>
        <w:gridCol w:w="1888"/>
        <w:gridCol w:w="1633"/>
        <w:gridCol w:w="1643"/>
        <w:gridCol w:w="198"/>
        <w:gridCol w:w="655"/>
        <w:gridCol w:w="109"/>
        <w:gridCol w:w="109"/>
        <w:gridCol w:w="109"/>
        <w:gridCol w:w="109"/>
        <w:gridCol w:w="198"/>
        <w:gridCol w:w="655"/>
        <w:gridCol w:w="109"/>
        <w:gridCol w:w="109"/>
        <w:gridCol w:w="109"/>
        <w:gridCol w:w="109"/>
        <w:gridCol w:w="196"/>
        <w:gridCol w:w="736"/>
        <w:gridCol w:w="109"/>
        <w:gridCol w:w="109"/>
        <w:gridCol w:w="109"/>
        <w:gridCol w:w="109"/>
        <w:gridCol w:w="196"/>
        <w:gridCol w:w="736"/>
        <w:gridCol w:w="163"/>
      </w:tblGrid>
      <w:tr>
        <w:trPr/>
        <w:tc>
          <w:tcPr>
            <w:tcW w:w="188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Interest income</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fees on loans</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and dividends on investment securities:</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Taxable interest income</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Non-taxable interest income</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interest income</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 income</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158,687 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Interest expense</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 funds purchased and securities sold under agreements to repurchase</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notes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Subordinated notes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Junior subordinated debt owed to unconsolidated trusts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 expense</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income</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145,984 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income after provision for credit losses</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144,584 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Noninterest income</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Wealth management fees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Fees for customer services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technology solutions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revenue</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on bank owned life insurance</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Realized net gains (losses) on securities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net gains (losses) recognized on equity securities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noninterest income</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66,791 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Noninterest expense</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Salaries, wages, and employee benefits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77,464 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Data processing</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occupancy expense of premises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Furniture and equipment expenses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fees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Interchange expense</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FDIC insurance</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23,455 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noninterest expense</w:t>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139,468 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58,263 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Basic earnings per common share</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Diluted earnings per common share</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Dividends declared per share of common stock</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pPr>
      <w:r>
        <w:rPr>
          <w:rFonts w:ascii="Times New Roman;sans-serif" w:hAnsi="Times New Roman;sans-serif"/>
          <w:b w:val="false"/>
          <w:color w:val="000000"/>
          <w:sz w:val="20"/>
        </w:rPr>
        <w:t xml:space="preserve">See accompanying </w:t>
      </w:r>
      <w:hyperlink w:anchor="i849a9726bda94af39d169d43c61a0228_43">
        <w:r>
          <w:rPr>
            <w:rStyle w:val="InternetLink"/>
            <w:rFonts w:ascii="Times New Roman;sans-serif" w:hAnsi="Times New Roman;sans-serif"/>
            <w:b w:val="false"/>
            <w:color w:val="0000FF"/>
            <w:sz w:val="20"/>
            <w:u w:val="single"/>
          </w:rPr>
          <w:t>Notes to Consolidated Financial Statements (Unaudited)</w:t>
        </w:r>
      </w:hyperlink>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(Unaudited)</w:t>
      </w:r>
    </w:p>
    <w:p>
      <w:pPr>
        <w:pStyle w:val="TextBody"/>
        <w:bidi w:val="0"/>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bl>
      <w:tblPr>
        <w:tblW w:w="10205" w:type="dxa"/>
        <w:jc w:val="left"/>
        <w:tblInd w:w="0" w:type="dxa"/>
        <w:tblLayout w:type="fixed"/>
        <w:tblCellMar>
          <w:top w:w="28" w:type="dxa"/>
          <w:left w:w="28" w:type="dxa"/>
          <w:bottom w:w="28" w:type="dxa"/>
          <w:right w:w="28" w:type="dxa"/>
        </w:tblCellMar>
      </w:tblPr>
      <w:tblGrid>
        <w:gridCol w:w="1918"/>
        <w:gridCol w:w="1640"/>
        <w:gridCol w:w="1650"/>
        <w:gridCol w:w="196"/>
        <w:gridCol w:w="646"/>
        <w:gridCol w:w="109"/>
        <w:gridCol w:w="109"/>
        <w:gridCol w:w="109"/>
        <w:gridCol w:w="109"/>
        <w:gridCol w:w="196"/>
        <w:gridCol w:w="683"/>
        <w:gridCol w:w="109"/>
        <w:gridCol w:w="109"/>
        <w:gridCol w:w="109"/>
        <w:gridCol w:w="109"/>
        <w:gridCol w:w="196"/>
        <w:gridCol w:w="646"/>
        <w:gridCol w:w="109"/>
        <w:gridCol w:w="109"/>
        <w:gridCol w:w="109"/>
        <w:gridCol w:w="109"/>
        <w:gridCol w:w="196"/>
        <w:gridCol w:w="773"/>
        <w:gridCol w:w="157"/>
      </w:tblGrid>
      <w:tr>
        <w:trPr/>
        <w:tc>
          <w:tcPr>
            <w:tcW w:w="191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OCI: </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Unrealized/Unrecognized gains (losses) on debt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holding gains (losses) on debt securities available for sale, net of taxes of $4,731, $27,162, $(4,018), and $56,888,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(142,682)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gains (losses) on debt securities transferred to held to maturity from available for sale, net of taxes of $0, $0, $0, and $13,812,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(34,644)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(gains) losses on debt securities available for sale included in net income, net of taxes of $(51), $(1), $(50), and $29,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unrecognized losses on securities transferred to held to maturity, net of taxes of $(443), $(629), $(926), and $(881),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unrealized/unrecognized gains (losses) on debt securities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(175,190)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(losses) on cash flow hedges: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holding gains (losses) on cash flow hedges, net of taxes of $2,406, $2,612, $1,192, and $4,543,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adjustment for realized (gains) losses on cash flow hedges included in net income, net of taxes of $(608), $160, $(1,124), and $303,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unrealized gains (losses) on cash flow hedges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AOCI</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(187,349)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(129,086)</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pPr>
      <w:r>
        <w:rPr>
          <w:rFonts w:ascii="Times New Roman;sans-serif" w:hAnsi="Times New Roman;sans-serif"/>
          <w:b w:val="false"/>
          <w:color w:val="000000"/>
          <w:sz w:val="20"/>
        </w:rPr>
        <w:t xml:space="preserve">See accompanying </w:t>
      </w:r>
      <w:hyperlink w:anchor="i849a9726bda94af39d169d43c61a0228_43">
        <w:r>
          <w:rPr>
            <w:rStyle w:val="InternetLink"/>
            <w:rFonts w:ascii="Times New Roman;sans-serif" w:hAnsi="Times New Roman;sans-serif"/>
            <w:b w:val="false"/>
            <w:color w:val="0000FF"/>
            <w:sz w:val="20"/>
            <w:u w:val="single"/>
          </w:rPr>
          <w:t>Notes to Consolidated Financial Statements (Unaudited)</w:t>
        </w:r>
      </w:hyperlink>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(Unaudited)</w:t>
      </w:r>
    </w:p>
    <w:p>
      <w:pPr>
        <w:pStyle w:val="TextBody"/>
        <w:bidi w:val="0"/>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 except per share amounts)</w:t>
      </w:r>
    </w:p>
    <w:tbl>
      <w:tblPr>
        <w:tblW w:w="10205" w:type="dxa"/>
        <w:jc w:val="left"/>
        <w:tblInd w:w="0" w:type="dxa"/>
        <w:tblLayout w:type="fixed"/>
        <w:tblCellMar>
          <w:top w:w="28" w:type="dxa"/>
          <w:left w:w="28" w:type="dxa"/>
          <w:bottom w:w="28" w:type="dxa"/>
          <w:right w:w="28" w:type="dxa"/>
        </w:tblCellMar>
      </w:tblPr>
      <w:tblGrid>
        <w:gridCol w:w="616"/>
        <w:gridCol w:w="240"/>
        <w:gridCol w:w="242"/>
        <w:gridCol w:w="304"/>
        <w:gridCol w:w="304"/>
        <w:gridCol w:w="308"/>
        <w:gridCol w:w="109"/>
        <w:gridCol w:w="109"/>
        <w:gridCol w:w="109"/>
        <w:gridCol w:w="236"/>
        <w:gridCol w:w="398"/>
        <w:gridCol w:w="132"/>
        <w:gridCol w:w="109"/>
        <w:gridCol w:w="109"/>
        <w:gridCol w:w="109"/>
        <w:gridCol w:w="196"/>
        <w:gridCol w:w="871"/>
        <w:gridCol w:w="109"/>
        <w:gridCol w:w="109"/>
        <w:gridCol w:w="109"/>
        <w:gridCol w:w="109"/>
        <w:gridCol w:w="196"/>
        <w:gridCol w:w="736"/>
        <w:gridCol w:w="109"/>
        <w:gridCol w:w="109"/>
        <w:gridCol w:w="109"/>
        <w:gridCol w:w="109"/>
        <w:gridCol w:w="196"/>
        <w:gridCol w:w="751"/>
        <w:gridCol w:w="109"/>
        <w:gridCol w:w="109"/>
        <w:gridCol w:w="109"/>
        <w:gridCol w:w="109"/>
        <w:gridCol w:w="196"/>
        <w:gridCol w:w="661"/>
        <w:gridCol w:w="109"/>
        <w:gridCol w:w="109"/>
        <w:gridCol w:w="109"/>
        <w:gridCol w:w="109"/>
        <w:gridCol w:w="196"/>
        <w:gridCol w:w="871"/>
        <w:gridCol w:w="157"/>
      </w:tblGrid>
      <w:tr>
        <w:trPr/>
        <w:tc>
          <w:tcPr>
            <w:tcW w:w="6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55,294,455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1,198,558 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29,364</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net of tax</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(15,137)</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stock</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for ESPP</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treasury stock for RSU/PSU/DSU vesting and related tax</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09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09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on common stock at $0.24 per share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(13,271)</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dividend equivalents on RSUs/PSUs/DSUs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2,656</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55,290,847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(260,921)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1,201,948 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
        <w:gridCol w:w="240"/>
        <w:gridCol w:w="242"/>
        <w:gridCol w:w="304"/>
        <w:gridCol w:w="304"/>
        <w:gridCol w:w="308"/>
        <w:gridCol w:w="109"/>
        <w:gridCol w:w="109"/>
        <w:gridCol w:w="109"/>
        <w:gridCol w:w="236"/>
        <w:gridCol w:w="398"/>
        <w:gridCol w:w="132"/>
        <w:gridCol w:w="109"/>
        <w:gridCol w:w="109"/>
        <w:gridCol w:w="109"/>
        <w:gridCol w:w="196"/>
        <w:gridCol w:w="871"/>
        <w:gridCol w:w="109"/>
        <w:gridCol w:w="109"/>
        <w:gridCol w:w="109"/>
        <w:gridCol w:w="109"/>
        <w:gridCol w:w="196"/>
        <w:gridCol w:w="736"/>
        <w:gridCol w:w="109"/>
        <w:gridCol w:w="109"/>
        <w:gridCol w:w="109"/>
        <w:gridCol w:w="109"/>
        <w:gridCol w:w="196"/>
        <w:gridCol w:w="751"/>
        <w:gridCol w:w="109"/>
        <w:gridCol w:w="109"/>
        <w:gridCol w:w="109"/>
        <w:gridCol w:w="109"/>
        <w:gridCol w:w="196"/>
        <w:gridCol w:w="661"/>
        <w:gridCol w:w="109"/>
        <w:gridCol w:w="109"/>
        <w:gridCol w:w="109"/>
        <w:gridCol w:w="109"/>
        <w:gridCol w:w="196"/>
        <w:gridCol w:w="871"/>
        <w:gridCol w:w="157"/>
      </w:tblGrid>
      <w:tr>
        <w:trPr/>
        <w:tc>
          <w:tcPr>
            <w:tcW w:w="6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55,279,124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(273,278)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1,145,977 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66,150</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net of tax</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12,357</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stock</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for ESPP</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treasury stock for RSU/PSU/DSU vesting and related tax</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r>
      <w:tr>
        <w:trPr/>
        <w:tc>
          <w:tcPr>
            <w:tcW w:w="109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treasury stock for warrants exercised</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on common stock at $0.48 per share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(26,539)</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dividend equivalents on RSUs/PSUs/DSUs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4,325</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55,290,847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(260,921)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1,201,948 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03580"/>
                <wp:effectExtent l="0" t="0" r="0" b="0"/>
                <wp:wrapNone/>
                <wp:docPr id="9" name="Frame9"/>
                <a:graphic xmlns:a="http://schemas.openxmlformats.org/drawingml/2006/main">
                  <a:graphicData uri="http://schemas.microsoft.com/office/word/2010/wordprocessingShape">
                    <wps:wsp>
                      <wps:cNvSpPr txBox="1"/>
                      <wps:spPr>
                        <a:xfrm>
                          <a:off x="0" y="0"/>
                          <a:ext cx="6480175" cy="70358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(continued)</w:t>
                            </w:r>
                          </w:p>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(continued)</w:t>
                      </w:r>
                    </w:p>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(Unaudited) (Continued)</w:t>
      </w:r>
    </w:p>
    <w:p>
      <w:pPr>
        <w:pStyle w:val="TextBody"/>
        <w:bidi w:val="0"/>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 except per share amounts)</w:t>
      </w:r>
    </w:p>
    <w:tbl>
      <w:tblPr>
        <w:tblW w:w="10205" w:type="dxa"/>
        <w:jc w:val="left"/>
        <w:tblInd w:w="0" w:type="dxa"/>
        <w:tblLayout w:type="fixed"/>
        <w:tblCellMar>
          <w:top w:w="28" w:type="dxa"/>
          <w:left w:w="28" w:type="dxa"/>
          <w:bottom w:w="28" w:type="dxa"/>
          <w:right w:w="28" w:type="dxa"/>
        </w:tblCellMar>
      </w:tblPr>
      <w:tblGrid>
        <w:gridCol w:w="616"/>
        <w:gridCol w:w="240"/>
        <w:gridCol w:w="242"/>
        <w:gridCol w:w="304"/>
        <w:gridCol w:w="304"/>
        <w:gridCol w:w="308"/>
        <w:gridCol w:w="109"/>
        <w:gridCol w:w="109"/>
        <w:gridCol w:w="109"/>
        <w:gridCol w:w="236"/>
        <w:gridCol w:w="398"/>
        <w:gridCol w:w="132"/>
        <w:gridCol w:w="109"/>
        <w:gridCol w:w="109"/>
        <w:gridCol w:w="109"/>
        <w:gridCol w:w="196"/>
        <w:gridCol w:w="871"/>
        <w:gridCol w:w="109"/>
        <w:gridCol w:w="109"/>
        <w:gridCol w:w="109"/>
        <w:gridCol w:w="109"/>
        <w:gridCol w:w="196"/>
        <w:gridCol w:w="736"/>
        <w:gridCol w:w="109"/>
        <w:gridCol w:w="109"/>
        <w:gridCol w:w="109"/>
        <w:gridCol w:w="109"/>
        <w:gridCol w:w="196"/>
        <w:gridCol w:w="751"/>
        <w:gridCol w:w="109"/>
        <w:gridCol w:w="109"/>
        <w:gridCol w:w="109"/>
        <w:gridCol w:w="109"/>
        <w:gridCol w:w="196"/>
        <w:gridCol w:w="661"/>
        <w:gridCol w:w="109"/>
        <w:gridCol w:w="109"/>
        <w:gridCol w:w="109"/>
        <w:gridCol w:w="109"/>
        <w:gridCol w:w="196"/>
        <w:gridCol w:w="871"/>
        <w:gridCol w:w="157"/>
      </w:tblGrid>
      <w:tr>
        <w:trPr/>
        <w:tc>
          <w:tcPr>
            <w:tcW w:w="6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55,278,785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1,218,025 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29,824</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net of tax</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(73,502)</w:t>
            </w:r>
          </w:p>
        </w:tc>
      </w:tr>
      <w:tr>
        <w:trPr/>
        <w:tc>
          <w:tcPr>
            <w:tcW w:w="109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stock</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(1,604)</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for ESPP</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treasury stock for RSU/DSU vesting and related tax</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on common stock at $0.23 per share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(12,713)</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Stock dividend equivalents on RSUs/DSUs at $0.23 per share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2,336</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55,335,703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1,161,957 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
        <w:gridCol w:w="240"/>
        <w:gridCol w:w="242"/>
        <w:gridCol w:w="304"/>
        <w:gridCol w:w="304"/>
        <w:gridCol w:w="308"/>
        <w:gridCol w:w="109"/>
        <w:gridCol w:w="109"/>
        <w:gridCol w:w="109"/>
        <w:gridCol w:w="236"/>
        <w:gridCol w:w="398"/>
        <w:gridCol w:w="132"/>
        <w:gridCol w:w="109"/>
        <w:gridCol w:w="109"/>
        <w:gridCol w:w="109"/>
        <w:gridCol w:w="196"/>
        <w:gridCol w:w="871"/>
        <w:gridCol w:w="109"/>
        <w:gridCol w:w="109"/>
        <w:gridCol w:w="109"/>
        <w:gridCol w:w="109"/>
        <w:gridCol w:w="196"/>
        <w:gridCol w:w="736"/>
        <w:gridCol w:w="109"/>
        <w:gridCol w:w="109"/>
        <w:gridCol w:w="109"/>
        <w:gridCol w:w="109"/>
        <w:gridCol w:w="196"/>
        <w:gridCol w:w="751"/>
        <w:gridCol w:w="109"/>
        <w:gridCol w:w="109"/>
        <w:gridCol w:w="109"/>
        <w:gridCol w:w="109"/>
        <w:gridCol w:w="196"/>
        <w:gridCol w:w="661"/>
        <w:gridCol w:w="109"/>
        <w:gridCol w:w="109"/>
        <w:gridCol w:w="109"/>
        <w:gridCol w:w="109"/>
        <w:gridCol w:w="196"/>
        <w:gridCol w:w="871"/>
        <w:gridCol w:w="157"/>
      </w:tblGrid>
      <w:tr>
        <w:trPr/>
        <w:tc>
          <w:tcPr>
            <w:tcW w:w="6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7"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55,434,910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1,319,112 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58,263</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net of tax</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(187,349)</w:t>
            </w:r>
          </w:p>
        </w:tc>
      </w:tr>
      <w:tr>
        <w:trPr/>
        <w:tc>
          <w:tcPr>
            <w:tcW w:w="109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stock</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(6,824)</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for ESPP</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treasury stock for RSU/DSU vesting and related tax</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on common stock at $0.46 per share</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(25,452)</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Stock dividend equivalents on RSUs/DSUs at $0.46 per share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0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4,245</w:t>
            </w:r>
          </w:p>
        </w:tc>
      </w:tr>
      <w:tr>
        <w:trPr/>
        <w:tc>
          <w:tcPr>
            <w:tcW w:w="10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55,335,703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124,685 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1,161,957 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pPr>
      <w:r>
        <w:rPr>
          <w:rFonts w:ascii="Times New Roman;sans-serif" w:hAnsi="Times New Roman;sans-serif"/>
          <w:b w:val="false"/>
          <w:color w:val="000000"/>
          <w:sz w:val="20"/>
        </w:rPr>
        <w:t xml:space="preserve">See accompanying </w:t>
      </w:r>
      <w:hyperlink w:anchor="i849a9726bda94af39d169d43c61a0228_43">
        <w:r>
          <w:rPr>
            <w:rStyle w:val="InternetLink"/>
            <w:rFonts w:ascii="Times New Roman;sans-serif" w:hAnsi="Times New Roman;sans-serif"/>
            <w:b w:val="false"/>
            <w:color w:val="0000FF"/>
            <w:sz w:val="20"/>
            <w:u w:val="single"/>
          </w:rPr>
          <w:t>Notes to Consolidated Financial Statements (Unaudited)</w:t>
        </w:r>
      </w:hyperlink>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10"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p>
      <w:pPr>
        <w:pStyle w:val="TextBody"/>
        <w:bidi w:val="0"/>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bl>
      <w:tblPr>
        <w:tblW w:w="8873" w:type="dxa"/>
        <w:jc w:val="left"/>
        <w:tblInd w:w="0" w:type="dxa"/>
        <w:tblLayout w:type="fixed"/>
        <w:tblCellMar>
          <w:top w:w="28" w:type="dxa"/>
          <w:left w:w="28" w:type="dxa"/>
          <w:bottom w:w="28" w:type="dxa"/>
          <w:right w:w="28" w:type="dxa"/>
        </w:tblCellMar>
      </w:tblPr>
      <w:tblGrid>
        <w:gridCol w:w="2387"/>
        <w:gridCol w:w="2101"/>
        <w:gridCol w:w="2111"/>
        <w:gridCol w:w="196"/>
        <w:gridCol w:w="646"/>
        <w:gridCol w:w="109"/>
        <w:gridCol w:w="109"/>
        <w:gridCol w:w="109"/>
        <w:gridCol w:w="109"/>
        <w:gridCol w:w="196"/>
        <w:gridCol w:w="646"/>
        <w:gridCol w:w="154"/>
      </w:tblGrid>
      <w:tr>
        <w:trPr/>
        <w:tc>
          <w:tcPr>
            <w:tcW w:w="2387"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in)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mortgage servicing rights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NMTC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of premises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 (accretion) on portfolio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 (accretion) of premium (discount) on investment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 (accretion) of premium (discount) on time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amortization (accretion) of premium (discount) on FHLB advances and other borrowings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OREO and other repossessed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fixed assets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mortgage servicing rights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leases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losses recognized on equity securities,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sales of equity securities,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sales of debt securities,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sales of loans,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sales of OREO</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sales of premises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on life insurance proceeds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surrender value of bank owned life insurance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deferred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 originated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mortgage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in)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equity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debt securities available for sale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(279,831)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equity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paydowns and maturities of debt securities held to maturity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paydowns and maturities of debt securities available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FHLB and other bank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redemption of FHLB and other bank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(310,582)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premiums on bank-owned life insurance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life insurance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premises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disposition of premises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OREO</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128,227 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(279,409)</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03580"/>
                <wp:effectExtent l="0" t="0" r="0" b="0"/>
                <wp:wrapNone/>
                <wp:docPr id="11" name="Frame11"/>
                <a:graphic xmlns:a="http://schemas.openxmlformats.org/drawingml/2006/main">
                  <a:graphicData uri="http://schemas.microsoft.com/office/word/2010/wordprocessingShape">
                    <wps:wsp>
                      <wps:cNvSpPr txBox="1"/>
                      <wps:spPr>
                        <a:xfrm>
                          <a:off x="0" y="0"/>
                          <a:ext cx="6480175" cy="70358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(continued)</w:t>
                            </w:r>
                          </w:p>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(continued)</w:t>
                      </w:r>
                    </w:p>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 (Continued)</w:t>
      </w:r>
    </w:p>
    <w:p>
      <w:pPr>
        <w:pStyle w:val="TextBody"/>
        <w:bidi w:val="0"/>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bl>
      <w:tblPr>
        <w:tblW w:w="8874" w:type="dxa"/>
        <w:jc w:val="left"/>
        <w:tblInd w:w="0" w:type="dxa"/>
        <w:tblLayout w:type="fixed"/>
        <w:tblCellMar>
          <w:top w:w="28" w:type="dxa"/>
          <w:left w:w="28" w:type="dxa"/>
          <w:bottom w:w="28" w:type="dxa"/>
          <w:right w:w="28" w:type="dxa"/>
        </w:tblCellMar>
      </w:tblPr>
      <w:tblGrid>
        <w:gridCol w:w="2295"/>
        <w:gridCol w:w="2021"/>
        <w:gridCol w:w="2029"/>
        <w:gridCol w:w="196"/>
        <w:gridCol w:w="736"/>
        <w:gridCol w:w="109"/>
        <w:gridCol w:w="109"/>
        <w:gridCol w:w="109"/>
        <w:gridCol w:w="109"/>
        <w:gridCol w:w="196"/>
        <w:gridCol w:w="811"/>
        <w:gridCol w:w="154"/>
      </w:tblGrid>
      <w:tr>
        <w:trPr/>
        <w:tc>
          <w:tcPr>
            <w:tcW w:w="2295"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provided by (used in)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deposits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federal funds purchased and securities sold under agreements to repurchase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FHLB advances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FHLB advances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other borrowings, net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other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withholding taxes on stock-based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stock warrants exercised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treasury stock for ESPP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(207,837)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(399,516)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Net increase (decrease) in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(605,243)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 ending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230,852 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payments for: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OREO acquired in settlement of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Transfer of debt securities available for sale to held to maturity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pPr>
      <w:r>
        <w:rPr>
          <w:rFonts w:ascii="Times New Roman;sans-serif" w:hAnsi="Times New Roman;sans-serif"/>
          <w:b w:val="false"/>
          <w:color w:val="000000"/>
          <w:sz w:val="20"/>
        </w:rPr>
        <w:t xml:space="preserve">See accompanying </w:t>
      </w:r>
      <w:hyperlink w:anchor="i849a9726bda94af39d169d43c61a0228_43">
        <w:r>
          <w:rPr>
            <w:rStyle w:val="InternetLink"/>
            <w:rFonts w:ascii="Times New Roman;sans-serif" w:hAnsi="Times New Roman;sans-serif"/>
            <w:b w:val="false"/>
            <w:color w:val="0000FF"/>
            <w:sz w:val="20"/>
            <w:u w:val="single"/>
          </w:rPr>
          <w:t>Notes to Consolidated Financial Statements (Unaudited)</w:t>
        </w:r>
      </w:hyperlink>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 Significant Accounting Policies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Nature of Operations</w:t>
      </w:r>
    </w:p>
    <w:p>
      <w:pPr>
        <w:pStyle w:val="TextBody"/>
        <w:bidi w:val="0"/>
        <w:spacing w:lineRule="auto" w:line="288" w:before="2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Corporation, a Nevada corporation organized in 1980, is a $12.2 billion financial holding company headquartered in Champaign, Illinois. Busey’s common stock is traded on The Nasdaq Global Select Market under the symbol “BUSE.”</w:t>
      </w:r>
    </w:p>
    <w:p>
      <w:pPr>
        <w:pStyle w:val="TextBody"/>
        <w:bidi w:val="0"/>
        <w:spacing w:lineRule="auto" w:line="288" w:before="2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operates and reports its business in three segments: Banking, FirsTech, and Wealth Management.</w:t>
      </w:r>
    </w:p>
    <w:p>
      <w:pPr>
        <w:pStyle w:val="TextBody"/>
        <w:bidi w:val="0"/>
        <w:spacing w:lineRule="auto" w:line="288" w:before="240" w:after="20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Banking</w:t>
      </w:r>
      <w:r>
        <w:rPr>
          <w:color w:val="000000"/>
        </w:rPr>
        <w:t xml:space="preserve"> </w:t>
      </w:r>
      <w:r>
        <w:rPr>
          <w:rFonts w:ascii="Times New Roman;sans-serif" w:hAnsi="Times New Roman;sans-serif"/>
          <w:b w:val="false"/>
          <w:color w:val="000000"/>
          <w:sz w:val="20"/>
        </w:rPr>
        <w:t xml:space="preserve">operating segment provides a full range of banking services to individual and corporate customers through its banking center network in Illinois; the St. Louis, Missouri metropolitan area; southwest Florida; and Indianapolis, Indiana. </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FirsTech</w:t>
      </w:r>
      <w:r>
        <w:rPr>
          <w:color w:val="000000"/>
        </w:rPr>
        <w:t xml:space="preserve"> </w:t>
      </w:r>
      <w:r>
        <w:rPr>
          <w:rFonts w:ascii="Times New Roman;sans-serif" w:hAnsi="Times New Roman;sans-serif"/>
          <w:b w:val="false"/>
          <w:color w:val="000000"/>
          <w:sz w:val="20"/>
        </w:rPr>
        <w:t xml:space="preserve">operating segment provides comprehensive and innovative payment technology solutions including online, mobile, and voice-recognition bill payments; money management and credit card networks; direct debit services; lockbox remittance processing for payments made by mail; and walk-in payments. FirsTech also provides additional tools to help clients with billing, reconciliation, bill reminders, and treasury services. </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Wealth Management</w:t>
      </w:r>
      <w:r>
        <w:rPr>
          <w:color w:val="000000"/>
        </w:rPr>
        <w:t xml:space="preserve"> </w:t>
      </w:r>
      <w:r>
        <w:rPr>
          <w:rFonts w:ascii="Times New Roman;sans-serif" w:hAnsi="Times New Roman;sans-serif"/>
          <w:b w:val="false"/>
          <w:color w:val="000000"/>
          <w:sz w:val="20"/>
        </w:rPr>
        <w:t>operating segment provides a full range of asset management, investment, brokerage, fiduciary, philanthropic advisory, tax preparation, and farm management services to individuals, businesses, and foundations.</w:t>
      </w:r>
    </w:p>
    <w:p>
      <w:pPr>
        <w:pStyle w:val="TextBody"/>
        <w:bidi w:val="0"/>
        <w:spacing w:lineRule="auto" w:line="288" w:before="200" w:after="200"/>
        <w:jc w:val="both"/>
        <w:rPr/>
      </w:pPr>
      <w:r>
        <w:rPr>
          <w:rFonts w:ascii="Times New Roman;sans-serif" w:hAnsi="Times New Roman;sans-serif"/>
          <w:b w:val="false"/>
          <w:color w:val="000000"/>
          <w:sz w:val="20"/>
        </w:rPr>
        <w:t xml:space="preserve">For additional information about First Busey's operating segments, see </w:t>
      </w:r>
      <w:r>
        <w:rPr>
          <w:color w:val="000000"/>
        </w:rPr>
        <w:t>“</w:t>
      </w:r>
      <w:hyperlink w:anchor="i849a9726bda94af39d169d43c61a0228_103">
        <w:r>
          <w:rPr>
            <w:rStyle w:val="InternetLink"/>
            <w:rFonts w:ascii="Times New Roman;sans-serif" w:hAnsi="Times New Roman;sans-serif"/>
            <w:b w:val="false"/>
            <w:i/>
            <w:color w:val="0000FF"/>
            <w:sz w:val="20"/>
            <w:u w:val="single"/>
          </w:rPr>
          <w:t>Note 14. Operating Segments and Related Information</w:t>
        </w:r>
      </w:hyperlink>
      <w:r>
        <w:rPr>
          <w:rFonts w:ascii="Times New Roman;sans-serif" w:hAnsi="Times New Roman;sans-serif"/>
          <w:b w:val="false"/>
          <w:i/>
          <w:color w:val="000000"/>
          <w:sz w:val="20"/>
        </w:rPr>
        <w:t>.”</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Basis of Financial Statement Presentation</w:t>
      </w:r>
    </w:p>
    <w:p>
      <w:pPr>
        <w:pStyle w:val="TextBody"/>
        <w:bidi w:val="0"/>
        <w:spacing w:lineRule="auto" w:line="288" w:before="200" w:after="200"/>
        <w:jc w:val="both"/>
        <w:rPr/>
      </w:pPr>
      <w:r>
        <w:rPr>
          <w:rFonts w:ascii="Times New Roman;sans-serif" w:hAnsi="Times New Roman;sans-serif"/>
          <w:b w:val="false"/>
          <w:color w:val="000000"/>
          <w:sz w:val="20"/>
        </w:rPr>
        <w:t xml:space="preserve">These unaudited consolidated financial statements and related notes should be read in conjunction with the </w:t>
      </w:r>
      <w:r>
        <w:fldChar w:fldCharType="begin"/>
      </w:r>
      <w:r>
        <w:rPr>
          <w:rStyle w:val="InternetLink"/>
          <w:sz w:val="20"/>
          <w:u w:val="single"/>
          <w:b w:val="false"/>
          <w:rFonts w:ascii="Times New Roman;sans-serif" w:hAnsi="Times New Roman;sans-serif"/>
          <w:color w:val="0000FF"/>
        </w:rPr>
        <w:instrText xml:space="preserve"> HYPERLINK "https://www.sec.gov/ix?doc=/Archives/edgar/data/0000314489/000031448923000010/buse-20221231.htm" \l "i5887e58b083b4ebe85d5c92e135ca21c_67"</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audited consolidated financial statements</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included in </w:t>
      </w:r>
      <w:hyperlink r:id="rId2">
        <w:r>
          <w:rPr>
            <w:rStyle w:val="InternetLink"/>
            <w:rFonts w:ascii="Times New Roman;sans-serif" w:hAnsi="Times New Roman;sans-serif"/>
            <w:b w:val="false"/>
            <w:color w:val="0000FF"/>
            <w:sz w:val="20"/>
            <w:u w:val="single"/>
          </w:rPr>
          <w:t>Busey's 2022 Annual Report</w:t>
        </w:r>
      </w:hyperlink>
      <w:r>
        <w:rPr>
          <w:rFonts w:ascii="Times New Roman;sans-serif" w:hAnsi="Times New Roman;sans-serif"/>
          <w:b w:val="false"/>
          <w:color w:val="000000"/>
          <w:sz w:val="20"/>
        </w:rPr>
        <w:t>. These interim unaudited consolidated financial statements serve to update our 2022 Annual Report and may not include all information and notes necessary to constitute a complete set of financial statements.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prepared these unaudited consolidated financial statements in conformity with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accompanying unaudited consolidated financial statements in conformity with GAAP, Busey’s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debt securities available for sale, fair value of assets acquired and liabilities assumed in business combinations, goodwill, income taxes, and the determination of the ACL.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Impact of Recently Adopted Accounting Standards</w:t>
      </w:r>
    </w:p>
    <w:p>
      <w:pPr>
        <w:pStyle w:val="TextBody"/>
        <w:bidi w:val="0"/>
        <w:spacing w:lineRule="auto" w:line="288" w:before="200" w:after="200"/>
        <w:jc w:val="both"/>
        <w:rPr/>
      </w:pPr>
      <w:r>
        <w:rPr>
          <w:rFonts w:ascii="Times New Roman;sans-serif" w:hAnsi="Times New Roman;sans-serif"/>
          <w:b w:val="false"/>
          <w:color w:val="000000"/>
          <w:sz w:val="20"/>
        </w:rPr>
        <w:t xml:space="preserve">In March 2022, the FASB issued ASU 2022-02 </w:t>
      </w:r>
      <w:r>
        <w:rPr>
          <w:color w:val="000000"/>
        </w:rPr>
        <w:t>“</w:t>
      </w:r>
      <w:r>
        <w:rPr>
          <w:rFonts w:ascii="Times New Roman;sans-serif" w:hAnsi="Times New Roman;sans-serif"/>
          <w:b w:val="false"/>
          <w:i/>
          <w:color w:val="000000"/>
          <w:sz w:val="20"/>
        </w:rPr>
        <w:t>Financial Instruments—Credit Losses (Topic 326): Troubled Debt Restructurings and Vintage Disclosures,”</w:t>
      </w:r>
      <w:r>
        <w:rPr>
          <w:color w:val="000000"/>
        </w:rPr>
        <w:t xml:space="preserve"> </w:t>
      </w:r>
      <w:r>
        <w:rPr>
          <w:rFonts w:ascii="Times New Roman;sans-serif" w:hAnsi="Times New Roman;sans-serif"/>
          <w:b w:val="false"/>
          <w:color w:val="000000"/>
          <w:sz w:val="20"/>
        </w:rPr>
        <w:t xml:space="preserve">which eliminates the TDR accounting model for creditors that have already adopted CECL. In lieu of the TDR accounting model, loan refinancing and restructuring guidance in ASC Subtopic 310-20-35-9 through 35-11 </w:t>
      </w:r>
      <w:r>
        <w:rPr>
          <w:color w:val="000000"/>
        </w:rPr>
        <w:t>“</w:t>
      </w:r>
      <w:r>
        <w:rPr>
          <w:rFonts w:ascii="Times New Roman;sans-serif" w:hAnsi="Times New Roman;sans-serif"/>
          <w:b w:val="false"/>
          <w:i/>
          <w:color w:val="000000"/>
          <w:sz w:val="20"/>
        </w:rPr>
        <w:t>Receivables—Nonrefundable Fees and Other Costs—Subsequent Measurement—Loan Refinancing or Restructuring”</w:t>
      </w:r>
      <w:r>
        <w:rPr>
          <w:color w:val="000000"/>
        </w:rPr>
        <w:t xml:space="preserve"> </w:t>
      </w:r>
      <w:r>
        <w:rPr>
          <w:rFonts w:ascii="Times New Roman;sans-serif" w:hAnsi="Times New Roman;sans-serif"/>
          <w:b w:val="false"/>
          <w:color w:val="000000"/>
          <w:sz w:val="20"/>
        </w:rPr>
        <w:t>will apply to all loan modifications, including those made for borrowers experiencing financial difficulty. This standard also enhances disclosure requirements related to certain loan modifications. Additionally, this standard introduces new requirements to disclose gross write-off information in the vintage disclosures of financing receivables by credit quality indicator and class of financing receivable by year of origination. This standard applies prospectively. For the transition method related to the recognition and measurement of TDRs, there is an option to apply a modified retrospective transition method, resulting in a cumulative-effect adjustment to retained earnings in the period of adoption. This standard became effective for Busey beginning January 1, 2023. Adoption of this standard did not have a material impact on Busey’s financial position or results of operations.</w:t>
      </w:r>
    </w:p>
    <w:p>
      <w:pPr>
        <w:pStyle w:val="TextBody"/>
        <w:bidi w:val="0"/>
        <w:spacing w:lineRule="auto" w:line="288" w:before="200" w:after="200"/>
        <w:jc w:val="both"/>
        <w:rPr/>
      </w:pPr>
      <w:r>
        <w:rPr>
          <w:rFonts w:ascii="Times New Roman;sans-serif" w:hAnsi="Times New Roman;sans-serif"/>
          <w:b w:val="false"/>
          <w:color w:val="000000"/>
          <w:sz w:val="20"/>
        </w:rPr>
        <w:t xml:space="preserve">In March 2022, the FASB issued ASU 2022-01 </w:t>
      </w:r>
      <w:r>
        <w:rPr>
          <w:color w:val="000000"/>
        </w:rPr>
        <w:t>“</w:t>
      </w:r>
      <w:r>
        <w:rPr>
          <w:rFonts w:ascii="Times New Roman;sans-serif" w:hAnsi="Times New Roman;sans-serif"/>
          <w:b w:val="false"/>
          <w:i/>
          <w:color w:val="000000"/>
          <w:sz w:val="20"/>
        </w:rPr>
        <w:t>Derivatives and Hedging (Topic 815): Fair Value Hedging—Portfolio Layer Method,”</w:t>
      </w:r>
      <w:r>
        <w:rPr>
          <w:color w:val="000000"/>
        </w:rPr>
        <w:t xml:space="preserve"> </w:t>
      </w:r>
      <w:r>
        <w:rPr>
          <w:rFonts w:ascii="Times New Roman;sans-serif" w:hAnsi="Times New Roman;sans-serif"/>
          <w:b w:val="false"/>
          <w:color w:val="000000"/>
          <w:sz w:val="20"/>
        </w:rPr>
        <w:t xml:space="preserve">which replaces the current last-of-layer hedge accounting method with an expanded portfolio layer method that permits multiple hedged layers of a single closed portfolio. The scope of the portfolio layer method is also expanded to include non-prepayable financial assets. This update also provides additional guidance on the accounting for and disclosure of hedge basis adjustments that are applicable to the portfolio layer method, and specifies how hedge basis adjustments should be considered when determining credit losses for the assets included in the closed portfolio. Amendments related to hedge basis adjustments which are included in this standard apply on a modified retrospective basis by means of a cumulative-effect adjustment to the opening balance of retained earnings on the initial application date. Amendments related to disclosure which are included in this standard may be applied on a prospective basis from the initial application date, or on a retrospective basis to each prior period presented after the date of adoption of the amendments in ASU 2017-12 </w:t>
      </w:r>
      <w:r>
        <w:rPr>
          <w:color w:val="000000"/>
        </w:rPr>
        <w:t>“</w:t>
      </w:r>
      <w:r>
        <w:rPr>
          <w:rFonts w:ascii="Times New Roman;sans-serif" w:hAnsi="Times New Roman;sans-serif"/>
          <w:b w:val="false"/>
          <w:i/>
          <w:color w:val="000000"/>
          <w:sz w:val="20"/>
        </w:rPr>
        <w:t>Derivatives and Hedging (Topic 815): Targeted Improvements to Accounting for Hedging Activities.”</w:t>
      </w:r>
      <w:r>
        <w:rPr>
          <w:color w:val="000000"/>
        </w:rPr>
        <w:t xml:space="preserve"> </w:t>
      </w:r>
      <w:r>
        <w:rPr>
          <w:rFonts w:ascii="Times New Roman;sans-serif" w:hAnsi="Times New Roman;sans-serif"/>
          <w:b w:val="false"/>
          <w:color w:val="000000"/>
          <w:sz w:val="20"/>
        </w:rPr>
        <w:t>This standard became effective for Busey beginning January 1, 2023. Adoption of this standard did not have a material impact on Busey’s financial position or results of operations.</w:t>
      </w:r>
    </w:p>
    <w:p>
      <w:pPr>
        <w:pStyle w:val="TextBody"/>
        <w:bidi w:val="0"/>
        <w:spacing w:lineRule="auto" w:line="288" w:before="200" w:after="200"/>
        <w:jc w:val="both"/>
        <w:rPr/>
      </w:pPr>
      <w:r>
        <w:rPr>
          <w:rFonts w:ascii="Times New Roman;sans-serif" w:hAnsi="Times New Roman;sans-serif"/>
          <w:b w:val="false"/>
          <w:color w:val="000000"/>
          <w:sz w:val="20"/>
        </w:rPr>
        <w:t xml:space="preserve">ASU 2021-08 </w:t>
      </w:r>
      <w:r>
        <w:rPr>
          <w:color w:val="000000"/>
        </w:rPr>
        <w:t>“</w:t>
      </w:r>
      <w:r>
        <w:rPr>
          <w:rFonts w:ascii="Times New Roman;sans-serif" w:hAnsi="Times New Roman;sans-serif"/>
          <w:b w:val="false"/>
          <w:i/>
          <w:color w:val="000000"/>
          <w:sz w:val="20"/>
        </w:rPr>
        <w:t>Business Combinations (Topic 805): Accounting for Contract Assets and Contract Liabilities from Contracts with Customers”</w:t>
      </w:r>
      <w:r>
        <w:rPr>
          <w:color w:val="000000"/>
        </w:rPr>
        <w:t xml:space="preserve"> </w:t>
      </w:r>
      <w:r>
        <w:rPr>
          <w:rFonts w:ascii="Times New Roman;sans-serif" w:hAnsi="Times New Roman;sans-serif"/>
          <w:b w:val="false"/>
          <w:color w:val="000000"/>
          <w:sz w:val="20"/>
        </w:rPr>
        <w:t xml:space="preserve">requires measurement and recognition in accordance with ASC Topic 606 </w:t>
      </w:r>
      <w:r>
        <w:rPr>
          <w:color w:val="000000"/>
        </w:rPr>
        <w:t>“</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for contract assets and contract liabilities acquired in a business combination. This update became effective for Busey beginning January 1, 2023. This standard applies prospectively to all business combinations that occur on or after the date it is adopted. Adoption of this standard did not have an impact on Busey’s financial position or results of operations.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 Not Yet Adopted</w:t>
      </w:r>
    </w:p>
    <w:p>
      <w:pPr>
        <w:pStyle w:val="TextBody"/>
        <w:bidi w:val="0"/>
        <w:spacing w:lineRule="auto" w:line="288" w:before="200" w:after="200"/>
        <w:jc w:val="both"/>
        <w:rPr/>
      </w:pPr>
      <w:r>
        <w:rPr>
          <w:rFonts w:ascii="Times New Roman;sans-serif" w:hAnsi="Times New Roman;sans-serif"/>
          <w:b w:val="false"/>
          <w:color w:val="000000"/>
          <w:sz w:val="20"/>
        </w:rPr>
        <w:t xml:space="preserve">In March 2023, the FASB issued ASU 2023-02 </w:t>
      </w:r>
      <w:r>
        <w:rPr>
          <w:color w:val="000000"/>
        </w:rPr>
        <w:t>“</w:t>
      </w:r>
      <w:r>
        <w:rPr>
          <w:rFonts w:ascii="Times New Roman;sans-serif" w:hAnsi="Times New Roman;sans-serif"/>
          <w:b w:val="false"/>
          <w:i/>
          <w:color w:val="000000"/>
          <w:sz w:val="20"/>
        </w:rPr>
        <w:t>Investments—Equity Method and Joint Ventures (Topic 323),”</w:t>
      </w:r>
      <w:r>
        <w:rPr>
          <w:color w:val="000000"/>
        </w:rPr>
        <w:t xml:space="preserve"> </w:t>
      </w:r>
      <w:r>
        <w:rPr>
          <w:rFonts w:ascii="Times New Roman;sans-serif" w:hAnsi="Times New Roman;sans-serif"/>
          <w:b w:val="false"/>
          <w:color w:val="000000"/>
          <w:sz w:val="20"/>
        </w:rPr>
        <w:t>permitting an election to use the proportional amortization method to account for equity investments made primarily for the purpose of receiving income tax credits and other income tax benefits, regardless of the tax credit program from which the income tax credits are received, provided that certain conditions are met. The proportional amortization method results in the cost of the investment being amortized in proportion to the income tax credits and other income tax benefits received, with the amortization of the investment and the income tax credits being presented net in the income statement as a component of income tax expense. This standard must be applied on a retrospective or modified retrospective basis, and is applicable for Busey beginning on January 1, 2024. Early adoption is permitted. Busey is currently evaluating the potential effect on the Company’s financial position and results of operations, and upon adoption expects changes to be reflected in the Other Expense and Income Taxes line items in the Consolidated Statements of Income.</w:t>
      </w:r>
    </w:p>
    <w:p>
      <w:pPr>
        <w:pStyle w:val="TextBody"/>
        <w:bidi w:val="0"/>
        <w:spacing w:lineRule="auto" w:line="288" w:before="200" w:after="200"/>
        <w:jc w:val="both"/>
        <w:rPr/>
      </w:pPr>
      <w:r>
        <w:rPr>
          <w:rFonts w:ascii="Times New Roman;sans-serif" w:hAnsi="Times New Roman;sans-serif"/>
          <w:b w:val="false"/>
          <w:color w:val="000000"/>
          <w:sz w:val="20"/>
        </w:rPr>
        <w:t xml:space="preserve">In March 2023, the FASB issued ASU 2023-01 </w:t>
      </w:r>
      <w:r>
        <w:rPr>
          <w:color w:val="000000"/>
        </w:rPr>
        <w:t>“</w:t>
      </w:r>
      <w:r>
        <w:rPr>
          <w:rFonts w:ascii="Times New Roman;sans-serif" w:hAnsi="Times New Roman;sans-serif"/>
          <w:b w:val="false"/>
          <w:i/>
          <w:color w:val="000000"/>
          <w:sz w:val="20"/>
        </w:rPr>
        <w:t>Leases (Topic 842): Common Control Arrangements,”</w:t>
      </w:r>
      <w:r>
        <w:rPr>
          <w:color w:val="000000"/>
        </w:rPr>
        <w:t xml:space="preserve"> </w:t>
      </w:r>
      <w:r>
        <w:rPr>
          <w:rFonts w:ascii="Times New Roman;sans-serif" w:hAnsi="Times New Roman;sans-serif"/>
          <w:b w:val="false"/>
          <w:color w:val="000000"/>
          <w:sz w:val="20"/>
        </w:rPr>
        <w:t>which requires amortization over the useful life of leasehold improvements (not the lease term) when the lease is between entities under common control, and any value of such leasehold improvements remaining at the end of the lease term is to be accounted for as a transfer between entities under common control. This standard may be adopted either prospectively, or retrospectively, and is effective for Busey beginning January 1, 2024. Early adoption is permitted. Busey is currently evaluating the potential effect on the Company’s financial position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pPr>
      <w:r>
        <w:rPr>
          <w:rFonts w:ascii="Times New Roman;sans-serif" w:hAnsi="Times New Roman;sans-serif"/>
          <w:b w:val="false"/>
          <w:color w:val="000000"/>
          <w:sz w:val="20"/>
        </w:rPr>
        <w:t xml:space="preserve">In June 2022, the FASB issued ASU 2022-03 </w:t>
      </w:r>
      <w:r>
        <w:rPr>
          <w:color w:val="000000"/>
        </w:rPr>
        <w:t>“</w:t>
      </w:r>
      <w:r>
        <w:rPr>
          <w:rFonts w:ascii="Times New Roman;sans-serif" w:hAnsi="Times New Roman;sans-serif"/>
          <w:b w:val="false"/>
          <w:i/>
          <w:color w:val="000000"/>
          <w:sz w:val="20"/>
        </w:rPr>
        <w:t>Fair Value Measurements (Topic 820): Fair Value Measurement of Equity Securities Subject to Contractual Sale Restrictions,”</w:t>
      </w:r>
      <w:r>
        <w:rPr>
          <w:color w:val="000000"/>
        </w:rPr>
        <w:t xml:space="preserve"> </w:t>
      </w:r>
      <w:r>
        <w:rPr>
          <w:rFonts w:ascii="Times New Roman;sans-serif" w:hAnsi="Times New Roman;sans-serif"/>
          <w:b w:val="false"/>
          <w:color w:val="000000"/>
          <w:sz w:val="20"/>
        </w:rPr>
        <w:t>which clarifies that contractual restrictions on the sale of equity securities are not considered in measuring the fair value of those equity securities, and further that contractual sale restrictions cannot be recognized and measured as a separate unit of account. This standard applies prospectively, and is effective for Busey beginning January 1, 2024. Early adoption is permitted. Busey is currently evaluating the potential effect on the Company’s financial position and results of operations.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has evaluated subsequent events for potential recognition and/or disclosure through the date the unaudited consolidated financial statements included in this Quarterly Report were issued. There were no significant subsequent events for the quarter ended June 30, 2023, through the filing date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2: Debt Securities</w:t>
      </w:r>
    </w:p>
    <w:p>
      <w:pPr>
        <w:pStyle w:val="TextBody"/>
        <w:bidi w:val="0"/>
        <w:spacing w:lineRule="auto" w:line="288" w:before="200" w:after="200"/>
        <w:jc w:val="both"/>
        <w:rPr/>
      </w:pPr>
      <w:r>
        <w:rPr>
          <w:rFonts w:ascii="Times New Roman;sans-serif" w:hAnsi="Times New Roman;sans-serif"/>
          <w:b w:val="false"/>
          <w:color w:val="000000"/>
          <w:sz w:val="20"/>
        </w:rPr>
        <w:t xml:space="preserve">Busey's portfolio of debt securities includes both available for sale and held to maturity securities. The tables below provide the amortized cost, unrealized gains and losses, and fair values of debt securities summarized by major category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650"/>
        <w:gridCol w:w="1375"/>
        <w:gridCol w:w="1384"/>
        <w:gridCol w:w="211"/>
        <w:gridCol w:w="976"/>
        <w:gridCol w:w="109"/>
        <w:gridCol w:w="109"/>
        <w:gridCol w:w="109"/>
        <w:gridCol w:w="109"/>
        <w:gridCol w:w="258"/>
        <w:gridCol w:w="571"/>
        <w:gridCol w:w="133"/>
        <w:gridCol w:w="109"/>
        <w:gridCol w:w="109"/>
        <w:gridCol w:w="109"/>
        <w:gridCol w:w="211"/>
        <w:gridCol w:w="893"/>
        <w:gridCol w:w="109"/>
        <w:gridCol w:w="109"/>
        <w:gridCol w:w="109"/>
        <w:gridCol w:w="109"/>
        <w:gridCol w:w="211"/>
        <w:gridCol w:w="976"/>
        <w:gridCol w:w="157"/>
      </w:tblGrid>
      <w:tr>
        <w:trPr/>
        <w:tc>
          <w:tcPr>
            <w:tcW w:w="16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44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40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Losses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available for sale</w:t>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corporations and agencies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Obligations of states and political subdivisions</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Asset-backed securities</w:t>
            </w:r>
            <w:r>
              <w:rPr>
                <w:rFonts w:ascii="Times New Roman;sans-serif" w:hAnsi="Times New Roman;sans-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1,166,693 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 available for 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2,283,848 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securities marked at par, with no gain or loss to report.</w:t>
      </w:r>
    </w:p>
    <w:tbl>
      <w:tblPr>
        <w:tblW w:w="8904" w:type="dxa"/>
        <w:jc w:val="left"/>
        <w:tblInd w:w="0" w:type="dxa"/>
        <w:tblLayout w:type="fixed"/>
        <w:tblCellMar>
          <w:top w:w="28" w:type="dxa"/>
          <w:left w:w="28" w:type="dxa"/>
          <w:bottom w:w="28" w:type="dxa"/>
          <w:right w:w="28" w:type="dxa"/>
        </w:tblCellMar>
      </w:tblPr>
      <w:tblGrid>
        <w:gridCol w:w="1223"/>
        <w:gridCol w:w="1072"/>
        <w:gridCol w:w="1080"/>
        <w:gridCol w:w="211"/>
        <w:gridCol w:w="826"/>
        <w:gridCol w:w="109"/>
        <w:gridCol w:w="109"/>
        <w:gridCol w:w="109"/>
        <w:gridCol w:w="109"/>
        <w:gridCol w:w="288"/>
        <w:gridCol w:w="554"/>
        <w:gridCol w:w="148"/>
        <w:gridCol w:w="109"/>
        <w:gridCol w:w="109"/>
        <w:gridCol w:w="109"/>
        <w:gridCol w:w="211"/>
        <w:gridCol w:w="901"/>
        <w:gridCol w:w="109"/>
        <w:gridCol w:w="109"/>
        <w:gridCol w:w="109"/>
        <w:gridCol w:w="109"/>
        <w:gridCol w:w="211"/>
        <w:gridCol w:w="82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383" w:type="dxa"/>
            <w:gridSpan w:val="18"/>
            <w:tcBorders/>
          </w:tcPr>
          <w:p>
            <w:pPr>
              <w:pStyle w:val="TableContents"/>
              <w:bidi w:val="0"/>
              <w:spacing w:before="0" w:after="283"/>
              <w:jc w:val="left"/>
              <w:rPr>
                <w:sz w:val="4"/>
                <w:szCs w:val="4"/>
              </w:rPr>
            </w:pPr>
            <w:r>
              <w:rPr>
                <w:sz w:val="4"/>
                <w:szCs w:val="4"/>
              </w:rPr>
            </w:r>
          </w:p>
        </w:tc>
      </w:tr>
      <w:tr>
        <w:trPr/>
        <w:tc>
          <w:tcPr>
            <w:tcW w:w="337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375"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Losses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held to maturity</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 held to maturity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tbl>
      <w:tblPr>
        <w:tblW w:w="10205" w:type="dxa"/>
        <w:jc w:val="left"/>
        <w:tblInd w:w="0" w:type="dxa"/>
        <w:tblLayout w:type="fixed"/>
        <w:tblCellMar>
          <w:top w:w="28" w:type="dxa"/>
          <w:left w:w="28" w:type="dxa"/>
          <w:bottom w:w="28" w:type="dxa"/>
          <w:right w:w="28" w:type="dxa"/>
        </w:tblCellMar>
      </w:tblPr>
      <w:tblGrid>
        <w:gridCol w:w="1650"/>
        <w:gridCol w:w="1375"/>
        <w:gridCol w:w="1384"/>
        <w:gridCol w:w="211"/>
        <w:gridCol w:w="976"/>
        <w:gridCol w:w="109"/>
        <w:gridCol w:w="109"/>
        <w:gridCol w:w="109"/>
        <w:gridCol w:w="109"/>
        <w:gridCol w:w="258"/>
        <w:gridCol w:w="571"/>
        <w:gridCol w:w="133"/>
        <w:gridCol w:w="109"/>
        <w:gridCol w:w="109"/>
        <w:gridCol w:w="109"/>
        <w:gridCol w:w="211"/>
        <w:gridCol w:w="893"/>
        <w:gridCol w:w="109"/>
        <w:gridCol w:w="109"/>
        <w:gridCol w:w="109"/>
        <w:gridCol w:w="109"/>
        <w:gridCol w:w="211"/>
        <w:gridCol w:w="976"/>
        <w:gridCol w:w="157"/>
      </w:tblGrid>
      <w:tr>
        <w:trPr/>
        <w:tc>
          <w:tcPr>
            <w:tcW w:w="16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4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40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Losses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available for 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corporations and agencies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 available for 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2,461,393 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04" w:type="dxa"/>
        <w:jc w:val="left"/>
        <w:tblInd w:w="0" w:type="dxa"/>
        <w:tblLayout w:type="fixed"/>
        <w:tblCellMar>
          <w:top w:w="28" w:type="dxa"/>
          <w:left w:w="28" w:type="dxa"/>
          <w:bottom w:w="28" w:type="dxa"/>
          <w:right w:w="28" w:type="dxa"/>
        </w:tblCellMar>
      </w:tblPr>
      <w:tblGrid>
        <w:gridCol w:w="1223"/>
        <w:gridCol w:w="1072"/>
        <w:gridCol w:w="1080"/>
        <w:gridCol w:w="211"/>
        <w:gridCol w:w="826"/>
        <w:gridCol w:w="109"/>
        <w:gridCol w:w="109"/>
        <w:gridCol w:w="109"/>
        <w:gridCol w:w="109"/>
        <w:gridCol w:w="288"/>
        <w:gridCol w:w="554"/>
        <w:gridCol w:w="148"/>
        <w:gridCol w:w="109"/>
        <w:gridCol w:w="109"/>
        <w:gridCol w:w="109"/>
        <w:gridCol w:w="211"/>
        <w:gridCol w:w="901"/>
        <w:gridCol w:w="109"/>
        <w:gridCol w:w="109"/>
        <w:gridCol w:w="109"/>
        <w:gridCol w:w="109"/>
        <w:gridCol w:w="211"/>
        <w:gridCol w:w="826"/>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4383" w:type="dxa"/>
            <w:gridSpan w:val="18"/>
            <w:tcBorders/>
          </w:tcPr>
          <w:p>
            <w:pPr>
              <w:pStyle w:val="TableContents"/>
              <w:bidi w:val="0"/>
              <w:spacing w:before="0" w:after="283"/>
              <w:jc w:val="left"/>
              <w:rPr>
                <w:sz w:val="4"/>
                <w:szCs w:val="4"/>
              </w:rPr>
            </w:pPr>
            <w:r>
              <w:rPr>
                <w:sz w:val="4"/>
                <w:szCs w:val="4"/>
              </w:rPr>
            </w:r>
          </w:p>
        </w:tc>
      </w:tr>
      <w:tr>
        <w:trPr/>
        <w:tc>
          <w:tcPr>
            <w:tcW w:w="337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375"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Losses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held to maturity</w:t>
            </w:r>
          </w:p>
        </w:tc>
        <w:tc>
          <w:tcPr>
            <w:tcW w:w="114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 held to maturity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jc w:val="both"/>
        <w:rPr>
          <w:rFonts w:ascii="Times New Roman;sans-serif" w:hAnsi="Times New Roman;sans-serif"/>
          <w:b/>
          <w:i/>
          <w:color w:val="000000"/>
          <w:sz w:val="20"/>
        </w:rPr>
      </w:pPr>
      <w:r>
        <w:rPr>
          <w:rFonts w:ascii="Times New Roman;sans-serif" w:hAnsi="Times New Roman;sans-serif"/>
          <w:b/>
          <w:i/>
          <w:color w:val="000000"/>
          <w:sz w:val="20"/>
        </w:rPr>
        <w:t>Maturities of Debt Securities</w:t>
      </w:r>
    </w:p>
    <w:p>
      <w:pPr>
        <w:pStyle w:val="TextBody"/>
        <w:bidi w:val="0"/>
        <w:spacing w:lineRule="auto" w:line="288" w:before="200" w:after="200"/>
        <w:jc w:val="both"/>
        <w:rPr/>
      </w:pPr>
      <w:r>
        <w:rPr>
          <w:rFonts w:ascii="Times New Roman;sans-serif" w:hAnsi="Times New Roman;sans-serif"/>
          <w:b w:val="false"/>
          <w:color w:val="000000"/>
          <w:sz w:val="20"/>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6099" w:type="dxa"/>
        <w:jc w:val="left"/>
        <w:tblInd w:w="0" w:type="dxa"/>
        <w:tblLayout w:type="fixed"/>
        <w:tblCellMar>
          <w:top w:w="28" w:type="dxa"/>
          <w:left w:w="28" w:type="dxa"/>
          <w:bottom w:w="28" w:type="dxa"/>
          <w:right w:w="28" w:type="dxa"/>
        </w:tblCellMar>
      </w:tblPr>
      <w:tblGrid>
        <w:gridCol w:w="1136"/>
        <w:gridCol w:w="996"/>
        <w:gridCol w:w="1003"/>
        <w:gridCol w:w="211"/>
        <w:gridCol w:w="976"/>
        <w:gridCol w:w="109"/>
        <w:gridCol w:w="109"/>
        <w:gridCol w:w="109"/>
        <w:gridCol w:w="109"/>
        <w:gridCol w:w="211"/>
        <w:gridCol w:w="97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available for 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2,283,848 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99" w:type="dxa"/>
        <w:jc w:val="left"/>
        <w:tblInd w:w="0" w:type="dxa"/>
        <w:tblLayout w:type="fixed"/>
        <w:tblCellMar>
          <w:top w:w="28" w:type="dxa"/>
          <w:left w:w="28" w:type="dxa"/>
          <w:bottom w:w="28" w:type="dxa"/>
          <w:right w:w="28" w:type="dxa"/>
        </w:tblCellMar>
      </w:tblPr>
      <w:tblGrid>
        <w:gridCol w:w="1136"/>
        <w:gridCol w:w="996"/>
        <w:gridCol w:w="1003"/>
        <w:gridCol w:w="211"/>
        <w:gridCol w:w="826"/>
        <w:gridCol w:w="109"/>
        <w:gridCol w:w="109"/>
        <w:gridCol w:w="109"/>
        <w:gridCol w:w="109"/>
        <w:gridCol w:w="211"/>
        <w:gridCol w:w="82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held to maturity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 to 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Gains and Losses on Debt Securities Available for Sale</w:t>
      </w:r>
    </w:p>
    <w:p>
      <w:pPr>
        <w:pStyle w:val="TextBody"/>
        <w:bidi w:val="0"/>
        <w:spacing w:lineRule="auto" w:line="288" w:before="200" w:after="200"/>
        <w:jc w:val="both"/>
        <w:rPr/>
      </w:pPr>
      <w:r>
        <w:rPr>
          <w:rFonts w:ascii="Times New Roman;sans-serif" w:hAnsi="Times New Roman;sans-serif"/>
          <w:b w:val="false"/>
          <w:color w:val="000000"/>
          <w:sz w:val="20"/>
        </w:rPr>
        <w:t xml:space="preserve">Realized gains and losses related to sales and calls of debt securities available for sale are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511" w:type="dxa"/>
        <w:jc w:val="left"/>
        <w:tblInd w:w="0" w:type="dxa"/>
        <w:tblLayout w:type="fixed"/>
        <w:tblCellMar>
          <w:top w:w="28" w:type="dxa"/>
          <w:left w:w="28" w:type="dxa"/>
          <w:bottom w:w="28" w:type="dxa"/>
          <w:right w:w="28" w:type="dxa"/>
        </w:tblCellMar>
      </w:tblPr>
      <w:tblGrid>
        <w:gridCol w:w="1381"/>
        <w:gridCol w:w="1210"/>
        <w:gridCol w:w="1219"/>
        <w:gridCol w:w="259"/>
        <w:gridCol w:w="666"/>
        <w:gridCol w:w="134"/>
        <w:gridCol w:w="134"/>
        <w:gridCol w:w="134"/>
        <w:gridCol w:w="134"/>
        <w:gridCol w:w="259"/>
        <w:gridCol w:w="407"/>
        <w:gridCol w:w="134"/>
        <w:gridCol w:w="109"/>
        <w:gridCol w:w="109"/>
        <w:gridCol w:w="109"/>
        <w:gridCol w:w="221"/>
        <w:gridCol w:w="566"/>
        <w:gridCol w:w="114"/>
        <w:gridCol w:w="114"/>
        <w:gridCol w:w="114"/>
        <w:gridCol w:w="114"/>
        <w:gridCol w:w="221"/>
        <w:gridCol w:w="488"/>
        <w:gridCol w:w="161"/>
      </w:tblGrid>
      <w:tr>
        <w:trPr/>
        <w:tc>
          <w:tcPr>
            <w:tcW w:w="138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Realized gains and losses on debt securities</w:t>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gains on debt securities</w:t>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(losses) on debt securities</w:t>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Realized net gains (losses) on debt securities</w:t>
            </w:r>
            <w:r>
              <w:rPr>
                <w:rFonts w:ascii="Times New Roman;sans-serif" w:hAnsi="Times New Roman;sans-serif"/>
                <w:b w:val="false"/>
                <w:color w:val="000000"/>
                <w:sz w:val="13"/>
              </w:rPr>
              <w:t>1</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1.Net gains (losses) on sales of securities reported in the unaudited Consolidated Statements of Income include sales of equity securities, excluded in this table.</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Debt securities with carrying amounts of $823.6 million on June 30, 2023, and $746.7 million on December 31, 2022, were pledged as collateral for public deposits, securities sold under agreements to repurchase, and for other purposes as required.</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Debt Securities in an Unrealized or Unrecognized Loss Position</w:t>
      </w:r>
    </w:p>
    <w:p>
      <w:pPr>
        <w:pStyle w:val="TextBody"/>
        <w:bidi w:val="0"/>
        <w:spacing w:lineRule="auto" w:line="288" w:before="200" w:after="200"/>
        <w:jc w:val="both"/>
        <w:rPr/>
      </w:pPr>
      <w:r>
        <w:rPr>
          <w:rFonts w:ascii="Times New Roman;sans-serif" w:hAnsi="Times New Roman;sans-serif"/>
          <w:b w:val="false"/>
          <w:color w:val="000000"/>
          <w:sz w:val="20"/>
        </w:rPr>
        <w:t xml:space="preserve">The following information pertains to debt securities with gross unrealized or unrecognized losses, aggregated by investment category and the length of time that individual securities have been in a continuous loss position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22" w:type="dxa"/>
        <w:jc w:val="left"/>
        <w:tblInd w:w="0" w:type="dxa"/>
        <w:tblLayout w:type="fixed"/>
        <w:tblCellMar>
          <w:top w:w="28" w:type="dxa"/>
          <w:left w:w="28" w:type="dxa"/>
          <w:bottom w:w="28" w:type="dxa"/>
          <w:right w:w="28" w:type="dxa"/>
        </w:tblCellMar>
      </w:tblPr>
      <w:tblGrid>
        <w:gridCol w:w="947"/>
        <w:gridCol w:w="291"/>
        <w:gridCol w:w="293"/>
        <w:gridCol w:w="211"/>
        <w:gridCol w:w="826"/>
        <w:gridCol w:w="109"/>
        <w:gridCol w:w="109"/>
        <w:gridCol w:w="109"/>
        <w:gridCol w:w="109"/>
        <w:gridCol w:w="211"/>
        <w:gridCol w:w="631"/>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9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available for sale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corporations and agencies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 with gross unrealized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(296,969)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85"/>
        <w:gridCol w:w="491"/>
        <w:gridCol w:w="494"/>
        <w:gridCol w:w="211"/>
        <w:gridCol w:w="406"/>
        <w:gridCol w:w="109"/>
        <w:gridCol w:w="109"/>
        <w:gridCol w:w="109"/>
        <w:gridCol w:w="109"/>
        <w:gridCol w:w="318"/>
        <w:gridCol w:w="612"/>
        <w:gridCol w:w="166"/>
        <w:gridCol w:w="109"/>
        <w:gridCol w:w="109"/>
        <w:gridCol w:w="109"/>
        <w:gridCol w:w="211"/>
        <w:gridCol w:w="826"/>
        <w:gridCol w:w="109"/>
        <w:gridCol w:w="109"/>
        <w:gridCol w:w="109"/>
        <w:gridCol w:w="109"/>
        <w:gridCol w:w="211"/>
        <w:gridCol w:w="849"/>
        <w:gridCol w:w="109"/>
        <w:gridCol w:w="109"/>
        <w:gridCol w:w="109"/>
        <w:gridCol w:w="109"/>
        <w:gridCol w:w="211"/>
        <w:gridCol w:w="826"/>
        <w:gridCol w:w="109"/>
        <w:gridCol w:w="109"/>
        <w:gridCol w:w="109"/>
        <w:gridCol w:w="109"/>
        <w:gridCol w:w="211"/>
        <w:gridCol w:w="849"/>
        <w:gridCol w:w="157"/>
      </w:tblGrid>
      <w:tr>
        <w:trPr/>
        <w:tc>
          <w:tcPr>
            <w:tcW w:w="10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409" w:type="dxa"/>
            <w:gridSpan w:val="30"/>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br/>
              <w:t>Losses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held to maturity</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 to maturity with gross unrecognized losses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tbl>
      <w:tblPr>
        <w:tblW w:w="10477" w:type="dxa"/>
        <w:jc w:val="left"/>
        <w:tblInd w:w="0" w:type="dxa"/>
        <w:tblLayout w:type="fixed"/>
        <w:tblCellMar>
          <w:top w:w="28" w:type="dxa"/>
          <w:left w:w="28" w:type="dxa"/>
          <w:bottom w:w="28" w:type="dxa"/>
          <w:right w:w="28" w:type="dxa"/>
        </w:tblCellMar>
      </w:tblPr>
      <w:tblGrid>
        <w:gridCol w:w="966"/>
        <w:gridCol w:w="282"/>
        <w:gridCol w:w="283"/>
        <w:gridCol w:w="211"/>
        <w:gridCol w:w="976"/>
        <w:gridCol w:w="109"/>
        <w:gridCol w:w="109"/>
        <w:gridCol w:w="109"/>
        <w:gridCol w:w="109"/>
        <w:gridCol w:w="211"/>
        <w:gridCol w:w="73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84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corporations and agencies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 with gross unrealized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07"/>
        <w:gridCol w:w="378"/>
        <w:gridCol w:w="380"/>
        <w:gridCol w:w="211"/>
        <w:gridCol w:w="721"/>
        <w:gridCol w:w="109"/>
        <w:gridCol w:w="109"/>
        <w:gridCol w:w="109"/>
        <w:gridCol w:w="109"/>
        <w:gridCol w:w="243"/>
        <w:gridCol w:w="727"/>
        <w:gridCol w:w="126"/>
        <w:gridCol w:w="109"/>
        <w:gridCol w:w="109"/>
        <w:gridCol w:w="109"/>
        <w:gridCol w:w="211"/>
        <w:gridCol w:w="826"/>
        <w:gridCol w:w="109"/>
        <w:gridCol w:w="109"/>
        <w:gridCol w:w="109"/>
        <w:gridCol w:w="109"/>
        <w:gridCol w:w="211"/>
        <w:gridCol w:w="844"/>
        <w:gridCol w:w="109"/>
        <w:gridCol w:w="109"/>
        <w:gridCol w:w="109"/>
        <w:gridCol w:w="109"/>
        <w:gridCol w:w="211"/>
        <w:gridCol w:w="826"/>
        <w:gridCol w:w="109"/>
        <w:gridCol w:w="109"/>
        <w:gridCol w:w="109"/>
        <w:gridCol w:w="109"/>
        <w:gridCol w:w="211"/>
        <w:gridCol w:w="844"/>
        <w:gridCol w:w="157"/>
      </w:tblGrid>
      <w:tr>
        <w:trPr/>
        <w:tc>
          <w:tcPr>
            <w:tcW w:w="100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399" w:type="dxa"/>
            <w:gridSpan w:val="30"/>
            <w:tcBorders/>
          </w:tcPr>
          <w:p>
            <w:pPr>
              <w:pStyle w:val="TableContents"/>
              <w:bidi w:val="0"/>
              <w:spacing w:before="0" w:after="283"/>
              <w:jc w:val="left"/>
              <w:rPr>
                <w:sz w:val="4"/>
                <w:szCs w:val="4"/>
              </w:rPr>
            </w:pPr>
            <w:r>
              <w:rPr>
                <w:sz w:val="4"/>
                <w:szCs w:val="4"/>
              </w:rPr>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br/>
              <w:t>Losses</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securities held to maturity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 to maturity with gross unrecognized losses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(133,017)</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1.Unrealized losses for U.S. Treasury securities that had been in a continuous unrealized loss position for less than 12 months were insignificant, rounding to zero thousand.</w:t>
      </w:r>
    </w:p>
    <w:p>
      <w:pPr>
        <w:pStyle w:val="TextBody"/>
        <w:bidi w:val="0"/>
        <w:spacing w:lineRule="auto" w:line="288" w:before="200" w:after="200"/>
        <w:jc w:val="both"/>
        <w:rPr/>
      </w:pPr>
      <w:r>
        <w:rPr>
          <w:rFonts w:ascii="Times New Roman;sans-serif" w:hAnsi="Times New Roman;sans-serif"/>
          <w:b w:val="false"/>
          <w:color w:val="000000"/>
          <w:sz w:val="20"/>
        </w:rPr>
        <w:t xml:space="preserve">Additional information about debt securities in an unrealized or unrecognized loss position is presented in the tables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897"/>
        <w:gridCol w:w="1667"/>
        <w:gridCol w:w="1672"/>
        <w:gridCol w:w="211"/>
        <w:gridCol w:w="976"/>
        <w:gridCol w:w="271"/>
        <w:gridCol w:w="109"/>
        <w:gridCol w:w="109"/>
        <w:gridCol w:w="109"/>
        <w:gridCol w:w="218"/>
        <w:gridCol w:w="853"/>
        <w:gridCol w:w="280"/>
        <w:gridCol w:w="109"/>
        <w:gridCol w:w="109"/>
        <w:gridCol w:w="109"/>
        <w:gridCol w:w="211"/>
        <w:gridCol w:w="976"/>
        <w:gridCol w:w="319"/>
      </w:tblGrid>
      <w:tr>
        <w:trPr/>
        <w:tc>
          <w:tcPr>
            <w:tcW w:w="189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5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Available for Sale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Held to Maturity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with gross unrealized or unrecognized losses,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2,265,057 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746,502 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3,011,559 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or unrecognized losses on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444,569 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gross unrealized or unrecognized losses to debt securities with gross unrealized or unrecognized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 of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 of debt securities in an unrealized or unrecognized loss position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tbl>
      <w:tblPr>
        <w:tblW w:w="10205" w:type="dxa"/>
        <w:jc w:val="left"/>
        <w:tblInd w:w="0" w:type="dxa"/>
        <w:tblLayout w:type="fixed"/>
        <w:tblCellMar>
          <w:top w:w="28" w:type="dxa"/>
          <w:left w:w="28" w:type="dxa"/>
          <w:bottom w:w="28" w:type="dxa"/>
          <w:right w:w="28" w:type="dxa"/>
        </w:tblCellMar>
      </w:tblPr>
      <w:tblGrid>
        <w:gridCol w:w="1905"/>
        <w:gridCol w:w="1675"/>
        <w:gridCol w:w="1679"/>
        <w:gridCol w:w="211"/>
        <w:gridCol w:w="976"/>
        <w:gridCol w:w="271"/>
        <w:gridCol w:w="109"/>
        <w:gridCol w:w="109"/>
        <w:gridCol w:w="109"/>
        <w:gridCol w:w="214"/>
        <w:gridCol w:w="839"/>
        <w:gridCol w:w="275"/>
        <w:gridCol w:w="109"/>
        <w:gridCol w:w="109"/>
        <w:gridCol w:w="109"/>
        <w:gridCol w:w="211"/>
        <w:gridCol w:w="976"/>
        <w:gridCol w:w="319"/>
      </w:tblGrid>
      <w:tr>
        <w:trPr/>
        <w:tc>
          <w:tcPr>
            <w:tcW w:w="1905"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5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5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Available for Sale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Held to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with gross unrealized or unrecognized losses,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2,439,533 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785,295 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3,224,828 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or unrecognized losses on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133,017 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444,221 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gross unrealized or unrecognized losses to debt securities with gross unrealized or unrecognized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 of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 of debt securities in an unrealized or unrecognized loss position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Unrealized and unrecognized losses were related to changes in market interest rates and market conditions that do not represent credit-related impairments. Busey does not intend to sell securities that are in an unrealized or unrecognized loss position, and it is more likely than not that the Company will recover the amortized cost prior to being required to sell the debt securities. Full collection of the amounts due according to the contractual terms of the debt securities is expected; therefore, no ACL was recorded in relation to debt securities, and the impairment related to noncredit factors is recognized in AOCI, net of applicable taxes. As of June 30, 2023, Busey did not hold general obligation bonds of any single issuer, the aggregate of which exceeded 10% of the Company’s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3: Portfolio Loans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Loan Categories</w:t>
      </w:r>
    </w:p>
    <w:p>
      <w:pPr>
        <w:pStyle w:val="TextBody"/>
        <w:bidi w:val="0"/>
        <w:spacing w:lineRule="auto" w:line="288" w:before="200" w:after="200"/>
        <w:jc w:val="both"/>
        <w:rPr/>
      </w:pPr>
      <w:r>
        <w:rPr>
          <w:rFonts w:ascii="Times New Roman;sans-serif" w:hAnsi="Times New Roman;sans-serif"/>
          <w:b w:val="false"/>
          <w:color w:val="000000"/>
          <w:sz w:val="20"/>
        </w:rPr>
        <w:t xml:space="preserve">Busey’s lending can be summarized in two primary categories: commercial and retail. Lending is further classified into five primary areas of loans: commercial loans, commercial real estate loans, real estate construction loans, retail real estate loans, and retail other loans. Distributions of the loan portfolio by loan category and class is presented in the following table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5033" w:type="dxa"/>
        <w:jc w:val="left"/>
        <w:tblInd w:w="0" w:type="dxa"/>
        <w:tblLayout w:type="fixed"/>
        <w:tblCellMar>
          <w:top w:w="28" w:type="dxa"/>
          <w:left w:w="28" w:type="dxa"/>
          <w:bottom w:w="28" w:type="dxa"/>
          <w:right w:w="28" w:type="dxa"/>
        </w:tblCellMar>
      </w:tblPr>
      <w:tblGrid>
        <w:gridCol w:w="750"/>
        <w:gridCol w:w="657"/>
        <w:gridCol w:w="662"/>
        <w:gridCol w:w="211"/>
        <w:gridCol w:w="976"/>
        <w:gridCol w:w="109"/>
        <w:gridCol w:w="109"/>
        <w:gridCol w:w="109"/>
        <w:gridCol w:w="109"/>
        <w:gridCol w:w="211"/>
        <w:gridCol w:w="976"/>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Retail loans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7,713,645 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7,634,094 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deferred loan origination costs included in the balances above were $13.4 million as of June 30, 2023, compared to $14.0 million as of December 31, 2022. Net accretable purchase accounting adjustments included in the balances above reduced loans by $5.1 million as of June 30, 2023, and $5.9 million as of December 31, 2022. Commercial balances include loans originated under the PPP with an amortized cost of $0.7 million as of June 30, 2023, and $0.8 million as of December 31, 2022.</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did not purchase any retail real estate loans during the three or six months ended June 30, 2023, or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Pledged Loans</w:t>
      </w:r>
    </w:p>
    <w:p>
      <w:pPr>
        <w:pStyle w:val="TextBody"/>
        <w:bidi w:val="0"/>
        <w:spacing w:lineRule="auto" w:line="288" w:before="200" w:after="200"/>
        <w:jc w:val="both"/>
        <w:rPr/>
      </w:pPr>
      <w:r>
        <w:rPr>
          <w:rFonts w:ascii="Times New Roman;sans-serif" w:hAnsi="Times New Roman;sans-serif"/>
          <w:b w:val="false"/>
          <w:color w:val="000000"/>
          <w:sz w:val="20"/>
        </w:rPr>
        <w:t xml:space="preserve">Busey had loans pledged to the FHLB and Federal Reserve for liquidity as set forth in the table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4854" w:type="dxa"/>
        <w:jc w:val="left"/>
        <w:tblInd w:w="0" w:type="dxa"/>
        <w:tblLayout w:type="fixed"/>
        <w:tblCellMar>
          <w:top w:w="28" w:type="dxa"/>
          <w:left w:w="28" w:type="dxa"/>
          <w:bottom w:w="28" w:type="dxa"/>
          <w:right w:w="28" w:type="dxa"/>
        </w:tblCellMar>
      </w:tblPr>
      <w:tblGrid>
        <w:gridCol w:w="684"/>
        <w:gridCol w:w="601"/>
        <w:gridCol w:w="605"/>
        <w:gridCol w:w="211"/>
        <w:gridCol w:w="976"/>
        <w:gridCol w:w="109"/>
        <w:gridCol w:w="109"/>
        <w:gridCol w:w="109"/>
        <w:gridCol w:w="109"/>
        <w:gridCol w:w="211"/>
        <w:gridCol w:w="97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Pledged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Reserve Bank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pledged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5,900,166 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Risk Grading</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utilizes a loan grading scale to assign a risk grade to all of its loans. A description of the general characteristics of each grade is as follows:</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i/>
          <w:color w:val="000000"/>
          <w:sz w:val="20"/>
        </w:rPr>
        <w:t>Pass </w:t>
      </w:r>
      <w:r>
        <w:rPr>
          <w:color w:val="000000"/>
        </w:rPr>
        <w:t>– </w:t>
      </w:r>
      <w:r>
        <w:rPr>
          <w:rFonts w:ascii="Times New Roman;sans-serif" w:hAnsi="Times New Roman;sans-serif"/>
          <w:b w:val="false"/>
          <w:color w:val="000000"/>
          <w:sz w:val="20"/>
        </w:rPr>
        <w:t>This category includes loans that are all considered acceptable credits, ranging from investment or near investment grade, to loans made to borrowers who exhibit credit fundamentals that meet or exceed industry standards.</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i/>
          <w:color w:val="000000"/>
          <w:sz w:val="20"/>
        </w:rPr>
        <w:t>Watch </w:t>
      </w:r>
      <w:r>
        <w:rPr>
          <w:color w:val="000000"/>
        </w:rPr>
        <w:t>– </w:t>
      </w:r>
      <w:r>
        <w:rPr>
          <w:rFonts w:ascii="Times New Roman;sans-serif" w:hAnsi="Times New Roman;sans-serif"/>
          <w:b w:val="false"/>
          <w:color w:val="000000"/>
          <w:sz w:val="20"/>
        </w:rPr>
        <w:t>This category includes loans that warrant a higher-than-average level of monitoring to ensure that weaknesses do not cause the inability of the credit to perform as expected. These loans are not necessarily a problem due to other inherent strengths of the credit, such as guarantor strength, but have above average concern and monitoring.</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i/>
          <w:color w:val="000000"/>
          <w:sz w:val="20"/>
        </w:rPr>
        <w:t>Special mention </w:t>
      </w:r>
      <w:r>
        <w:rPr>
          <w:color w:val="000000"/>
        </w:rPr>
        <w:t>– </w:t>
      </w:r>
      <w:r>
        <w:rPr>
          <w:rFonts w:ascii="Times New Roman;sans-serif" w:hAnsi="Times New Roman;sans-serif"/>
          <w:b w:val="false"/>
          <w:color w:val="000000"/>
          <w:sz w:val="20"/>
        </w:rPr>
        <w:t>This category is for “Other Assets Specially Mentioned” loans that have potential weaknesses, which may, if not checked or corrected, weaken the asset or inadequately protect the Company’s credit position at some future date.</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i/>
          <w:color w:val="000000"/>
          <w:sz w:val="20"/>
        </w:rPr>
        <w:t>Substandard </w:t>
      </w:r>
      <w:r>
        <w:rPr>
          <w:color w:val="000000"/>
        </w:rPr>
        <w:t>– </w:t>
      </w:r>
      <w:r>
        <w:rPr>
          <w:rFonts w:ascii="Times New Roman;sans-serif" w:hAnsi="Times New Roman;sans-serif"/>
          <w:b w:val="false"/>
          <w:color w:val="000000"/>
          <w:sz w:val="20"/>
        </w:rPr>
        <w:t>This category includes “Substandard” loans, determined in accordance with regulatory guidelines, for 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i/>
          <w:color w:val="000000"/>
          <w:sz w:val="20"/>
        </w:rPr>
        <w:t>Substandard non-accrual </w:t>
      </w:r>
      <w:r>
        <w:rPr>
          <w:color w:val="000000"/>
        </w:rPr>
        <w:t>– </w:t>
      </w:r>
      <w:r>
        <w:rPr>
          <w:rFonts w:ascii="Times New Roman;sans-serif" w:hAnsi="Times New Roman;sans-serif"/>
          <w:b w:val="false"/>
          <w:color w:val="000000"/>
          <w:sz w:val="20"/>
        </w:rPr>
        <w:t>This category includes loans that have all the characteristics of a “Substandard” loan with additional factors that make collection in full highly questionable and improbable. Such loans are placed on non-accrual status and may be dependent on collateral with a value that is difficult to determine.</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 is a summary of risk grades segregated by category and class of portfolio loans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603"/>
        <w:gridCol w:w="528"/>
        <w:gridCol w:w="532"/>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55"/>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Watch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Special</w:t>
              <w:br/>
              <w:t>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Substandard</w:t>
              <w:br/>
              <w:t>Non-accrual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1,899,718 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3,361,308 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5,793,426 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Retail loans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2,011,858 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7,805,284 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
        <w:gridCol w:w="528"/>
        <w:gridCol w:w="532"/>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976"/>
        <w:gridCol w:w="155"/>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Watch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Special</w:t>
              <w:br/>
              <w:t>Mention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Substandard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Substandard</w:t>
              <w:br/>
              <w:t>Non-accrual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3,261,873 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Retail loans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20"/>
        </w:rPr>
        <w:t xml:space="preserve">Risk grades of portfolio loans and net charge-offs are presented in the tables below by loan class, further sorted by origination year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tbl>
      <w:tblPr>
        <w:tblW w:w="12475" w:type="dxa"/>
        <w:jc w:val="left"/>
        <w:tblInd w:w="0" w:type="dxa"/>
        <w:tblLayout w:type="fixed"/>
        <w:tblCellMar>
          <w:top w:w="28" w:type="dxa"/>
          <w:left w:w="28" w:type="dxa"/>
          <w:bottom w:w="28" w:type="dxa"/>
          <w:right w:w="28" w:type="dxa"/>
        </w:tblCellMar>
      </w:tblPr>
      <w:tblGrid>
        <w:gridCol w:w="590"/>
        <w:gridCol w:w="275"/>
        <w:gridCol w:w="216"/>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5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Six Months Ended June 30,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Amortized Cost Basis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Risk Grade Ratings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3,361,308 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Real estate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real estate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Retail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retail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1,703,057 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Retail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retail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portfolio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7,805,284 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period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tbl>
      <w:tblPr>
        <w:tblW w:w="12610" w:type="dxa"/>
        <w:jc w:val="left"/>
        <w:tblInd w:w="0" w:type="dxa"/>
        <w:tblLayout w:type="fixed"/>
        <w:tblCellMar>
          <w:top w:w="28" w:type="dxa"/>
          <w:left w:w="28" w:type="dxa"/>
          <w:bottom w:w="28" w:type="dxa"/>
          <w:right w:w="28" w:type="dxa"/>
        </w:tblCellMar>
      </w:tblPr>
      <w:tblGrid>
        <w:gridCol w:w="590"/>
        <w:gridCol w:w="275"/>
        <w:gridCol w:w="216"/>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5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2"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 Loans Amortized Cost Basis by Origination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Revolving</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Risk Grade Ratings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Real estate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real estate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Retail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retail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1,657,082 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Retail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Substandard non-accrual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retail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portfolio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2,288,440 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1,926,481 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962,405 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558,294 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323,245 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644,140 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1,022,697 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7,725,702 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Past Due and Non-accrual Loans</w:t>
      </w:r>
    </w:p>
    <w:p>
      <w:pPr>
        <w:pStyle w:val="TextBody"/>
        <w:bidi w:val="0"/>
        <w:spacing w:lineRule="auto" w:line="288" w:before="200" w:after="200"/>
        <w:jc w:val="both"/>
        <w:rPr/>
      </w:pPr>
      <w:r>
        <w:rPr>
          <w:rFonts w:ascii="Times New Roman;sans-serif" w:hAnsi="Times New Roman;sans-serif"/>
          <w:b w:val="false"/>
          <w:color w:val="000000"/>
          <w:sz w:val="20"/>
        </w:rPr>
        <w:t xml:space="preserve">An analysis of the amortized cost basis of portfolio loans that are past due and still accruing, or on a non-accrual status, is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340" w:type="dxa"/>
        <w:jc w:val="left"/>
        <w:tblInd w:w="0" w:type="dxa"/>
        <w:tblLayout w:type="fixed"/>
        <w:tblCellMar>
          <w:top w:w="28" w:type="dxa"/>
          <w:left w:w="28" w:type="dxa"/>
          <w:bottom w:w="28" w:type="dxa"/>
          <w:right w:w="28" w:type="dxa"/>
        </w:tblCellMar>
      </w:tblPr>
      <w:tblGrid>
        <w:gridCol w:w="1308"/>
        <w:gridCol w:w="1150"/>
        <w:gridCol w:w="1157"/>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721"/>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Loans past due, still accruing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Non-accrual</w:t>
              <w:br/>
              <w:t>Loans</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90+Days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Past due and non-accrual loans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 due and non-accrual commercial loans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 due and non-accrual retail loans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past due and non-accrual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40" w:type="dxa"/>
        <w:jc w:val="left"/>
        <w:tblInd w:w="0" w:type="dxa"/>
        <w:tblLayout w:type="fixed"/>
        <w:tblCellMar>
          <w:top w:w="28" w:type="dxa"/>
          <w:left w:w="28" w:type="dxa"/>
          <w:bottom w:w="28" w:type="dxa"/>
          <w:right w:w="28" w:type="dxa"/>
        </w:tblCellMar>
      </w:tblPr>
      <w:tblGrid>
        <w:gridCol w:w="1308"/>
        <w:gridCol w:w="1150"/>
        <w:gridCol w:w="1157"/>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721"/>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Loans past due, still accruing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Non-accrual</w:t>
              <w:br/>
              <w:t>Loans</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90+Days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Past due and non-accrual loans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 due and non-accrual commercial loans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 due and non-accrual retail loans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past due and non-accrual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Gross interest income recorded on 90+ days past due loans, and that would have been recorded on non-accrual loans if they had been accruing interest in accordance with their original terms, was $0.3 million and $0.7 million for the three and six months ended June 30, 2023, respectively, and was $0.3 million and $0.5 million for the three and six months ended June 30, 2022, respectively. The amount of interest collected on those loans and recognized on a cash basis that was included in interest income was insignificant for the three and six months ended June 30, 2023. Interest collected on these loans and recognized on a cash basis was insignificant for the three months ended June 30, 2022, and was $0.4 million for the six months ended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Loan Modification Disclosures Pursuant to ASU 2022-02</w:t>
      </w:r>
    </w:p>
    <w:p>
      <w:pPr>
        <w:pStyle w:val="TextBody"/>
        <w:bidi w:val="0"/>
        <w:spacing w:lineRule="auto" w:line="288" w:before="200" w:after="200"/>
        <w:jc w:val="both"/>
        <w:rPr/>
      </w:pPr>
      <w:r>
        <w:rPr>
          <w:rFonts w:ascii="Times New Roman;sans-serif" w:hAnsi="Times New Roman;sans-serif"/>
          <w:b w:val="false"/>
          <w:color w:val="000000"/>
          <w:sz w:val="20"/>
        </w:rPr>
        <w:t xml:space="preserve">The followings table show the amortized cost basis of loans that were modified for borrowers experiencing financial difficulty during the periods indicated, disaggregated by class of financing receivable and type of concession granted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702"/>
        <w:gridCol w:w="598"/>
        <w:gridCol w:w="604"/>
        <w:gridCol w:w="109"/>
        <w:gridCol w:w="109"/>
        <w:gridCol w:w="109"/>
        <w:gridCol w:w="109"/>
        <w:gridCol w:w="268"/>
        <w:gridCol w:w="594"/>
        <w:gridCol w:w="138"/>
        <w:gridCol w:w="109"/>
        <w:gridCol w:w="109"/>
        <w:gridCol w:w="109"/>
        <w:gridCol w:w="365"/>
        <w:gridCol w:w="365"/>
        <w:gridCol w:w="916"/>
        <w:gridCol w:w="109"/>
        <w:gridCol w:w="109"/>
        <w:gridCol w:w="109"/>
        <w:gridCol w:w="227"/>
        <w:gridCol w:w="778"/>
        <w:gridCol w:w="117"/>
        <w:gridCol w:w="109"/>
        <w:gridCol w:w="109"/>
        <w:gridCol w:w="109"/>
        <w:gridCol w:w="361"/>
        <w:gridCol w:w="353"/>
        <w:gridCol w:w="882"/>
        <w:gridCol w:w="109"/>
        <w:gridCol w:w="109"/>
        <w:gridCol w:w="109"/>
        <w:gridCol w:w="109"/>
        <w:gridCol w:w="109"/>
        <w:gridCol w:w="109"/>
        <w:gridCol w:w="109"/>
        <w:gridCol w:w="109"/>
        <w:gridCol w:w="109"/>
        <w:gridCol w:w="109"/>
        <w:gridCol w:w="109"/>
        <w:gridCol w:w="321"/>
      </w:tblGrid>
      <w:tr>
        <w:trPr/>
        <w:tc>
          <w:tcPr>
            <w:tcW w:w="70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1520" w:type="dxa"/>
            <w:gridSpan w:val="12"/>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Payment Deferral</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of Total Class of Financing Receivable</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Term Extension</w:t>
            </w:r>
            <w:r>
              <w:rPr>
                <w:rFonts w:ascii="Times New Roman;sans-serif" w:hAnsi="Times New Roman;sans-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 Total Class of Financing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class: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Total of loans modified during the period</w:t>
            </w:r>
            <w:r>
              <w:rPr>
                <w:rFonts w:ascii="Times New Roman;sans-serif" w:hAnsi="Times New Roman;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02"/>
        <w:gridCol w:w="598"/>
        <w:gridCol w:w="604"/>
        <w:gridCol w:w="109"/>
        <w:gridCol w:w="109"/>
        <w:gridCol w:w="109"/>
        <w:gridCol w:w="109"/>
        <w:gridCol w:w="268"/>
        <w:gridCol w:w="594"/>
        <w:gridCol w:w="138"/>
        <w:gridCol w:w="109"/>
        <w:gridCol w:w="109"/>
        <w:gridCol w:w="109"/>
        <w:gridCol w:w="365"/>
        <w:gridCol w:w="365"/>
        <w:gridCol w:w="916"/>
        <w:gridCol w:w="109"/>
        <w:gridCol w:w="109"/>
        <w:gridCol w:w="109"/>
        <w:gridCol w:w="227"/>
        <w:gridCol w:w="778"/>
        <w:gridCol w:w="117"/>
        <w:gridCol w:w="109"/>
        <w:gridCol w:w="109"/>
        <w:gridCol w:w="109"/>
        <w:gridCol w:w="361"/>
        <w:gridCol w:w="353"/>
        <w:gridCol w:w="882"/>
        <w:gridCol w:w="109"/>
        <w:gridCol w:w="109"/>
        <w:gridCol w:w="109"/>
        <w:gridCol w:w="109"/>
        <w:gridCol w:w="109"/>
        <w:gridCol w:w="109"/>
        <w:gridCol w:w="109"/>
        <w:gridCol w:w="109"/>
        <w:gridCol w:w="109"/>
        <w:gridCol w:w="109"/>
        <w:gridCol w:w="109"/>
        <w:gridCol w:w="321"/>
      </w:tblGrid>
      <w:tr>
        <w:trPr/>
        <w:tc>
          <w:tcPr>
            <w:tcW w:w="70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1520" w:type="dxa"/>
            <w:gridSpan w:val="12"/>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Payment Deferral</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 of Total Class of Financing Receivable</w:t>
            </w:r>
            <w:r>
              <w:rPr>
                <w:rFonts w:ascii="Times New Roman;sans-serif" w:hAnsi="Times New Roman;sans-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Term Extension</w:t>
            </w:r>
            <w:r>
              <w:rPr>
                <w:rFonts w:ascii="Times New Roman;sans-serif" w:hAnsi="Times New Roman;sans-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 Total Class of Financing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class: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Total of loans modified during the period</w:t>
            </w:r>
            <w:r>
              <w:rPr>
                <w:rFonts w:ascii="Times New Roman;sans-serif" w:hAnsi="Times New Roman;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 loan with payment deferral was modified to defer all principal payments until the end of the loan term, which was shortened.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2.Loans with payment deferrals represent an insignificant portion of commercial loans and total loans, rounding to zero percent.</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3.Modifications to extend loan terms also included, in some cases, interest rate increases during the extension period.</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4.Modifications include two loans on non-accrual status, one on special mention status, and the remaining loans were classified as substandard.</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effects of loan modifications made during the periods indicated, for borrowers experiencing financial difficulty:</w:t>
      </w:r>
    </w:p>
    <w:tbl>
      <w:tblPr>
        <w:tblW w:w="10205" w:type="dxa"/>
        <w:jc w:val="left"/>
        <w:tblInd w:w="0" w:type="dxa"/>
        <w:tblLayout w:type="fixed"/>
        <w:tblCellMar>
          <w:top w:w="28" w:type="dxa"/>
          <w:left w:w="28" w:type="dxa"/>
          <w:bottom w:w="28" w:type="dxa"/>
          <w:right w:w="28" w:type="dxa"/>
        </w:tblCellMar>
      </w:tblPr>
      <w:tblGrid>
        <w:gridCol w:w="710"/>
        <w:gridCol w:w="620"/>
        <w:gridCol w:w="625"/>
        <w:gridCol w:w="109"/>
        <w:gridCol w:w="109"/>
        <w:gridCol w:w="826"/>
        <w:gridCol w:w="806"/>
        <w:gridCol w:w="810"/>
        <w:gridCol w:w="109"/>
        <w:gridCol w:w="109"/>
        <w:gridCol w:w="109"/>
        <w:gridCol w:w="109"/>
        <w:gridCol w:w="109"/>
        <w:gridCol w:w="2253"/>
        <w:gridCol w:w="109"/>
        <w:gridCol w:w="804"/>
        <w:gridCol w:w="804"/>
        <w:gridCol w:w="807"/>
        <w:gridCol w:w="109"/>
        <w:gridCol w:w="159"/>
      </w:tblGrid>
      <w:tr>
        <w:trPr/>
        <w:tc>
          <w:tcPr>
            <w:tcW w:w="71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3"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2792" w:type="dxa"/>
            <w:gridSpan w:val="6"/>
            <w:tcBorders/>
          </w:tcPr>
          <w:p>
            <w:pPr>
              <w:pStyle w:val="TableContents"/>
              <w:bidi w:val="0"/>
              <w:spacing w:before="0" w:after="283"/>
              <w:jc w:val="left"/>
              <w:rPr>
                <w:sz w:val="4"/>
                <w:szCs w:val="4"/>
              </w:rPr>
            </w:pPr>
            <w:r>
              <w:rPr>
                <w:sz w:val="4"/>
                <w:szCs w:val="4"/>
              </w:rPr>
            </w:r>
          </w:p>
        </w:tc>
      </w:tr>
      <w:tr>
        <w:trPr/>
        <w:tc>
          <w:tcPr>
            <w:tcW w:w="1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class: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11.5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11.4 months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6.0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8.2 months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12.0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12.0 months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effect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10.3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11.0 months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 provides the amortized cost basis of financing receivables that had a payment default during the period and were modified in the 12 months before default for borrowers experiencing financial difficulty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 A default occurs when a loan is 90 days or more past due or transferred to non-accrual status.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tbl>
      <w:tblPr>
        <w:tblW w:w="9044" w:type="dxa"/>
        <w:jc w:val="left"/>
        <w:tblInd w:w="0" w:type="dxa"/>
        <w:tblLayout w:type="fixed"/>
        <w:tblCellMar>
          <w:top w:w="28" w:type="dxa"/>
          <w:left w:w="28" w:type="dxa"/>
          <w:bottom w:w="28" w:type="dxa"/>
          <w:right w:w="28" w:type="dxa"/>
        </w:tblCellMar>
      </w:tblPr>
      <w:tblGrid>
        <w:gridCol w:w="1765"/>
        <w:gridCol w:w="1549"/>
        <w:gridCol w:w="1561"/>
        <w:gridCol w:w="378"/>
        <w:gridCol w:w="837"/>
        <w:gridCol w:w="195"/>
        <w:gridCol w:w="186"/>
        <w:gridCol w:w="186"/>
        <w:gridCol w:w="186"/>
        <w:gridCol w:w="361"/>
        <w:gridCol w:w="798"/>
        <w:gridCol w:w="186"/>
        <w:gridCol w:w="109"/>
        <w:gridCol w:w="109"/>
        <w:gridCol w:w="109"/>
        <w:gridCol w:w="109"/>
        <w:gridCol w:w="109"/>
        <w:gridCol w:w="311"/>
      </w:tblGrid>
      <w:tr>
        <w:trPr/>
        <w:tc>
          <w:tcPr>
            <w:tcW w:w="176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and Six Months Ended June 30, 2023</w:t>
            </w:r>
          </w:p>
        </w:tc>
        <w:tc>
          <w:tcPr>
            <w:tcW w:w="856" w:type="dxa"/>
            <w:gridSpan w:val="6"/>
            <w:tcBorders/>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Payment Deferral</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 Extension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class:</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cost of modified loans with subsequent defaults</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closely monitors the performance of the loans that are modified to borrowers experiencing financial difficulty to understand the effectiveness of its modification efforts.</w:t>
      </w:r>
    </w:p>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 depicts the payment performance of loans modified on or after January 1, 2023, the date we adopted ASU 2022-02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687" w:type="dxa"/>
        <w:jc w:val="left"/>
        <w:tblInd w:w="0" w:type="dxa"/>
        <w:tblLayout w:type="fixed"/>
        <w:tblCellMar>
          <w:top w:w="28" w:type="dxa"/>
          <w:left w:w="28" w:type="dxa"/>
          <w:bottom w:w="28" w:type="dxa"/>
          <w:right w:w="28" w:type="dxa"/>
        </w:tblCellMar>
      </w:tblPr>
      <w:tblGrid>
        <w:gridCol w:w="1021"/>
        <w:gridCol w:w="895"/>
        <w:gridCol w:w="903"/>
        <w:gridCol w:w="211"/>
        <w:gridCol w:w="721"/>
        <w:gridCol w:w="109"/>
        <w:gridCol w:w="109"/>
        <w:gridCol w:w="109"/>
        <w:gridCol w:w="109"/>
        <w:gridCol w:w="270"/>
        <w:gridCol w:w="520"/>
        <w:gridCol w:w="139"/>
        <w:gridCol w:w="109"/>
        <w:gridCol w:w="109"/>
        <w:gridCol w:w="109"/>
        <w:gridCol w:w="226"/>
        <w:gridCol w:w="436"/>
        <w:gridCol w:w="117"/>
        <w:gridCol w:w="109"/>
        <w:gridCol w:w="109"/>
        <w:gridCol w:w="109"/>
        <w:gridCol w:w="211"/>
        <w:gridCol w:w="616"/>
        <w:gridCol w:w="311"/>
      </w:tblGrid>
      <w:tr>
        <w:trPr/>
        <w:tc>
          <w:tcPr>
            <w:tcW w:w="10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30-89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Non-accrual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class: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cost of modified loans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TDR Disclosures Prior to the Adoption of ASU 2022-02</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2022, performing TDR’s were $3.0 million and non-performing TDR’s were $0.5 million.</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One loan was newly designated as a TDR during the three and six months ended June 30, 2022. There were no TDRs entered into during the 12 months ended June 30, 2022, that had subsequent defaults during the three or six months ended June 30, 2022. Gross interest income that would have been recorded in the three and six months ended June 30, 2022, if TDRs had performed in accordance with their original terms compared with their modified terms, was insignificant.</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Collateral Dependent Loans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The Company had $13.6 million and $14.0 million of collateral dependent loans secured by real estate or business assets as of June 30, 2023, and December 31, 2022, respectively.</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Foreclosures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Busey had $1.1 million of residential real estate in the process of foreclosure. Busey follows Federal Housing Finance Agency guidelines on single-family foreclosures and real estate owned evictions on portfolio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Loans Evaluated Individually</w:t>
      </w:r>
    </w:p>
    <w:p>
      <w:pPr>
        <w:pStyle w:val="TextBody"/>
        <w:bidi w:val="0"/>
        <w:spacing w:lineRule="auto" w:line="288" w:before="200" w:after="200"/>
        <w:jc w:val="both"/>
        <w:rPr/>
      </w:pPr>
      <w:r>
        <w:rPr>
          <w:rFonts w:ascii="Times New Roman;sans-serif" w:hAnsi="Times New Roman;sans-serif"/>
          <w:b w:val="false"/>
          <w:color w:val="000000"/>
          <w:sz w:val="20"/>
        </w:rPr>
        <w:t xml:space="preserve">Busey evaluates loans with disparate risk characteristics on an individual basis. The following tables provide details of loans evaluated individually, segregated by loan category and class. The unpaid principal balance represents customer outstanding contractual principal balances excluding any partial charge-offs. Recorded investment represents the amortized cost of customer balances net of any partial charge-offs recognized on the loan. Average recorded investment is calculated using the most recent four quarters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939"/>
        <w:gridCol w:w="826"/>
        <w:gridCol w:w="827"/>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6"/>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Unpaid</w:t>
              <w:br/>
              <w:t>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Recorded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Recorded</w:t>
              <w:br/>
              <w:t>Investment</w:t>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With No</w:t>
              <w:b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With</w:t>
              <w:b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Related</w:t>
              <w:b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Loans evaluated individually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 evaluated individually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 evaluated individually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evaluated individually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9"/>
        <w:gridCol w:w="826"/>
        <w:gridCol w:w="827"/>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56"/>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Unpaid</w:t>
              <w:br/>
              <w:t>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Recorded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Recorded</w:t>
              <w:br/>
              <w:t>Investment</w:t>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With No</w:t>
              <w:b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With</w:t>
              <w:br/>
              <w:t>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Related</w:t>
              <w:b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Loans evaluated individually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 evaluated individually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 evaluated individually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evaluated individually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Busey’s historical loss experience beginning in 2010. Due to the continued economic uncertainty in the markets in which the Company operates, Busey will continue to utilize a forecast period of 12 months with an immediate reversion to historical loss rates beyond this forecast period in its ACL estimate. PPP loans were excluded from the ACL calculation as they are 100% government guaranteed.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tables summarize activity in the ACL attributable to each loan category. Allocation of a portion of the ACL to one category does not preclude its availability to absorb losses in other categories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858"/>
        <w:gridCol w:w="722"/>
        <w:gridCol w:w="724"/>
        <w:gridCol w:w="211"/>
        <w:gridCol w:w="721"/>
        <w:gridCol w:w="109"/>
        <w:gridCol w:w="109"/>
        <w:gridCol w:w="109"/>
        <w:gridCol w:w="109"/>
        <w:gridCol w:w="211"/>
        <w:gridCol w:w="721"/>
        <w:gridCol w:w="109"/>
        <w:gridCol w:w="109"/>
        <w:gridCol w:w="109"/>
        <w:gridCol w:w="109"/>
        <w:gridCol w:w="236"/>
        <w:gridCol w:w="691"/>
        <w:gridCol w:w="124"/>
        <w:gridCol w:w="109"/>
        <w:gridCol w:w="109"/>
        <w:gridCol w:w="109"/>
        <w:gridCol w:w="211"/>
        <w:gridCol w:w="721"/>
        <w:gridCol w:w="109"/>
        <w:gridCol w:w="109"/>
        <w:gridCol w:w="109"/>
        <w:gridCol w:w="109"/>
        <w:gridCol w:w="226"/>
        <w:gridCol w:w="661"/>
        <w:gridCol w:w="116"/>
        <w:gridCol w:w="109"/>
        <w:gridCol w:w="109"/>
        <w:gridCol w:w="109"/>
        <w:gridCol w:w="211"/>
        <w:gridCol w:w="721"/>
        <w:gridCol w:w="157"/>
      </w:tblGrid>
      <w:tr>
        <w:trPr/>
        <w:tc>
          <w:tcPr>
            <w:tcW w:w="85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w:t>
              <w:br/>
              <w:t>Construction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balance, March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Charged-off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balance,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9"/>
        <w:gridCol w:w="717"/>
        <w:gridCol w:w="719"/>
        <w:gridCol w:w="211"/>
        <w:gridCol w:w="721"/>
        <w:gridCol w:w="109"/>
        <w:gridCol w:w="109"/>
        <w:gridCol w:w="109"/>
        <w:gridCol w:w="109"/>
        <w:gridCol w:w="211"/>
        <w:gridCol w:w="721"/>
        <w:gridCol w:w="109"/>
        <w:gridCol w:w="109"/>
        <w:gridCol w:w="109"/>
        <w:gridCol w:w="109"/>
        <w:gridCol w:w="236"/>
        <w:gridCol w:w="691"/>
        <w:gridCol w:w="124"/>
        <w:gridCol w:w="109"/>
        <w:gridCol w:w="109"/>
        <w:gridCol w:w="109"/>
        <w:gridCol w:w="211"/>
        <w:gridCol w:w="721"/>
        <w:gridCol w:w="109"/>
        <w:gridCol w:w="109"/>
        <w:gridCol w:w="109"/>
        <w:gridCol w:w="109"/>
        <w:gridCol w:w="224"/>
        <w:gridCol w:w="654"/>
        <w:gridCol w:w="115"/>
        <w:gridCol w:w="109"/>
        <w:gridCol w:w="109"/>
        <w:gridCol w:w="109"/>
        <w:gridCol w:w="211"/>
        <w:gridCol w:w="721"/>
        <w:gridCol w:w="156"/>
      </w:tblGrid>
      <w:tr>
        <w:trPr/>
        <w:tc>
          <w:tcPr>
            <w:tcW w:w="87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0"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w:t>
              <w:br/>
              <w:t>Construction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balance,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Charged-off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balance,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58"/>
        <w:gridCol w:w="722"/>
        <w:gridCol w:w="724"/>
        <w:gridCol w:w="211"/>
        <w:gridCol w:w="721"/>
        <w:gridCol w:w="109"/>
        <w:gridCol w:w="109"/>
        <w:gridCol w:w="109"/>
        <w:gridCol w:w="109"/>
        <w:gridCol w:w="211"/>
        <w:gridCol w:w="721"/>
        <w:gridCol w:w="109"/>
        <w:gridCol w:w="109"/>
        <w:gridCol w:w="109"/>
        <w:gridCol w:w="109"/>
        <w:gridCol w:w="236"/>
        <w:gridCol w:w="691"/>
        <w:gridCol w:w="124"/>
        <w:gridCol w:w="109"/>
        <w:gridCol w:w="109"/>
        <w:gridCol w:w="109"/>
        <w:gridCol w:w="211"/>
        <w:gridCol w:w="721"/>
        <w:gridCol w:w="109"/>
        <w:gridCol w:w="109"/>
        <w:gridCol w:w="109"/>
        <w:gridCol w:w="109"/>
        <w:gridCol w:w="226"/>
        <w:gridCol w:w="661"/>
        <w:gridCol w:w="116"/>
        <w:gridCol w:w="109"/>
        <w:gridCol w:w="109"/>
        <w:gridCol w:w="109"/>
        <w:gridCol w:w="211"/>
        <w:gridCol w:w="721"/>
        <w:gridCol w:w="157"/>
      </w:tblGrid>
      <w:tr>
        <w:trPr/>
        <w:tc>
          <w:tcPr>
            <w:tcW w:w="85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r>
      <w:tr>
        <w:trPr/>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w:t>
              <w:br/>
              <w:t>Construction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balance, March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Charged-off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balance, June 30,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9"/>
        <w:gridCol w:w="717"/>
        <w:gridCol w:w="719"/>
        <w:gridCol w:w="211"/>
        <w:gridCol w:w="721"/>
        <w:gridCol w:w="109"/>
        <w:gridCol w:w="109"/>
        <w:gridCol w:w="109"/>
        <w:gridCol w:w="109"/>
        <w:gridCol w:w="211"/>
        <w:gridCol w:w="721"/>
        <w:gridCol w:w="109"/>
        <w:gridCol w:w="109"/>
        <w:gridCol w:w="109"/>
        <w:gridCol w:w="109"/>
        <w:gridCol w:w="236"/>
        <w:gridCol w:w="691"/>
        <w:gridCol w:w="124"/>
        <w:gridCol w:w="109"/>
        <w:gridCol w:w="109"/>
        <w:gridCol w:w="109"/>
        <w:gridCol w:w="211"/>
        <w:gridCol w:w="721"/>
        <w:gridCol w:w="109"/>
        <w:gridCol w:w="109"/>
        <w:gridCol w:w="109"/>
        <w:gridCol w:w="109"/>
        <w:gridCol w:w="224"/>
        <w:gridCol w:w="654"/>
        <w:gridCol w:w="115"/>
        <w:gridCol w:w="109"/>
        <w:gridCol w:w="109"/>
        <w:gridCol w:w="109"/>
        <w:gridCol w:w="211"/>
        <w:gridCol w:w="721"/>
        <w:gridCol w:w="156"/>
      </w:tblGrid>
      <w:tr>
        <w:trPr/>
        <w:tc>
          <w:tcPr>
            <w:tcW w:w="87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0"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w:t>
              <w:br/>
              <w:t>Construction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Retail</w:t>
              <w:b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balance, December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Charged-off</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balance, June 30, 2022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tables present the ACL and amortized cost of portfolio loans by loan category and class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741"/>
        <w:gridCol w:w="500"/>
        <w:gridCol w:w="502"/>
        <w:gridCol w:w="211"/>
        <w:gridCol w:w="976"/>
        <w:gridCol w:w="109"/>
        <w:gridCol w:w="109"/>
        <w:gridCol w:w="109"/>
        <w:gridCol w:w="109"/>
        <w:gridCol w:w="215"/>
        <w:gridCol w:w="736"/>
        <w:gridCol w:w="111"/>
        <w:gridCol w:w="109"/>
        <w:gridCol w:w="109"/>
        <w:gridCol w:w="109"/>
        <w:gridCol w:w="211"/>
        <w:gridCol w:w="976"/>
        <w:gridCol w:w="109"/>
        <w:gridCol w:w="109"/>
        <w:gridCol w:w="109"/>
        <w:gridCol w:w="109"/>
        <w:gridCol w:w="215"/>
        <w:gridCol w:w="736"/>
        <w:gridCol w:w="111"/>
        <w:gridCol w:w="109"/>
        <w:gridCol w:w="109"/>
        <w:gridCol w:w="109"/>
        <w:gridCol w:w="229"/>
        <w:gridCol w:w="671"/>
        <w:gridCol w:w="118"/>
        <w:gridCol w:w="109"/>
        <w:gridCol w:w="109"/>
        <w:gridCol w:w="109"/>
        <w:gridCol w:w="211"/>
        <w:gridCol w:w="721"/>
        <w:gridCol w:w="161"/>
      </w:tblGrid>
      <w:tr>
        <w:trPr/>
        <w:tc>
          <w:tcPr>
            <w:tcW w:w="74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Portfolio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ACL Attributed to Portfolio Loans</w:t>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Collectively</w:t>
              <w:br/>
              <w:t>Evaluated for</w:t>
              <w:b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Individually</w:t>
              <w:br/>
              <w:t>Evaluated for</w:t>
              <w:b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Collectively</w:t>
              <w:br/>
              <w:t>Evaluated for</w:t>
              <w:b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Individually</w:t>
              <w:br/>
              <w:t>Evaluated for</w:t>
              <w:b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Portfolio loans and related ACL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 and related ACL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63,237 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 and related ACL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and related ACL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1"/>
        <w:gridCol w:w="500"/>
        <w:gridCol w:w="502"/>
        <w:gridCol w:w="211"/>
        <w:gridCol w:w="976"/>
        <w:gridCol w:w="109"/>
        <w:gridCol w:w="109"/>
        <w:gridCol w:w="109"/>
        <w:gridCol w:w="109"/>
        <w:gridCol w:w="215"/>
        <w:gridCol w:w="736"/>
        <w:gridCol w:w="111"/>
        <w:gridCol w:w="109"/>
        <w:gridCol w:w="109"/>
        <w:gridCol w:w="109"/>
        <w:gridCol w:w="211"/>
        <w:gridCol w:w="976"/>
        <w:gridCol w:w="109"/>
        <w:gridCol w:w="109"/>
        <w:gridCol w:w="109"/>
        <w:gridCol w:w="109"/>
        <w:gridCol w:w="215"/>
        <w:gridCol w:w="736"/>
        <w:gridCol w:w="111"/>
        <w:gridCol w:w="109"/>
        <w:gridCol w:w="109"/>
        <w:gridCol w:w="109"/>
        <w:gridCol w:w="229"/>
        <w:gridCol w:w="671"/>
        <w:gridCol w:w="118"/>
        <w:gridCol w:w="109"/>
        <w:gridCol w:w="109"/>
        <w:gridCol w:w="109"/>
        <w:gridCol w:w="211"/>
        <w:gridCol w:w="721"/>
        <w:gridCol w:w="161"/>
      </w:tblGrid>
      <w:tr>
        <w:trPr/>
        <w:tc>
          <w:tcPr>
            <w:tcW w:w="74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Portfolio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ACL Attributed to Portfolio Loans</w:t>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Collectively</w:t>
              <w:br/>
              <w:t>Evaluated for</w:t>
              <w:b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Individually</w:t>
              <w:br/>
              <w:t>Evaluated for</w:t>
              <w:b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Collectively</w:t>
              <w:br/>
              <w:t>Evaluated for</w:t>
              <w:b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Individually</w:t>
              <w:br/>
              <w:t>Evaluated for</w:t>
              <w:br/>
              <w:t>Impairment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Portfolio loans and related ACL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loans and related ACL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loans and related ACL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and related ACL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7,710,055 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87,107 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4: Leases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Busey as the Lessee</w:t>
      </w:r>
    </w:p>
    <w:p>
      <w:pPr>
        <w:pStyle w:val="TextBody"/>
        <w:bidi w:val="0"/>
        <w:spacing w:lineRule="auto" w:line="288" w:before="200" w:after="200"/>
        <w:jc w:val="both"/>
        <w:rPr/>
      </w:pPr>
      <w:r>
        <w:rPr>
          <w:rFonts w:ascii="Times New Roman;sans-serif" w:hAnsi="Times New Roman;sans-serif"/>
          <w:b w:val="false"/>
          <w:color w:val="000000"/>
          <w:sz w:val="20"/>
        </w:rPr>
        <w:t xml:space="preserve">Busey has operating leases consisting primarily of equipment leases and real estate leases for banking centers, ATM locations, and office space. The following table summarizes lease-related information and balances reported in our Consolidated Balance Sheets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6812" w:type="dxa"/>
        <w:jc w:val="left"/>
        <w:tblInd w:w="0" w:type="dxa"/>
        <w:tblLayout w:type="fixed"/>
        <w:tblCellMar>
          <w:top w:w="28" w:type="dxa"/>
          <w:left w:w="28" w:type="dxa"/>
          <w:bottom w:w="28" w:type="dxa"/>
          <w:right w:w="28" w:type="dxa"/>
        </w:tblCellMar>
      </w:tblPr>
      <w:tblGrid>
        <w:gridCol w:w="1462"/>
        <w:gridCol w:w="1283"/>
        <w:gridCol w:w="1289"/>
        <w:gridCol w:w="211"/>
        <w:gridCol w:w="721"/>
        <w:gridCol w:w="271"/>
        <w:gridCol w:w="109"/>
        <w:gridCol w:w="109"/>
        <w:gridCol w:w="109"/>
        <w:gridCol w:w="211"/>
        <w:gridCol w:w="721"/>
        <w:gridCol w:w="316"/>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balances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information</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through which lease terms extend</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 represents lease costs and cash flows related to leases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043"/>
        <w:gridCol w:w="1732"/>
        <w:gridCol w:w="1700"/>
        <w:gridCol w:w="239"/>
        <w:gridCol w:w="529"/>
        <w:gridCol w:w="123"/>
        <w:gridCol w:w="123"/>
        <w:gridCol w:w="123"/>
        <w:gridCol w:w="123"/>
        <w:gridCol w:w="239"/>
        <w:gridCol w:w="529"/>
        <w:gridCol w:w="123"/>
        <w:gridCol w:w="109"/>
        <w:gridCol w:w="109"/>
        <w:gridCol w:w="109"/>
        <w:gridCol w:w="211"/>
        <w:gridCol w:w="616"/>
        <w:gridCol w:w="109"/>
        <w:gridCol w:w="109"/>
        <w:gridCol w:w="109"/>
        <w:gridCol w:w="109"/>
        <w:gridCol w:w="211"/>
        <w:gridCol w:w="616"/>
        <w:gridCol w:w="162"/>
      </w:tblGrid>
      <w:tr>
        <w:trPr/>
        <w:tc>
          <w:tcPr>
            <w:tcW w:w="204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Lease costs</w:t>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Total lease cost</w:t>
            </w:r>
            <w:r>
              <w:rPr>
                <w:rFonts w:ascii="Times New Roman;sans-serif" w:hAnsi="Times New Roman;sans-serif"/>
                <w:b w:val="false"/>
                <w:color w:val="000000"/>
                <w:sz w:val="13"/>
              </w:rPr>
              <w:t>1</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related to leases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cash flows – Fixed payments</w:t>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cash flows – Liability reduction</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obtained during the period in exchange for operating lease liabilities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1.Lease costs are included in net occupancy and equipment expense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pPr>
      <w:r>
        <w:rPr>
          <w:rFonts w:ascii="Times New Roman;sans-serif" w:hAnsi="Times New Roman;sans-serif"/>
          <w:b w:val="false"/>
          <w:color w:val="000000"/>
          <w:sz w:val="20"/>
        </w:rPr>
        <w:t xml:space="preserve">Busey was obligated under noncancelable operating leases for office space and other commitments,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5504" w:type="dxa"/>
        <w:jc w:val="left"/>
        <w:tblInd w:w="0" w:type="dxa"/>
        <w:tblLayout w:type="fixed"/>
        <w:tblCellMar>
          <w:top w:w="28" w:type="dxa"/>
          <w:left w:w="28" w:type="dxa"/>
          <w:bottom w:w="28" w:type="dxa"/>
          <w:right w:w="28" w:type="dxa"/>
        </w:tblCellMar>
      </w:tblPr>
      <w:tblGrid>
        <w:gridCol w:w="1570"/>
        <w:gridCol w:w="1378"/>
        <w:gridCol w:w="1386"/>
        <w:gridCol w:w="227"/>
        <w:gridCol w:w="777"/>
        <w:gridCol w:w="166"/>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June 30, 2023</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Rent commitments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cash flows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interest</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net future minimum lease payments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Busey as the Lessor</w:t>
      </w:r>
    </w:p>
    <w:p>
      <w:pPr>
        <w:pStyle w:val="TextBody"/>
        <w:bidi w:val="0"/>
        <w:spacing w:lineRule="auto" w:line="288" w:before="200" w:after="200"/>
        <w:jc w:val="both"/>
        <w:rPr/>
      </w:pPr>
      <w:r>
        <w:rPr>
          <w:rFonts w:ascii="Times New Roman;sans-serif" w:hAnsi="Times New Roman;sans-serif"/>
          <w:b w:val="false"/>
          <w:color w:val="000000"/>
          <w:sz w:val="20"/>
        </w:rPr>
        <w:t xml:space="preserve">Busey occasionally leases parking lots and office space to outside parties. Revenues recorded in connection with these leases and reported in Other income on our unaudited Consolidated Statements of Income are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6006" w:type="dxa"/>
        <w:jc w:val="left"/>
        <w:tblInd w:w="0" w:type="dxa"/>
        <w:tblLayout w:type="fixed"/>
        <w:tblCellMar>
          <w:top w:w="28" w:type="dxa"/>
          <w:left w:w="28" w:type="dxa"/>
          <w:bottom w:w="28" w:type="dxa"/>
          <w:right w:w="28" w:type="dxa"/>
        </w:tblCellMar>
      </w:tblPr>
      <w:tblGrid>
        <w:gridCol w:w="472"/>
        <w:gridCol w:w="414"/>
        <w:gridCol w:w="418"/>
        <w:gridCol w:w="251"/>
        <w:gridCol w:w="556"/>
        <w:gridCol w:w="130"/>
        <w:gridCol w:w="130"/>
        <w:gridCol w:w="130"/>
        <w:gridCol w:w="130"/>
        <w:gridCol w:w="251"/>
        <w:gridCol w:w="556"/>
        <w:gridCol w:w="130"/>
        <w:gridCol w:w="109"/>
        <w:gridCol w:w="109"/>
        <w:gridCol w:w="109"/>
        <w:gridCol w:w="229"/>
        <w:gridCol w:w="507"/>
        <w:gridCol w:w="118"/>
        <w:gridCol w:w="118"/>
        <w:gridCol w:w="118"/>
        <w:gridCol w:w="118"/>
        <w:gridCol w:w="229"/>
        <w:gridCol w:w="507"/>
        <w:gridCol w:w="167"/>
      </w:tblGrid>
      <w:tr>
        <w:trPr/>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5: Deposits</w:t>
      </w:r>
    </w:p>
    <w:p>
      <w:pPr>
        <w:pStyle w:val="TextBody"/>
        <w:bidi w:val="0"/>
        <w:spacing w:lineRule="auto" w:line="288" w:before="200" w:after="200"/>
        <w:jc w:val="both"/>
        <w:rPr/>
      </w:pPr>
      <w:r>
        <w:rPr>
          <w:rFonts w:ascii="Times New Roman;sans-serif" w:hAnsi="Times New Roman;sans-serif"/>
          <w:b w:val="false"/>
          <w:color w:val="000000"/>
          <w:sz w:val="20"/>
        </w:rPr>
        <w:t xml:space="preserve">The composition of Busey’s deposits is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6849" w:type="dxa"/>
        <w:jc w:val="left"/>
        <w:tblInd w:w="0" w:type="dxa"/>
        <w:tblLayout w:type="fixed"/>
        <w:tblCellMar>
          <w:top w:w="28" w:type="dxa"/>
          <w:left w:w="28" w:type="dxa"/>
          <w:bottom w:w="28" w:type="dxa"/>
          <w:right w:w="28" w:type="dxa"/>
        </w:tblCellMar>
      </w:tblPr>
      <w:tblGrid>
        <w:gridCol w:w="1330"/>
        <w:gridCol w:w="1169"/>
        <w:gridCol w:w="1176"/>
        <w:gridCol w:w="211"/>
        <w:gridCol w:w="1081"/>
        <w:gridCol w:w="109"/>
        <w:gridCol w:w="109"/>
        <w:gridCol w:w="109"/>
        <w:gridCol w:w="109"/>
        <w:gridCol w:w="211"/>
        <w:gridCol w:w="1081"/>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Deposits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transaction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 deposits and money market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10,062,755 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10,071,280 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pPr>
      <w:r>
        <w:rPr>
          <w:rFonts w:ascii="Times New Roman;sans-serif" w:hAnsi="Times New Roman;sans-serif"/>
          <w:b w:val="false"/>
          <w:color w:val="000000"/>
          <w:sz w:val="20"/>
        </w:rPr>
        <w:t xml:space="preserve">Additional information about Busey’s deposits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906"/>
        <w:gridCol w:w="2461"/>
        <w:gridCol w:w="2478"/>
        <w:gridCol w:w="211"/>
        <w:gridCol w:w="616"/>
        <w:gridCol w:w="109"/>
        <w:gridCol w:w="109"/>
        <w:gridCol w:w="109"/>
        <w:gridCol w:w="109"/>
        <w:gridCol w:w="235"/>
        <w:gridCol w:w="688"/>
        <w:gridCol w:w="174"/>
      </w:tblGrid>
      <w:tr>
        <w:trPr/>
        <w:tc>
          <w:tcPr>
            <w:tcW w:w="29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Brokered savings deposits and money market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Brokered time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amount of time deposits with a minimum denomination of $100,000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amount of time deposits with a minimum denomination that meets or exceeds the FDIC insurance limit of $250,000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20"/>
        </w:rPr>
        <w:t xml:space="preserve">Scheduled maturities of time deposits are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4686" w:type="dxa"/>
        <w:jc w:val="left"/>
        <w:tblInd w:w="0" w:type="dxa"/>
        <w:tblLayout w:type="fixed"/>
        <w:tblCellMar>
          <w:top w:w="28" w:type="dxa"/>
          <w:left w:w="28" w:type="dxa"/>
          <w:bottom w:w="28" w:type="dxa"/>
          <w:right w:w="28" w:type="dxa"/>
        </w:tblCellMar>
      </w:tblPr>
      <w:tblGrid>
        <w:gridCol w:w="1211"/>
        <w:gridCol w:w="1063"/>
        <w:gridCol w:w="1071"/>
        <w:gridCol w:w="211"/>
        <w:gridCol w:w="97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June 30, 2023</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by schedule of maturities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1,471,615 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6: Borrowings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Securities Sold Under Agreements to Repurchase</w:t>
      </w:r>
    </w:p>
    <w:p>
      <w:pPr>
        <w:pStyle w:val="TextBody"/>
        <w:bidi w:val="0"/>
        <w:spacing w:lineRule="auto" w:line="288" w:before="200" w:after="200"/>
        <w:jc w:val="both"/>
        <w:rPr/>
      </w:pPr>
      <w:r>
        <w:rPr>
          <w:rFonts w:ascii="Times New Roman;sans-serif" w:hAnsi="Times New Roman;sans-serif"/>
          <w:b w:val="false"/>
          <w:color w:val="000000"/>
          <w:sz w:val="20"/>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Busey’s safekeeping agent. Busey may be required to provide additional collateral based on fluctuations in the fair value of the underlying securities. Securities sold under agreements to repurchase were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988" w:type="dxa"/>
        <w:jc w:val="left"/>
        <w:tblInd w:w="0" w:type="dxa"/>
        <w:tblLayout w:type="fixed"/>
        <w:tblCellMar>
          <w:top w:w="28" w:type="dxa"/>
          <w:left w:w="28" w:type="dxa"/>
          <w:bottom w:w="28" w:type="dxa"/>
          <w:right w:w="28" w:type="dxa"/>
        </w:tblCellMar>
      </w:tblPr>
      <w:tblGrid>
        <w:gridCol w:w="2172"/>
        <w:gridCol w:w="1911"/>
        <w:gridCol w:w="1917"/>
        <w:gridCol w:w="211"/>
        <w:gridCol w:w="826"/>
        <w:gridCol w:w="271"/>
        <w:gridCol w:w="109"/>
        <w:gridCol w:w="109"/>
        <w:gridCol w:w="109"/>
        <w:gridCol w:w="211"/>
        <w:gridCol w:w="826"/>
        <w:gridCol w:w="316"/>
      </w:tblGrid>
      <w:tr>
        <w:trPr/>
        <w:tc>
          <w:tcPr>
            <w:tcW w:w="2172"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sold under agreements to repurchase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rate for securities sold under agreements to repurchase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May 28, 2021, Busey entered into a Second Amended and Restated Credit Agreement, pursuant to which Busey has access to (i) a $40.0 million revolving line of credit with a termination date of April 30, 2022, and (ii) a $60.0 million term loan with a maturity date of May 31, 2026. The loans had an annual interest rate of 1.75% plus the one-month LIBOR rate. On April 30, 2022, the agreement was amended, effecting an extension of the termination date for the revolving line of credit to April 30, 2023, and providing for the transition from a LIBOR-indexed interest rate to a SOFR-indexed interest rate. Under the terms of the amendment, the loans now have an annual interest rate of 1.80% plus the one-month forward-looking term rate based on SOFR. On April 30, 2023, the agreement was further amended to extend the term for the revolving line of credit to April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Proceeds of the term loan were used to fund a part of the cash portion of the merger consideration related to the acquisition of CAC in the second quarter of 2021, and for general corporate purposes. As of June 30, 2023, there was no balance outstanding on the revolving credit facility and a total of $36.0 million outstanding on the term loan, of which $12.0 million was short-term and $24.0 million was long-term. The revolving credit facility incurs a non-usage fee based on any undrawn amounts. Quarterly payments on the term loan reduce the outstanding principal balance by $3.0 million each quarter.</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Short-term Borrowings</w:t>
      </w:r>
    </w:p>
    <w:p>
      <w:pPr>
        <w:pStyle w:val="TextBody"/>
        <w:bidi w:val="0"/>
        <w:spacing w:lineRule="auto" w:line="288" w:before="200" w:after="200"/>
        <w:jc w:val="both"/>
        <w:rPr/>
      </w:pPr>
      <w:r>
        <w:rPr>
          <w:rFonts w:ascii="Times New Roman;sans-serif" w:hAnsi="Times New Roman;sans-serif"/>
          <w:b w:val="false"/>
          <w:color w:val="000000"/>
          <w:sz w:val="20"/>
        </w:rPr>
        <w:t xml:space="preserve">Busey’s short-term borrowings include loans maturing within one year of the loan origination date, as well as the current portion of long-term debt that is due within 12 months. Short-term borrowings are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732"/>
        <w:gridCol w:w="2400"/>
        <w:gridCol w:w="2407"/>
        <w:gridCol w:w="211"/>
        <w:gridCol w:w="826"/>
        <w:gridCol w:w="109"/>
        <w:gridCol w:w="109"/>
        <w:gridCol w:w="109"/>
        <w:gridCol w:w="109"/>
        <w:gridCol w:w="211"/>
        <w:gridCol w:w="826"/>
        <w:gridCol w:w="156"/>
      </w:tblGrid>
      <w:tr>
        <w:trPr/>
        <w:tc>
          <w:tcPr>
            <w:tcW w:w="273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Short-term borrowings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 maturing in less than one year from date of origination, and the current portion of long-term FHLB advances due within 12 months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current portion due within 12 months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351,054 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Funds borrowed from the FHLB, listed above, consisted of one note with an interest rate of 5.17% and a maturity period of four days as of June 30, 2023, and four notes with a weighted average interest rate of 4.28% and a weighted average maturity period of five days as of December 31, 2022.</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Federal funds purchased are short-term borrowings that generally mature between one day and 90 days. During the first quarter of 2023, Busey purchased federal funds to test operational availability to access funds if needed. Busey had no federal funds purchased as of June 30, 2023, or December 31, 2022.</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Long-term Debt</w:t>
      </w:r>
    </w:p>
    <w:p>
      <w:pPr>
        <w:pStyle w:val="TextBody"/>
        <w:bidi w:val="0"/>
        <w:spacing w:lineRule="auto" w:line="288" w:before="200" w:after="200"/>
        <w:jc w:val="both"/>
        <w:rPr/>
      </w:pPr>
      <w:r>
        <w:rPr>
          <w:rFonts w:ascii="Times New Roman;sans-serif" w:hAnsi="Times New Roman;sans-serif"/>
          <w:b w:val="false"/>
          <w:color w:val="000000"/>
          <w:sz w:val="20"/>
        </w:rPr>
        <w:t xml:space="preserve">Busey’s long-term debt consists of loans maturing more than one year from the loan origination date, excluding the current portion that is due within 12 months. Long-term debt is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3947" w:type="dxa"/>
        <w:jc w:val="left"/>
        <w:tblInd w:w="0" w:type="dxa"/>
        <w:tblLayout w:type="fixed"/>
        <w:tblCellMar>
          <w:top w:w="28" w:type="dxa"/>
          <w:left w:w="28" w:type="dxa"/>
          <w:bottom w:w="28" w:type="dxa"/>
          <w:right w:w="28" w:type="dxa"/>
        </w:tblCellMar>
      </w:tblPr>
      <w:tblGrid>
        <w:gridCol w:w="521"/>
        <w:gridCol w:w="459"/>
        <w:gridCol w:w="460"/>
        <w:gridCol w:w="211"/>
        <w:gridCol w:w="721"/>
        <w:gridCol w:w="109"/>
        <w:gridCol w:w="109"/>
        <w:gridCol w:w="109"/>
        <w:gridCol w:w="109"/>
        <w:gridCol w:w="221"/>
        <w:gridCol w:w="757"/>
        <w:gridCol w:w="161"/>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Senior and Subordinated Notes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June 1, 2020, Busey issued $125.0 million of fixed-to-floating rate subordinated notes that mature on June 1, 2030. The subordinated notes, which qualify as Tier 2 capital for Busey, bear interest at an annual rate of 5.25% for the first five years after issuance and thereafter bear interest at a floating rate equal to a three-month benchmark rate plus a spread of 5.11%, as calculated on each applicable determination date. Interest on the subordinated notes is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June 2, 2022, Busey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accrues at a rate equal to (i) 5.000% per annum from the original issue date to, but excluding, June 15, 2027, payable semiannually in arrears, and (ii) a floating rate per annum equal to a benchmark rate, which is expected to be the Three-Month Term SOFR (as defined in the subordinated notes), plus a spread of 252 basis points from and including, June 15, 2027, payable quarterly in arrears. The subordinated notes have an optional redemption, in whole or in part, on any interest payment date on or after June 15, 2027.</w:t>
      </w:r>
    </w:p>
    <w:p>
      <w:pPr>
        <w:pStyle w:val="TextBody"/>
        <w:bidi w:val="0"/>
        <w:spacing w:lineRule="auto" w:line="288" w:before="200" w:after="200"/>
        <w:jc w:val="both"/>
        <w:rPr/>
      </w:pPr>
      <w:r>
        <w:rPr>
          <w:rFonts w:ascii="Times New Roman;sans-serif" w:hAnsi="Times New Roman;sans-serif"/>
          <w:b w:val="false"/>
          <w:color w:val="000000"/>
          <w:sz w:val="20"/>
        </w:rPr>
        <w:t xml:space="preserve">Unamortized debt issuance costs related to senior notes and subordinated notes are presented in the following table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5612" w:type="dxa"/>
        <w:jc w:val="left"/>
        <w:tblInd w:w="0" w:type="dxa"/>
        <w:tblLayout w:type="fixed"/>
        <w:tblCellMar>
          <w:top w:w="28" w:type="dxa"/>
          <w:left w:w="28" w:type="dxa"/>
          <w:bottom w:w="28" w:type="dxa"/>
          <w:right w:w="28" w:type="dxa"/>
        </w:tblCellMar>
      </w:tblPr>
      <w:tblGrid>
        <w:gridCol w:w="1162"/>
        <w:gridCol w:w="1022"/>
        <w:gridCol w:w="1025"/>
        <w:gridCol w:w="211"/>
        <w:gridCol w:w="616"/>
        <w:gridCol w:w="109"/>
        <w:gridCol w:w="109"/>
        <w:gridCol w:w="109"/>
        <w:gridCol w:w="109"/>
        <w:gridCol w:w="245"/>
        <w:gridCol w:w="716"/>
        <w:gridCol w:w="179"/>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Unamortized debt issuance costs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 issued in 2020</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 issued in 2022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unamortized debt issuance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7: Regulatory Capital</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Corporation and Busey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Busey's consolidated financial statements. Capital amounts and classification also are subject to qualitative judgments by regulators about components, risk weightings, and other factors.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Banking regulations identify five capital categories for insured depository institutions: well capitalized, adequately capitalized, undercapitalized, significantly undercapitalized, and critically undercapitalized. As of June 30, 2023, and December 31, 2022, all capital ratios of First Busey Corporation and Busey Bank exceeded well capitalized levels under the applicable regulatory capital adequacy guidelines. Management believes that no events or changes have occurred subsequent to June 30, 2023, that would change this designation.</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Current Expected Credit Loss Model</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26, 2020, the FDIC and other federal banking agencies adopted a final rule which provided banking organizations that adopted CECL during 2020 with the option to delay for two years the estimated impact of CECL on regulatory capital and to phase in the aggregate impact of the deferral on regulatory capital over a subsequent three-year period. Under this final rule, because the Company has elected to use the deferral option, the regulatory capital impact of our transition adjustments recorded on January 1, 2020, arising from the adoption of CECL, was deferred for two years. In addition, 25 percent of the ongoing impact of CECL on our ACL, retained earnings, and average total consolidated assets from January 1, 2020, through the end of the two-year deferral period, each as reported for regulatory capital purposes, has been added to the deferred transition amounts (“adjusted transition amounts”) and deferred for the two-year period. On January 1, 2022, at the conclusion of the two-year period, the adjusted transition amounts began to be phased-in for regulatory capital purposes at a rate of 25 percent per year, with the phased-in amounts included in regulatory capital at the beginning of each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Capital Amounts and Ratios</w:t>
      </w:r>
    </w:p>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tables summarize regulatory capital requirements applicable to First Busey Corporation and Busey Bank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847"/>
        <w:gridCol w:w="729"/>
        <w:gridCol w:w="732"/>
        <w:gridCol w:w="211"/>
        <w:gridCol w:w="976"/>
        <w:gridCol w:w="109"/>
        <w:gridCol w:w="109"/>
        <w:gridCol w:w="109"/>
        <w:gridCol w:w="109"/>
        <w:gridCol w:w="308"/>
        <w:gridCol w:w="308"/>
        <w:gridCol w:w="294"/>
        <w:gridCol w:w="109"/>
        <w:gridCol w:w="109"/>
        <w:gridCol w:w="109"/>
        <w:gridCol w:w="211"/>
        <w:gridCol w:w="826"/>
        <w:gridCol w:w="109"/>
        <w:gridCol w:w="109"/>
        <w:gridCol w:w="109"/>
        <w:gridCol w:w="109"/>
        <w:gridCol w:w="255"/>
        <w:gridCol w:w="256"/>
        <w:gridCol w:w="294"/>
        <w:gridCol w:w="109"/>
        <w:gridCol w:w="109"/>
        <w:gridCol w:w="109"/>
        <w:gridCol w:w="211"/>
        <w:gridCol w:w="826"/>
        <w:gridCol w:w="109"/>
        <w:gridCol w:w="109"/>
        <w:gridCol w:w="109"/>
        <w:gridCol w:w="109"/>
        <w:gridCol w:w="307"/>
        <w:gridCol w:w="309"/>
        <w:gridCol w:w="343"/>
      </w:tblGrid>
      <w:tr>
        <w:trPr/>
        <w:tc>
          <w:tcPr>
            <w:tcW w:w="84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br/>
              <w:t>Capital Requirement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br/>
              <w:t>To Be Well</w:t>
              <w:br/>
              <w:t>Capitalized</w:t>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Ratio </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Common equity Tier 1 capital to risk weighted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Tier 1 capital to risk weighted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to risk weighted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Leverage ratio of Tier 1 capital to average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tbl>
      <w:tblPr>
        <w:tblW w:w="10205" w:type="dxa"/>
        <w:jc w:val="left"/>
        <w:tblInd w:w="0" w:type="dxa"/>
        <w:tblLayout w:type="fixed"/>
        <w:tblCellMar>
          <w:top w:w="28" w:type="dxa"/>
          <w:left w:w="28" w:type="dxa"/>
          <w:bottom w:w="28" w:type="dxa"/>
          <w:right w:w="28" w:type="dxa"/>
        </w:tblCellMar>
      </w:tblPr>
      <w:tblGrid>
        <w:gridCol w:w="847"/>
        <w:gridCol w:w="729"/>
        <w:gridCol w:w="732"/>
        <w:gridCol w:w="211"/>
        <w:gridCol w:w="976"/>
        <w:gridCol w:w="109"/>
        <w:gridCol w:w="109"/>
        <w:gridCol w:w="109"/>
        <w:gridCol w:w="109"/>
        <w:gridCol w:w="308"/>
        <w:gridCol w:w="308"/>
        <w:gridCol w:w="294"/>
        <w:gridCol w:w="109"/>
        <w:gridCol w:w="109"/>
        <w:gridCol w:w="109"/>
        <w:gridCol w:w="211"/>
        <w:gridCol w:w="826"/>
        <w:gridCol w:w="109"/>
        <w:gridCol w:w="109"/>
        <w:gridCol w:w="109"/>
        <w:gridCol w:w="109"/>
        <w:gridCol w:w="255"/>
        <w:gridCol w:w="256"/>
        <w:gridCol w:w="294"/>
        <w:gridCol w:w="109"/>
        <w:gridCol w:w="109"/>
        <w:gridCol w:w="109"/>
        <w:gridCol w:w="211"/>
        <w:gridCol w:w="826"/>
        <w:gridCol w:w="109"/>
        <w:gridCol w:w="109"/>
        <w:gridCol w:w="109"/>
        <w:gridCol w:w="109"/>
        <w:gridCol w:w="307"/>
        <w:gridCol w:w="309"/>
        <w:gridCol w:w="343"/>
      </w:tblGrid>
      <w:tr>
        <w:trPr/>
        <w:tc>
          <w:tcPr>
            <w:tcW w:w="84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br/>
              <w:t>Capital Requirement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br/>
              <w:t>To Be Well</w:t>
              <w:br/>
              <w:t>Capitalized</w:t>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Ratio </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Common equity Tier 1 capital to risk weighted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Tier 1 capital to risk weighted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capital to risk weighted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Leverage ratio of Tier 1 capital to average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Busey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Busey Bank</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Capital Conservation Buffer</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common equity Tier 1 capital to risk-weighted assets of at least 7.0%, (ii) Tier 1 capital to risk-weighted assets of at least 8.5%, and (iii) total capital to risk-weighted assets of at least 10.5%.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8: Stock-Based Compensation</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has outstanding stock options assumed from acquisitions. A summary of the status of, and changes in, the Company's stock option awards for the six months ended June 30, 2023, follows:</w:t>
      </w:r>
    </w:p>
    <w:tbl>
      <w:tblPr>
        <w:tblW w:w="6914" w:type="dxa"/>
        <w:jc w:val="left"/>
        <w:tblInd w:w="0" w:type="dxa"/>
        <w:tblLayout w:type="fixed"/>
        <w:tblCellMar>
          <w:top w:w="28" w:type="dxa"/>
          <w:left w:w="28" w:type="dxa"/>
          <w:bottom w:w="28" w:type="dxa"/>
          <w:right w:w="28" w:type="dxa"/>
        </w:tblCellMar>
      </w:tblPr>
      <w:tblGrid>
        <w:gridCol w:w="1303"/>
        <w:gridCol w:w="1146"/>
        <w:gridCol w:w="1150"/>
        <w:gridCol w:w="228"/>
        <w:gridCol w:w="228"/>
        <w:gridCol w:w="233"/>
        <w:gridCol w:w="109"/>
        <w:gridCol w:w="109"/>
        <w:gridCol w:w="109"/>
        <w:gridCol w:w="211"/>
        <w:gridCol w:w="616"/>
        <w:gridCol w:w="109"/>
        <w:gridCol w:w="109"/>
        <w:gridCol w:w="109"/>
        <w:gridCol w:w="109"/>
        <w:gridCol w:w="303"/>
        <w:gridCol w:w="303"/>
        <w:gridCol w:w="430"/>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December 31, 2022</w:t>
            </w:r>
          </w:p>
        </w:tc>
        <w:tc>
          <w:tcPr>
            <w:tcW w:w="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June 30, 2023</w:t>
            </w:r>
          </w:p>
        </w:tc>
        <w:tc>
          <w:tcPr>
            <w:tcW w:w="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at June 30, 2023</w:t>
            </w:r>
          </w:p>
        </w:tc>
        <w:tc>
          <w:tcPr>
            <w:tcW w:w="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Amended 2020 Equity Plan</w:t>
      </w:r>
    </w:p>
    <w:p>
      <w:pPr>
        <w:pStyle w:val="TextBody"/>
        <w:bidi w:val="0"/>
        <w:spacing w:lineRule="auto" w:line="288" w:before="200" w:after="200"/>
        <w:jc w:val="both"/>
        <w:rPr/>
      </w:pPr>
      <w:r>
        <w:rPr>
          <w:rFonts w:ascii="Times New Roman;sans-serif" w:hAnsi="Times New Roman;sans-serif"/>
          <w:b w:val="false"/>
          <w:color w:val="000000"/>
          <w:sz w:val="20"/>
        </w:rPr>
        <w:t xml:space="preserve">The 2020 Equity Plan was approved by stockholders at the 2020 Annual Meeting of Stockholders. A description of the 2020 Equity Plan can be found in </w:t>
      </w:r>
      <w:hyperlink r:id="rId3">
        <w:r>
          <w:rPr>
            <w:rStyle w:val="InternetLink"/>
          </w:rPr>
          <w:t>Busey</w:t>
        </w:r>
      </w:hyperlink>
      <w:hyperlink r:id="rId4">
        <w:r>
          <w:rPr>
            <w:rStyle w:val="InternetLink"/>
          </w:rPr>
          <w:t>’s Proxy Statement for the 2020 Annual Meeting of Stockholders filed on April</w:t>
        </w:r>
      </w:hyperlink>
      <w:hyperlink r:id="rId5">
        <w:r>
          <w:rPr>
            <w:rStyle w:val="InternetLink"/>
          </w:rPr>
          <w:t> </w:t>
        </w:r>
      </w:hyperlink>
      <w:hyperlink r:id="rId6">
        <w:r>
          <w:rPr>
            <w:rStyle w:val="InternetLink"/>
          </w:rPr>
          <w:t>9, 2020</w:t>
        </w:r>
      </w:hyperlink>
      <w:r>
        <w:rPr>
          <w:rFonts w:ascii="Times New Roman;sans-serif" w:hAnsi="Times New Roman;sans-serif"/>
          <w:b w:val="false"/>
          <w:color w:val="000000"/>
          <w:sz w:val="20"/>
        </w:rPr>
        <w:t xml:space="preserve">. The Amended 2020 Equity Plan was approved by stockholders at the 2023 Annual Meeting of Stockholders. The terms of the Amended 2020 Equity Plan are substantially identical to those of the stockholder approved 2020 Equity Plan, other than an increase of 1,350,000 in the number of shares authorized for issuance under the plan. More information can be found in </w:t>
      </w:r>
      <w:hyperlink r:id="rId7">
        <w:r>
          <w:rPr>
            <w:rStyle w:val="InternetLink"/>
          </w:rPr>
          <w:t>Busey</w:t>
        </w:r>
      </w:hyperlink>
      <w:hyperlink r:id="rId8">
        <w:r>
          <w:rPr>
            <w:rStyle w:val="InternetLink"/>
          </w:rPr>
          <w:t>’s Proxy Statement for the 2023 Annual Meeting of Stockholders filed on April</w:t>
        </w:r>
      </w:hyperlink>
      <w:hyperlink r:id="rId9">
        <w:r>
          <w:rPr>
            <w:rStyle w:val="InternetLink"/>
          </w:rPr>
          <w:t> </w:t>
        </w:r>
      </w:hyperlink>
      <w:hyperlink r:id="rId10">
        <w:r>
          <w:rPr>
            <w:rStyle w:val="InternetLink"/>
          </w:rPr>
          <w:t>14, 2023</w:t>
        </w:r>
      </w:hyperlink>
      <w:r>
        <w:rPr>
          <w:rFonts w:ascii="Times New Roman;sans-serif" w:hAnsi="Times New Roman;sans-serif"/>
          <w:b w:val="false"/>
          <w:color w:val="000000"/>
          <w:sz w:val="20"/>
        </w:rPr>
        <w:t>.</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2020 Equity Plan, Busey has granted RSU, PSU, and DSU awards. Upon vesting and delivery, shares are expected (though not required) to be issued from treasury. There were 1,536,783 shares available for issuance under the Amended 2020 Equity Plan as of June 30, 2023.</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RSU Awards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grants RSUs to members of management periodically throughout the year. Each RSU is equivalent to one share of Busey’s common stock. These units have requisite service periods ranging from one year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under the terms of the 2020 Equity Plan, Busey granted 224,316 RSUs to members of management. The grant date fair value of the award totaled $4.6 million and will be recognized as compensation expense over the requisite service period ranging from one year to five years. The terms of these awards included an accelerated vesting provision upon eligible retirement from the Company, after a one-year minimum requisite service period. Subsequent to the requisite service period, the awards will become 100% vested.</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Busey’s RSU awards for the six months ended June 30, 2023, is as follows:</w:t>
      </w:r>
    </w:p>
    <w:tbl>
      <w:tblPr>
        <w:tblW w:w="5052" w:type="dxa"/>
        <w:jc w:val="left"/>
        <w:tblInd w:w="0" w:type="dxa"/>
        <w:tblLayout w:type="fixed"/>
        <w:tblCellMar>
          <w:top w:w="28" w:type="dxa"/>
          <w:left w:w="28" w:type="dxa"/>
          <w:bottom w:w="28" w:type="dxa"/>
          <w:right w:w="28" w:type="dxa"/>
        </w:tblCellMar>
      </w:tblPr>
      <w:tblGrid>
        <w:gridCol w:w="1015"/>
        <w:gridCol w:w="893"/>
        <w:gridCol w:w="896"/>
        <w:gridCol w:w="309"/>
        <w:gridCol w:w="309"/>
        <w:gridCol w:w="313"/>
        <w:gridCol w:w="109"/>
        <w:gridCol w:w="109"/>
        <w:gridCol w:w="109"/>
        <w:gridCol w:w="213"/>
        <w:gridCol w:w="622"/>
        <w:gridCol w:w="155"/>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RSU Awards</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1,096,931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 equivalents earned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Forfeited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2023</w:t>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PSU Awards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grants PSUs, which are restricted stock units that are subject to certain performance criteria, to members of management periodically throughout the year. Each PSU is equivalent to one share of Busey’s common stock. The number of units that ultimately vest will be determined based on the achievement of the market or other performance goals, subject to accelerated service-based vesting conditions upon eligible retirement from the Company.</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under the terms of the 2020 Equity Plan, Busey granted a target of 104,643 PSUs with a maximum award of 167,429 units. The actual number of units issued at the vesting date could range from 0% to 160% of the initial grant, depending on attaining a market-based total stockholder return performance goal. The grant date fair value of the award was $2.0 million and will be recognized in compensation expense over the performance period ending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under the terms of the 2020 Equity Plan, Busey granted a target of 104,643 PSUs with a maximum award of 167,429 units. The actual number of units issued at the vesting date could range from 0% to 160% of the initial grant, depending on attaining an adjusted return on average tangible common equity performance goal. The grant date fair value of the award was $2.1 million and will be recognized in compensation expense over the performance period ending December 31, 2025. The actual amount of compensation expense recognized may vary, subject to achievement of the performance goal.</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under the terms of the 2020 Equity Plan, Busey granted a target of 15,045 PSUs with a maximum award of 30,090 units. The actual number of units issued at the vesting date could range from 0% to 200% of the initial grant, depending on attaining a performance goal based upon the compounded annual revenue growth rate of the FirsTech operating segment. The grant date fair value of the award was $0.3 million and will be recognized in compensation expense over the performance period ending December 31, 2025, subject to achievement of the performance goal.</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Busey’s PSU awards for the six months ended June 30, 2023, is as follows:</w:t>
      </w:r>
    </w:p>
    <w:tbl>
      <w:tblPr>
        <w:tblW w:w="5163" w:type="dxa"/>
        <w:jc w:val="left"/>
        <w:tblInd w:w="0" w:type="dxa"/>
        <w:tblLayout w:type="fixed"/>
        <w:tblCellMar>
          <w:top w:w="28" w:type="dxa"/>
          <w:left w:w="28" w:type="dxa"/>
          <w:bottom w:w="28" w:type="dxa"/>
          <w:right w:w="28" w:type="dxa"/>
        </w:tblCellMar>
      </w:tblPr>
      <w:tblGrid>
        <w:gridCol w:w="1015"/>
        <w:gridCol w:w="893"/>
        <w:gridCol w:w="896"/>
        <w:gridCol w:w="413"/>
        <w:gridCol w:w="413"/>
        <w:gridCol w:w="216"/>
        <w:gridCol w:w="109"/>
        <w:gridCol w:w="109"/>
        <w:gridCol w:w="109"/>
        <w:gridCol w:w="213"/>
        <w:gridCol w:w="622"/>
        <w:gridCol w:w="155"/>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PSU Awards</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Shares</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285,351 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equivalents earned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2023</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471,960 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1.Shares for PSU awards represent target shares at the grant date.</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DSU Awards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Busey grants DSUs, which are restricted stock units with a deferred settlement date, to its directors and advisory directors. Each DSU is equivalent to one share of Busey’s common stock. DSUs vest over a one-year period following the grant date. Under both the 2020 Equity Plan and the Amended 2020 Equity Plan, DSUs are generally are subject to the same terms as RSUs, except that following vesting of DSUs, settlement occurs within 30 days following the earlier of separation from the board or a change in control of the Company. After vesting and prior to delivery, these units will continue to earn dividend equivalents.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under the terms of the 2020 Equity Plan, Busey granted 41,548 DSUs to directors and advisory directors. The grant date fair value of the award totaled $0.8 million and will be recognized as compensation expense over the requisite service period of one year. Subsequent to the requisite service period, the awards will become 100% vested.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changes in Busey’s DSU awards for the six months ended June 30, 2023, is as follows:</w:t>
      </w:r>
    </w:p>
    <w:tbl>
      <w:tblPr>
        <w:tblW w:w="5759" w:type="dxa"/>
        <w:jc w:val="left"/>
        <w:tblInd w:w="0" w:type="dxa"/>
        <w:tblLayout w:type="fixed"/>
        <w:tblCellMar>
          <w:top w:w="28" w:type="dxa"/>
          <w:left w:w="28" w:type="dxa"/>
          <w:bottom w:w="28" w:type="dxa"/>
          <w:right w:w="28" w:type="dxa"/>
        </w:tblCellMar>
      </w:tblPr>
      <w:tblGrid>
        <w:gridCol w:w="1238"/>
        <w:gridCol w:w="1089"/>
        <w:gridCol w:w="1093"/>
        <w:gridCol w:w="411"/>
        <w:gridCol w:w="415"/>
        <w:gridCol w:w="196"/>
        <w:gridCol w:w="109"/>
        <w:gridCol w:w="109"/>
        <w:gridCol w:w="109"/>
        <w:gridCol w:w="213"/>
        <w:gridCol w:w="622"/>
        <w:gridCol w:w="155"/>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DSU Awards</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41,548 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 equivalents earned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Forfeited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2023</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outstanding at June 30, 2023</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2021 Employee Stock Purchase Plan</w:t>
      </w:r>
    </w:p>
    <w:p>
      <w:pPr>
        <w:pStyle w:val="TextBody"/>
        <w:bidi w:val="0"/>
        <w:spacing w:lineRule="auto" w:line="288" w:before="200" w:after="200"/>
        <w:jc w:val="both"/>
        <w:rPr/>
      </w:pPr>
      <w:r>
        <w:rPr>
          <w:rFonts w:ascii="Times New Roman;sans-serif" w:hAnsi="Times New Roman;sans-serif"/>
          <w:b w:val="false"/>
          <w:color w:val="000000"/>
          <w:sz w:val="20"/>
        </w:rPr>
        <w:t xml:space="preserve">The First Busey Corporation 2021 ESPP was approved at Busey’s 2021 Annual Meeting of Stockholders and details can be found within </w:t>
      </w:r>
      <w:hyperlink r:id="rId11">
        <w:r>
          <w:rPr>
            <w:rStyle w:val="InternetLink"/>
          </w:rPr>
          <w:t xml:space="preserve">First Busey’s Definitive Proxy Statement filed with the SEC on </w:t>
        </w:r>
      </w:hyperlink>
      <w:hyperlink r:id="rId12">
        <w:r>
          <w:rPr>
            <w:rStyle w:val="InternetLink"/>
          </w:rPr>
          <w:t>April 8, 2021</w:t>
        </w:r>
      </w:hyperlink>
      <w:r>
        <w:rPr>
          <w:rFonts w:ascii="Times New Roman;sans-serif" w:hAnsi="Times New Roman;sans-serif"/>
          <w:b w:val="false"/>
          <w:color w:val="000000"/>
          <w:sz w:val="20"/>
        </w:rPr>
        <w:t>. The purpose of the 2021 ESPP is to provide a means through which our employees may acquire a proprietary interest in the Company by purchasing shares of our common stock at a 15% discount through voluntary payroll deductions, to assist us in retaining the services of our employees and securing and retaining the services of new employees, and to provide incentives for our employees to exert maximum efforts toward our success.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2021 ESPP initially reserved for issuance and purchase an aggregate of 600,000 shares of Busey’s common stock. The first offering under the 2021 ESPP began on July 1, 2021. There were 471,630 shares available for issuance under the 2021 ESPP as of June 30, 2023.</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did not record any stock option compensation expense for the three or six months ended June 30, 2023, or 2022. As of June 30, 2023, the Company did not have any unrecognized stock option compensation expense.</w:t>
      </w:r>
    </w:p>
    <w:p>
      <w:pPr>
        <w:pStyle w:val="TextBody"/>
        <w:bidi w:val="0"/>
        <w:spacing w:lineRule="auto" w:line="288" w:before="200" w:after="200"/>
        <w:jc w:val="both"/>
        <w:rPr/>
      </w:pPr>
      <w:r>
        <w:rPr>
          <w:rFonts w:ascii="Times New Roman;sans-serif" w:hAnsi="Times New Roman;sans-serif"/>
          <w:b w:val="false"/>
          <w:color w:val="000000"/>
          <w:sz w:val="20"/>
        </w:rPr>
        <w:t xml:space="preserve">Busey recognized compensation expense related to nonvested RSU, PSU, and DSU awards, as well as the 2021 ESPP, as summarized in the table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283" w:type="dxa"/>
        <w:jc w:val="left"/>
        <w:tblInd w:w="0" w:type="dxa"/>
        <w:tblLayout w:type="fixed"/>
        <w:tblCellMar>
          <w:top w:w="28" w:type="dxa"/>
          <w:left w:w="28" w:type="dxa"/>
          <w:bottom w:w="28" w:type="dxa"/>
          <w:right w:w="28" w:type="dxa"/>
        </w:tblCellMar>
      </w:tblPr>
      <w:tblGrid>
        <w:gridCol w:w="1251"/>
        <w:gridCol w:w="1098"/>
        <w:gridCol w:w="1101"/>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 expense</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awards</w:t>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PSU awards</w:t>
            </w:r>
            <w:r>
              <w:rPr>
                <w:rFonts w:ascii="Times New Roman;sans-serif" w:hAnsi="Times New Roman;sans-serif"/>
                <w:b w:val="false"/>
                <w:color w:val="000000"/>
                <w:sz w:val="13"/>
              </w:rPr>
              <w:t>1</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DSU awards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ESPP</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1.Expense for PSU awards with a market-based total stockholder return performance goal represents amounts based on target shares at the grant date. Expense for PSU awards with return on average tangible common equity and compounded annual revenue growth rate performance goals represents amounts based on target shares at the grant date, adjusted for performance expectations as of the date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pPr>
      <w:r>
        <w:rPr>
          <w:rFonts w:ascii="Times New Roman;sans-serif" w:hAnsi="Times New Roman;sans-serif"/>
          <w:b w:val="false"/>
          <w:color w:val="000000"/>
          <w:sz w:val="20"/>
        </w:rPr>
        <w:t xml:space="preserve">Unamortized compensation expense related to nonvested RSU, PSU, and DSU awards is summarized in the table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891" w:type="dxa"/>
        <w:jc w:val="left"/>
        <w:tblInd w:w="0" w:type="dxa"/>
        <w:tblLayout w:type="fixed"/>
        <w:tblCellMar>
          <w:top w:w="28" w:type="dxa"/>
          <w:left w:w="28" w:type="dxa"/>
          <w:bottom w:w="28" w:type="dxa"/>
          <w:right w:w="28" w:type="dxa"/>
        </w:tblCellMar>
      </w:tblPr>
      <w:tblGrid>
        <w:gridCol w:w="1952"/>
        <w:gridCol w:w="1714"/>
        <w:gridCol w:w="1718"/>
        <w:gridCol w:w="211"/>
        <w:gridCol w:w="721"/>
        <w:gridCol w:w="109"/>
        <w:gridCol w:w="109"/>
        <w:gridCol w:w="109"/>
        <w:gridCol w:w="109"/>
        <w:gridCol w:w="221"/>
        <w:gridCol w:w="757"/>
        <w:gridCol w:w="161"/>
      </w:tblGrid>
      <w:tr>
        <w:trPr/>
        <w:tc>
          <w:tcPr>
            <w:tcW w:w="1952"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Unamortized stock-based compensation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awards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PSU awards</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DSU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unamortized stock-based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period over which expense is to be recognized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2.5 years</w:t>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1.Unamortized expense for PSU awards with a market-based total stockholder return performance goal represents amounts based on target shares at grant date. Unamortized expense for PSU awards with return on average tangible common equity and compounded annual revenue growth rate performance goals represents amounts based on target shares at grant date, adjusted for performance expectations as of the date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9: Outstanding Commitments and Contingent Liabilities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is a party to legal actions which arise in the normal course of its business activities. In the opinion of management, the ultimate resolution of these matters is not expected to have a material effect on the Company’s financial position or results of operations.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Credit Commitments and Contingencies</w:t>
      </w:r>
    </w:p>
    <w:p>
      <w:pPr>
        <w:pStyle w:val="TextBody"/>
        <w:bidi w:val="0"/>
        <w:spacing w:lineRule="auto" w:line="288" w:before="200" w:after="200"/>
        <w:jc w:val="both"/>
        <w:rPr/>
      </w:pPr>
      <w:r>
        <w:rPr>
          <w:rFonts w:ascii="Times New Roman;sans-serif" w:hAnsi="Times New Roman;sans-serif"/>
          <w:b w:val="false"/>
          <w:color w:val="000000"/>
          <w:sz w:val="20"/>
        </w:rPr>
        <w:t xml:space="preserve">A summary of the contractual amount of Busey’s exposure to off-balance-sheet risk relating to the Company’s commitments to extend credit and standby letters of credit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 xml:space="preserve">: </w:t>
      </w:r>
    </w:p>
    <w:tbl>
      <w:tblPr>
        <w:tblW w:w="8754" w:type="dxa"/>
        <w:jc w:val="left"/>
        <w:tblInd w:w="0" w:type="dxa"/>
        <w:tblLayout w:type="fixed"/>
        <w:tblCellMar>
          <w:top w:w="28" w:type="dxa"/>
          <w:left w:w="28" w:type="dxa"/>
          <w:bottom w:w="28" w:type="dxa"/>
          <w:right w:w="28" w:type="dxa"/>
        </w:tblCellMar>
      </w:tblPr>
      <w:tblGrid>
        <w:gridCol w:w="2095"/>
        <w:gridCol w:w="1845"/>
        <w:gridCol w:w="1850"/>
        <w:gridCol w:w="211"/>
        <w:gridCol w:w="976"/>
        <w:gridCol w:w="109"/>
        <w:gridCol w:w="109"/>
        <w:gridCol w:w="109"/>
        <w:gridCol w:w="109"/>
        <w:gridCol w:w="211"/>
        <w:gridCol w:w="976"/>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instruments whose contract amounts represent credit risk</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to extend credit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Standby letters of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2,024,777 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10: Derivative Financial Instruments</w:t>
      </w:r>
    </w:p>
    <w:p>
      <w:pPr>
        <w:pStyle w:val="TextBody"/>
        <w:bidi w:val="0"/>
        <w:spacing w:lineRule="auto" w:line="288" w:before="200" w:after="200"/>
        <w:jc w:val="both"/>
        <w:rPr/>
      </w:pPr>
      <w:r>
        <w:rPr>
          <w:rFonts w:ascii="Times New Roman;sans-serif" w:hAnsi="Times New Roman;sans-serif"/>
          <w:b w:val="false"/>
          <w:color w:val="000000"/>
          <w:sz w:val="20"/>
        </w:rPr>
        <w:t>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and foreign currency exchange contracts with customers and other third parties. See “</w:t>
      </w:r>
      <w:hyperlink w:anchor="i849a9726bda94af39d169d43c61a0228_91">
        <w:r>
          <w:rPr>
            <w:rStyle w:val="InternetLink"/>
            <w:rFonts w:ascii="Times New Roman;sans-serif" w:hAnsi="Times New Roman;sans-serif"/>
            <w:b w:val="false"/>
            <w:i/>
            <w:color w:val="0000FF"/>
            <w:sz w:val="20"/>
            <w:u w:val="single"/>
          </w:rPr>
          <w:t>Note 11: Fair Value Measurements</w:t>
        </w:r>
      </w:hyperlink>
      <w:r>
        <w:rPr>
          <w:color w:val="000000"/>
        </w:rPr>
        <w:t xml:space="preserve">” </w:t>
      </w:r>
      <w:r>
        <w:rPr>
          <w:rFonts w:ascii="Times New Roman;sans-serif" w:hAnsi="Times New Roman;sans-serif"/>
          <w:b w:val="false"/>
          <w:color w:val="000000"/>
          <w:sz w:val="20"/>
        </w:rPr>
        <w:t>for further discussion of the fair value measurement of such derivatives.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pPr>
      <w:r>
        <w:rPr>
          <w:rFonts w:ascii="Times New Roman;sans-serif" w:hAnsi="Times New Roman;sans-serif"/>
          <w:b w:val="false"/>
          <w:color w:val="000000"/>
          <w:sz w:val="20"/>
        </w:rPr>
        <w:t xml:space="preserve">To secure its obligations under derivative contracts, Busey pledged cash and held collateral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741" w:type="dxa"/>
        <w:jc w:val="left"/>
        <w:tblInd w:w="0" w:type="dxa"/>
        <w:tblLayout w:type="fixed"/>
        <w:tblCellMar>
          <w:top w:w="28" w:type="dxa"/>
          <w:left w:w="28" w:type="dxa"/>
          <w:bottom w:w="28" w:type="dxa"/>
          <w:right w:w="28" w:type="dxa"/>
        </w:tblCellMar>
      </w:tblPr>
      <w:tblGrid>
        <w:gridCol w:w="1898"/>
        <w:gridCol w:w="1663"/>
        <w:gridCol w:w="1673"/>
        <w:gridCol w:w="211"/>
        <w:gridCol w:w="721"/>
        <w:gridCol w:w="109"/>
        <w:gridCol w:w="109"/>
        <w:gridCol w:w="109"/>
        <w:gridCol w:w="109"/>
        <w:gridCol w:w="221"/>
        <w:gridCol w:w="757"/>
        <w:gridCol w:w="161"/>
      </w:tblGrid>
      <w:tr>
        <w:trPr/>
        <w:tc>
          <w:tcPr>
            <w:tcW w:w="189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pledged to secure obligations under derivative contracts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 held to secure obligations under derivative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Derivative Instruments Designated as Hedges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Rate Swaps Designated as Cash Flow Hedges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swaps with notional amounts totaling $350.0 million as of both June 30, 2023, and December 31, 2022, were designated as cash flow hedges. Busey entered into one $50.0 million interest rate swap to hedge the risks of variability in cash flows for future interest payments attributable to changes in the contractually specified 3-month LIBOR benchmark interest rate on the Busey’s junior subordinated debt owed to unconsolidated trusts (Debt Swap). In addition, Busey entered into one $300.0 million receive fixed pay floating interest rate swap to reduce Busey’s asset sensitivity (Loan Swap). Duration was added to our loan portfolio by fixing a portion of floating prime based loans. Interest rates had risen above their historical lows allowing Busey to lock in a portion of its loan portfolio to reduce asset sensitivity while creating a more stable margin in a volatile rate market. These hedges were determined to be highly effective during the period, and Busey expects its hedges to remain highly effective during the remaining terms of the swaps. Changes in fair value were recorded net of tax in OCI.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pPr>
      <w:r>
        <w:rPr>
          <w:rFonts w:ascii="Times New Roman;sans-serif" w:hAnsi="Times New Roman;sans-serif"/>
          <w:b w:val="false"/>
          <w:color w:val="000000"/>
          <w:sz w:val="20"/>
        </w:rPr>
        <w:t xml:space="preserve">A summary of the interest-rate swaps designated as cash flow hedges is presented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404" w:type="dxa"/>
        <w:jc w:val="left"/>
        <w:tblInd w:w="0" w:type="dxa"/>
        <w:tblLayout w:type="fixed"/>
        <w:tblCellMar>
          <w:top w:w="28" w:type="dxa"/>
          <w:left w:w="28" w:type="dxa"/>
          <w:bottom w:w="28" w:type="dxa"/>
          <w:right w:w="28" w:type="dxa"/>
        </w:tblCellMar>
      </w:tblPr>
      <w:tblGrid>
        <w:gridCol w:w="1708"/>
        <w:gridCol w:w="1491"/>
        <w:gridCol w:w="1510"/>
        <w:gridCol w:w="459"/>
        <w:gridCol w:w="459"/>
        <w:gridCol w:w="462"/>
        <w:gridCol w:w="109"/>
        <w:gridCol w:w="109"/>
        <w:gridCol w:w="109"/>
        <w:gridCol w:w="211"/>
        <w:gridCol w:w="826"/>
        <w:gridCol w:w="271"/>
        <w:gridCol w:w="109"/>
        <w:gridCol w:w="109"/>
        <w:gridCol w:w="109"/>
        <w:gridCol w:w="211"/>
        <w:gridCol w:w="826"/>
        <w:gridCol w:w="316"/>
      </w:tblGrid>
      <w:tr>
        <w:trPr/>
        <w:tc>
          <w:tcPr>
            <w:tcW w:w="1708"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Debt Swap</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Notional amount</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fixed pay rates</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variable 3-month LIBOR receive rates</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maturity</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1.21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1.71 years</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Loan Swap</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Notional amount</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fixed receive rates</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variable Prime pay rates</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maturity</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5.61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6.10 years</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Gross aggregate fair value of the swaps</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aggregate fair value of swap assets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aggregate fair value of swap liabilities</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Balances carried in AOCI</w:t>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cash flow hedges, net of tax</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20"/>
        </w:rPr>
        <w:t xml:space="preserve">Busey expects to reclassify unrealized gains and losses from OCI to interest income and interest expense as shown in the following table, during the next 12 months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 Amounts actually recognized could differ from these expectations due to changes in interest rates, hedge de-designations, and the addition of other hedges subsequent to June 30, 2023.</w:t>
      </w:r>
    </w:p>
    <w:tbl>
      <w:tblPr>
        <w:tblW w:w="8160" w:type="dxa"/>
        <w:jc w:val="left"/>
        <w:tblInd w:w="0" w:type="dxa"/>
        <w:tblLayout w:type="fixed"/>
        <w:tblCellMar>
          <w:top w:w="28" w:type="dxa"/>
          <w:left w:w="28" w:type="dxa"/>
          <w:bottom w:w="28" w:type="dxa"/>
          <w:right w:w="28" w:type="dxa"/>
        </w:tblCellMar>
      </w:tblPr>
      <w:tblGrid>
        <w:gridCol w:w="2534"/>
        <w:gridCol w:w="2221"/>
        <w:gridCol w:w="2235"/>
        <w:gridCol w:w="272"/>
        <w:gridCol w:w="699"/>
        <w:gridCol w:w="199"/>
      </w:tblGrid>
      <w:tr>
        <w:trPr/>
        <w:tc>
          <w:tcPr>
            <w:tcW w:w="2534"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June 30, 2023</w:t>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Unrealized gains (losses) in OCI expected to be recognized in income</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expected to be reclassified from OCI to interest income</w:t>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expected to be reclassified from OCI to interest expense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gains (losses) in OCI expected to be recognized in net interest income</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20"/>
        </w:rPr>
        <w:t xml:space="preserve">Interest expense recorded on these swap transactions was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924"/>
        <w:gridCol w:w="1687"/>
        <w:gridCol w:w="1694"/>
        <w:gridCol w:w="224"/>
        <w:gridCol w:w="732"/>
        <w:gridCol w:w="115"/>
        <w:gridCol w:w="115"/>
        <w:gridCol w:w="115"/>
        <w:gridCol w:w="115"/>
        <w:gridCol w:w="224"/>
        <w:gridCol w:w="495"/>
        <w:gridCol w:w="115"/>
        <w:gridCol w:w="109"/>
        <w:gridCol w:w="109"/>
        <w:gridCol w:w="109"/>
        <w:gridCol w:w="211"/>
        <w:gridCol w:w="688"/>
        <w:gridCol w:w="109"/>
        <w:gridCol w:w="109"/>
        <w:gridCol w:w="109"/>
        <w:gridCol w:w="109"/>
        <w:gridCol w:w="211"/>
        <w:gridCol w:w="616"/>
        <w:gridCol w:w="161"/>
      </w:tblGrid>
      <w:tr>
        <w:trPr/>
        <w:tc>
          <w:tcPr>
            <w:tcW w:w="1924"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Interest on swap transactions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interest income on swap transactions</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interest expense on swap transactions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net interest income on swap transactions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 reflects the net gains (losses) relating to cash flow derivative instruments that were recorded in AOCI and the unaudited Consolidated Statements of Income during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837"/>
        <w:gridCol w:w="1609"/>
        <w:gridCol w:w="1620"/>
        <w:gridCol w:w="211"/>
        <w:gridCol w:w="681"/>
        <w:gridCol w:w="109"/>
        <w:gridCol w:w="109"/>
        <w:gridCol w:w="109"/>
        <w:gridCol w:w="109"/>
        <w:gridCol w:w="211"/>
        <w:gridCol w:w="681"/>
        <w:gridCol w:w="109"/>
        <w:gridCol w:w="109"/>
        <w:gridCol w:w="109"/>
        <w:gridCol w:w="109"/>
        <w:gridCol w:w="211"/>
        <w:gridCol w:w="681"/>
        <w:gridCol w:w="109"/>
        <w:gridCol w:w="109"/>
        <w:gridCol w:w="109"/>
        <w:gridCol w:w="109"/>
        <w:gridCol w:w="211"/>
        <w:gridCol w:w="786"/>
        <w:gridCol w:w="158"/>
      </w:tblGrid>
      <w:tr>
        <w:trPr/>
        <w:tc>
          <w:tcPr>
            <w:tcW w:w="1837"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Unrealized gains (losses) on cash flow hedges</w:t>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recognized in OCI, net of tax</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reclassified from OCI to interest income, net of tax</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reclassified from OCI to interest expense, net of tax</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gains (losses) on cash flow hedges, net of tax</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(12,159)</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Derivative Instruments Not Designated as Hedges</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Rate Swaps Not Designated as Hedges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may offer derivative contracts to its customers in connection with their risk management needs. Busey manages the risk associated with these contracts by entering into equal and offsetting derivative agreements with a third-party dealer. These contracts support variable rate, commercial loan relationships totaling $623.2 million as of June 30, 2023, and $576.9 million as of December 31, 2022. These derivatives generally work together as an economic interest rate hedge, but Busey did not designate them for hedge accounting treatment. Consequently, changes in fair value of the corresponding derivative financial asset or liability are recorded as either a charge or credit to current earnings during the period in which the changes occurred.</w:t>
      </w:r>
    </w:p>
    <w:p>
      <w:pPr>
        <w:pStyle w:val="TextBody"/>
        <w:bidi w:val="0"/>
        <w:spacing w:lineRule="auto" w:line="288" w:before="200" w:after="200"/>
        <w:jc w:val="both"/>
        <w:rPr/>
      </w:pPr>
      <w:r>
        <w:rPr>
          <w:rFonts w:ascii="Times New Roman;sans-serif" w:hAnsi="Times New Roman;sans-serif"/>
          <w:b w:val="false"/>
          <w:color w:val="000000"/>
          <w:sz w:val="20"/>
        </w:rPr>
        <w:t>Amounts and fair values of derivative assets and liabilities related to customer interest rate swaps recorded in the Consolidated Balance Sheets are summarized as follows</w:t>
      </w:r>
      <w:r>
        <w:rPr>
          <w:color w:val="000000"/>
        </w:rPr>
        <w:t xml:space="preserv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065" w:type="dxa"/>
        <w:jc w:val="left"/>
        <w:tblInd w:w="0" w:type="dxa"/>
        <w:tblLayout w:type="fixed"/>
        <w:tblCellMar>
          <w:top w:w="28" w:type="dxa"/>
          <w:left w:w="28" w:type="dxa"/>
          <w:bottom w:w="28" w:type="dxa"/>
          <w:right w:w="28" w:type="dxa"/>
        </w:tblCellMar>
      </w:tblPr>
      <w:tblGrid>
        <w:gridCol w:w="1688"/>
        <w:gridCol w:w="1486"/>
        <w:gridCol w:w="1491"/>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Liability</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 pay floating, receive fixed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 pay fixed, receive floating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not designated as hedging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65" w:type="dxa"/>
        <w:jc w:val="left"/>
        <w:tblInd w:w="0" w:type="dxa"/>
        <w:tblLayout w:type="fixed"/>
        <w:tblCellMar>
          <w:top w:w="28" w:type="dxa"/>
          <w:left w:w="28" w:type="dxa"/>
          <w:bottom w:w="28" w:type="dxa"/>
          <w:right w:w="28" w:type="dxa"/>
        </w:tblCellMar>
      </w:tblPr>
      <w:tblGrid>
        <w:gridCol w:w="1688"/>
        <w:gridCol w:w="1486"/>
        <w:gridCol w:w="1491"/>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Liability</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 pay floating, receive fixed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 pay fixed, receive floating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not designated as hedging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pPr>
      <w:r>
        <w:rPr>
          <w:rFonts w:ascii="Times New Roman;sans-serif" w:hAnsi="Times New Roman;sans-serif"/>
          <w:b w:val="false"/>
          <w:color w:val="000000"/>
          <w:sz w:val="20"/>
        </w:rPr>
        <w:t xml:space="preserve">Changes in fair value of these derivative assets and liabilities are recorded in noninterest expense in the unaudited Consolidated Statements of Income and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211"/>
        <w:gridCol w:w="1061"/>
        <w:gridCol w:w="1064"/>
        <w:gridCol w:w="548"/>
        <w:gridCol w:w="548"/>
        <w:gridCol w:w="553"/>
        <w:gridCol w:w="109"/>
        <w:gridCol w:w="109"/>
        <w:gridCol w:w="109"/>
        <w:gridCol w:w="216"/>
        <w:gridCol w:w="631"/>
        <w:gridCol w:w="111"/>
        <w:gridCol w:w="111"/>
        <w:gridCol w:w="111"/>
        <w:gridCol w:w="111"/>
        <w:gridCol w:w="216"/>
        <w:gridCol w:w="631"/>
        <w:gridCol w:w="111"/>
        <w:gridCol w:w="109"/>
        <w:gridCol w:w="109"/>
        <w:gridCol w:w="109"/>
        <w:gridCol w:w="211"/>
        <w:gridCol w:w="682"/>
        <w:gridCol w:w="109"/>
        <w:gridCol w:w="109"/>
        <w:gridCol w:w="109"/>
        <w:gridCol w:w="109"/>
        <w:gridCol w:w="211"/>
        <w:gridCol w:w="616"/>
        <w:gridCol w:w="161"/>
      </w:tblGrid>
      <w:tr>
        <w:trPr/>
        <w:tc>
          <w:tcPr>
            <w:tcW w:w="121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Interest rate swaps</w:t>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 floating, receive fixed</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 fixed, receive floating</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fair value of interest rate swaps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Risk Participation Agreements</w:t>
      </w:r>
    </w:p>
    <w:p>
      <w:pPr>
        <w:pStyle w:val="TextBody"/>
        <w:bidi w:val="0"/>
        <w:spacing w:lineRule="auto" w:line="288" w:before="200" w:after="200"/>
        <w:jc w:val="both"/>
        <w:rPr/>
      </w:pPr>
      <w:r>
        <w:rPr>
          <w:rFonts w:ascii="Times New Roman;sans-serif" w:hAnsi="Times New Roman;sans-serif"/>
          <w:b w:val="false"/>
          <w:color w:val="000000"/>
          <w:sz w:val="20"/>
        </w:rPr>
        <w:t xml:space="preserve">To manage the credit risk exposure related to customer-facing swaps, Busey entered into risk participation agreements in conjunction with loan participation arrangements with other financial institutions. The risk participation agreements mature between 2026 and 2029, and are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5882" w:type="dxa"/>
        <w:jc w:val="left"/>
        <w:tblInd w:w="0" w:type="dxa"/>
        <w:tblLayout w:type="fixed"/>
        <w:tblCellMar>
          <w:top w:w="28" w:type="dxa"/>
          <w:left w:w="28" w:type="dxa"/>
          <w:bottom w:w="28" w:type="dxa"/>
          <w:right w:w="28" w:type="dxa"/>
        </w:tblCellMar>
      </w:tblPr>
      <w:tblGrid>
        <w:gridCol w:w="1223"/>
        <w:gridCol w:w="1075"/>
        <w:gridCol w:w="1077"/>
        <w:gridCol w:w="211"/>
        <w:gridCol w:w="721"/>
        <w:gridCol w:w="109"/>
        <w:gridCol w:w="109"/>
        <w:gridCol w:w="109"/>
        <w:gridCol w:w="109"/>
        <w:gridCol w:w="221"/>
        <w:gridCol w:w="757"/>
        <w:gridCol w:w="161"/>
      </w:tblGrid>
      <w:tr>
        <w:trPr/>
        <w:tc>
          <w:tcPr>
            <w:tcW w:w="122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Risk participation agreements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risk participation agreements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Notional amount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Foreign Currency Forward Contracts</w:t>
      </w:r>
    </w:p>
    <w:p>
      <w:pPr>
        <w:pStyle w:val="TextBody"/>
        <w:bidi w:val="0"/>
        <w:spacing w:lineRule="auto" w:line="288" w:before="240" w:after="200"/>
        <w:jc w:val="both"/>
        <w:rPr/>
      </w:pPr>
      <w:r>
        <w:rPr>
          <w:rFonts w:ascii="Times New Roman;sans-serif" w:hAnsi="Times New Roman;sans-serif"/>
          <w:b w:val="false"/>
          <w:color w:val="000000"/>
          <w:sz w:val="20"/>
        </w:rPr>
        <w:t>Busey entered into foreign currency exchange contracts to support the business requirements of its customers. Foreign currency contracts involve the exchange of one currency for another on a specified date and at a specified rate. These contracts are executed on behalf of the Busey's customers and are used by customers to manage fluctuations in foreign exchange rates. Busey minimizes its exposure by entering into similar offsetting positions with other financial institutions. Busey is subject to the credit risk that another party will fail to perform. Amounts and fair values of derivative assets and liabilities related to foreign currency contracts recorded in the Consolidated Balance Sheets are summarized as follows</w:t>
      </w:r>
      <w:r>
        <w:rPr>
          <w:color w:val="000000"/>
        </w:rPr>
        <w:t xml:space="preserv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235" w:type="dxa"/>
        <w:jc w:val="left"/>
        <w:tblInd w:w="0" w:type="dxa"/>
        <w:tblLayout w:type="fixed"/>
        <w:tblCellMar>
          <w:top w:w="28" w:type="dxa"/>
          <w:left w:w="28" w:type="dxa"/>
          <w:bottom w:w="28" w:type="dxa"/>
          <w:right w:w="28" w:type="dxa"/>
        </w:tblCellMar>
      </w:tblPr>
      <w:tblGrid>
        <w:gridCol w:w="1520"/>
        <w:gridCol w:w="1338"/>
        <w:gridCol w:w="1342"/>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3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Derivative Liability</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Foreign currency forward contracts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forward contract (Buy)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forward contract (Sell)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foreign currency forward contracts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Mortgage Banking Derivatives</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Rate Lock Commitments</w:t>
      </w:r>
    </w:p>
    <w:p>
      <w:pPr>
        <w:pStyle w:val="TextBody"/>
        <w:bidi w:val="0"/>
        <w:spacing w:lineRule="auto" w:line="288" w:before="200" w:after="200"/>
        <w:jc w:val="both"/>
        <w:rPr/>
      </w:pPr>
      <w:r>
        <w:rPr>
          <w:rFonts w:ascii="Times New Roman;sans-serif" w:hAnsi="Times New Roman;sans-serif"/>
          <w:b w:val="false"/>
          <w:color w:val="000000"/>
          <w:sz w:val="20"/>
        </w:rPr>
        <w:t xml:space="preserve">Interest rate lock commitments that meet the definition of derivative financial instruments under ASC Topic 815 </w:t>
      </w:r>
      <w:r>
        <w:rPr>
          <w:color w:val="000000"/>
        </w:rPr>
        <w:t>“</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are carried at their fair values in other assets or other liabilities in the Consolidated Balance Sheets, with changes in the fair values of the corresponding derivative financial assets or liabilities recorded as either a charge or credit to current earnings during the period in which the changes occurred.</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Forward Sales Commitments</w:t>
      </w:r>
    </w:p>
    <w:p>
      <w:pPr>
        <w:pStyle w:val="TextBody"/>
        <w:bidi w:val="0"/>
        <w:spacing w:lineRule="auto" w:line="288" w:before="200" w:after="200"/>
        <w:jc w:val="both"/>
        <w:rPr/>
      </w:pPr>
      <w:r>
        <w:rPr>
          <w:rFonts w:ascii="Times New Roman;sans-serif" w:hAnsi="Times New Roman;sans-serif"/>
          <w:b w:val="false"/>
          <w:color w:val="000000"/>
          <w:sz w:val="20"/>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color w:val="000000"/>
        </w:rPr>
        <w:t>“</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are carried at their fair values in other assets or other liabilities in the Consolidated Balance Sheets. While such forward sales commitments generally served as an economic hedge to mortgage loans held for sale and interest rate lock commitments, Busey did not designate them for hedge accounting treatment. Changes in fair value of the corresponding derivative financial asset or liability were recorded as either a charge or credit to current earnings during the period in which the changes occurred.</w:t>
      </w:r>
    </w:p>
    <w:p>
      <w:pPr>
        <w:pStyle w:val="TextBody"/>
        <w:bidi w:val="0"/>
        <w:spacing w:lineRule="auto" w:line="288" w:before="200" w:after="200"/>
        <w:jc w:val="both"/>
        <w:rPr/>
      </w:pPr>
      <w:r>
        <w:rPr>
          <w:rFonts w:ascii="Times New Roman;sans-serif" w:hAnsi="Times New Roman;sans-serif"/>
          <w:b w:val="false"/>
          <w:color w:val="000000"/>
          <w:sz w:val="20"/>
        </w:rPr>
        <w:t xml:space="preserve">Amounts and fair values of mortgage banking derivatives included in the Consolidated Balance Sheets are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572"/>
        <w:gridCol w:w="1366"/>
        <w:gridCol w:w="1370"/>
        <w:gridCol w:w="443"/>
        <w:gridCol w:w="433"/>
        <w:gridCol w:w="431"/>
        <w:gridCol w:w="109"/>
        <w:gridCol w:w="109"/>
        <w:gridCol w:w="109"/>
        <w:gridCol w:w="211"/>
        <w:gridCol w:w="616"/>
        <w:gridCol w:w="109"/>
        <w:gridCol w:w="109"/>
        <w:gridCol w:w="109"/>
        <w:gridCol w:w="109"/>
        <w:gridCol w:w="211"/>
        <w:gridCol w:w="361"/>
        <w:gridCol w:w="109"/>
        <w:gridCol w:w="109"/>
        <w:gridCol w:w="109"/>
        <w:gridCol w:w="109"/>
        <w:gridCol w:w="211"/>
        <w:gridCol w:w="616"/>
        <w:gridCol w:w="109"/>
        <w:gridCol w:w="109"/>
        <w:gridCol w:w="109"/>
        <w:gridCol w:w="109"/>
        <w:gridCol w:w="211"/>
        <w:gridCol w:w="361"/>
        <w:gridCol w:w="157"/>
      </w:tblGrid>
      <w:tr>
        <w:trPr/>
        <w:tc>
          <w:tcPr>
            <w:tcW w:w="157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with positive fair value</w:t>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lock commitments</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commitments</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banking derivatives recorded in other assets</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with negative fair value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lock commitments</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commitments</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banking derivatives recorded in other liabilities</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20"/>
        </w:rPr>
        <w:t xml:space="preserve">Net gains (losses) relating to these derivative instruments are summarized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229" w:type="dxa"/>
        <w:jc w:val="left"/>
        <w:tblInd w:w="0" w:type="dxa"/>
        <w:tblLayout w:type="fixed"/>
        <w:tblCellMar>
          <w:top w:w="28" w:type="dxa"/>
          <w:left w:w="28" w:type="dxa"/>
          <w:bottom w:w="28" w:type="dxa"/>
          <w:right w:w="28" w:type="dxa"/>
        </w:tblCellMar>
      </w:tblPr>
      <w:tblGrid>
        <w:gridCol w:w="943"/>
        <w:gridCol w:w="830"/>
        <w:gridCol w:w="837"/>
        <w:gridCol w:w="527"/>
        <w:gridCol w:w="527"/>
        <w:gridCol w:w="535"/>
        <w:gridCol w:w="109"/>
        <w:gridCol w:w="109"/>
        <w:gridCol w:w="109"/>
        <w:gridCol w:w="245"/>
        <w:gridCol w:w="508"/>
        <w:gridCol w:w="127"/>
        <w:gridCol w:w="127"/>
        <w:gridCol w:w="127"/>
        <w:gridCol w:w="127"/>
        <w:gridCol w:w="245"/>
        <w:gridCol w:w="630"/>
        <w:gridCol w:w="127"/>
        <w:gridCol w:w="109"/>
        <w:gridCol w:w="109"/>
        <w:gridCol w:w="109"/>
        <w:gridCol w:w="233"/>
        <w:gridCol w:w="482"/>
        <w:gridCol w:w="120"/>
        <w:gridCol w:w="120"/>
        <w:gridCol w:w="120"/>
        <w:gridCol w:w="120"/>
        <w:gridCol w:w="233"/>
        <w:gridCol w:w="515"/>
        <w:gridCol w:w="170"/>
      </w:tblGrid>
      <w:tr>
        <w:trPr/>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gains (losses)</w:t>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lock commitments</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commitments</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(losses)</w:t>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11: Fair Value Measurements</w:t>
      </w:r>
    </w:p>
    <w:p>
      <w:pPr>
        <w:pStyle w:val="TextBody"/>
        <w:bidi w:val="0"/>
        <w:spacing w:lineRule="auto" w:line="288" w:before="200" w:after="200"/>
        <w:jc w:val="both"/>
        <w:rPr/>
      </w:pPr>
      <w:r>
        <w:rPr>
          <w:rFonts w:ascii="Times New Roman;sans-serif" w:hAnsi="Times New Roman;sans-serif"/>
          <w:b w:val="false"/>
          <w:color w:val="000000"/>
          <w:sz w:val="20"/>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color w:val="000000"/>
        </w:rPr>
        <w:t>“</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establishes a fair value hierarchy for valuation inputs that gives the highest priority to quoted prices in active markets for identical assets or liabilities and the lowest priority to unobservable inputs. The fair value hierarchy is as follows:</w:t>
      </w:r>
    </w:p>
    <w:p>
      <w:pPr>
        <w:pStyle w:val="TextBody"/>
        <w:bidi w:val="0"/>
        <w:spacing w:lineRule="auto" w:line="288" w:before="120" w:after="200"/>
        <w:ind w:left="0" w:right="0" w:hanging="360"/>
        <w:jc w:val="both"/>
        <w:rPr/>
      </w:pPr>
      <w:r>
        <w:rPr>
          <w:color w:val="000000"/>
        </w:rPr>
        <w:t>•</w:t>
      </w:r>
      <w:r>
        <w:rPr>
          <w:rFonts w:ascii="Times New Roman;sans-serif" w:hAnsi="Times New Roman;sans-serif"/>
          <w:b w:val="false"/>
          <w:i/>
          <w:color w:val="000000"/>
          <w:sz w:val="20"/>
        </w:rPr>
        <w:t>Level 1 Inputs</w:t>
      </w:r>
      <w:r>
        <w:rPr>
          <w:color w:val="000000"/>
        </w:rPr>
        <w:t>—</w:t>
      </w:r>
      <w:r>
        <w:rPr>
          <w:rFonts w:ascii="Times New Roman;sans-serif" w:hAnsi="Times New Roman;sans-serif"/>
          <w:b w:val="false"/>
          <w:color w:val="000000"/>
          <w:sz w:val="20"/>
        </w:rPr>
        <w:t>Unadjusted quoted prices in active markets for identical assets or liabilities that the Company has the ability to access at the measurement date.</w:t>
      </w:r>
    </w:p>
    <w:p>
      <w:pPr>
        <w:pStyle w:val="TextBody"/>
        <w:bidi w:val="0"/>
        <w:spacing w:lineRule="auto" w:line="288" w:before="120" w:after="200"/>
        <w:ind w:left="0" w:right="0" w:hanging="360"/>
        <w:jc w:val="both"/>
        <w:rPr/>
      </w:pPr>
      <w:r>
        <w:rPr>
          <w:color w:val="000000"/>
        </w:rPr>
        <w:t>•</w:t>
      </w:r>
      <w:r>
        <w:rPr>
          <w:rFonts w:ascii="Times New Roman;sans-serif" w:hAnsi="Times New Roman;sans-serif"/>
          <w:b w:val="false"/>
          <w:i/>
          <w:color w:val="000000"/>
          <w:sz w:val="20"/>
        </w:rPr>
        <w:t>Level 2 Inputs</w:t>
      </w:r>
      <w:r>
        <w:rPr>
          <w:color w:val="000000"/>
        </w:rPr>
        <w:t>—</w:t>
      </w:r>
      <w:r>
        <w:rPr>
          <w:rFonts w:ascii="Times New Roman;sans-serif" w:hAnsi="Times New Roman;sans-serif"/>
          <w:b w:val="false"/>
          <w:color w:val="000000"/>
          <w:sz w:val="20"/>
        </w:rPr>
        <w:t>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pStyle w:val="TextBody"/>
        <w:bidi w:val="0"/>
        <w:spacing w:lineRule="auto" w:line="288" w:before="120" w:after="200"/>
        <w:ind w:left="0" w:right="0" w:hanging="360"/>
        <w:jc w:val="both"/>
        <w:rPr/>
      </w:pPr>
      <w:r>
        <w:rPr>
          <w:color w:val="000000"/>
        </w:rPr>
        <w:t>•</w:t>
      </w:r>
      <w:r>
        <w:rPr>
          <w:rFonts w:ascii="Times New Roman;sans-serif" w:hAnsi="Times New Roman;sans-serif"/>
          <w:b w:val="false"/>
          <w:i/>
          <w:color w:val="000000"/>
          <w:sz w:val="20"/>
        </w:rPr>
        <w:t>Level 3 Inputs</w:t>
      </w:r>
      <w:r>
        <w:rPr>
          <w:color w:val="000000"/>
        </w:rPr>
        <w:t>—</w:t>
      </w:r>
      <w:r>
        <w:rPr>
          <w:rFonts w:ascii="Times New Roman;sans-serif" w:hAnsi="Times New Roman;sans-serif"/>
          <w:b w:val="false"/>
          <w:color w:val="000000"/>
          <w:sz w:val="20"/>
        </w:rPr>
        <w:t>Unobservable inputs for determining the fair values of assets or liabilities that reflect the Company’s own assumptions about the assumptions that market participants would use in pricing the assets or liabilities.</w:t>
      </w:r>
    </w:p>
    <w:p>
      <w:pPr>
        <w:pStyle w:val="TextBody"/>
        <w:bidi w:val="0"/>
        <w:spacing w:lineRule="auto" w:line="288" w:before="24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Busey's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Financial Assets and Financial Liabilities Measured at Fair Value on a Recurring Basis</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Securities Available for Sale</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Debt securities classified as available for sale are reported at fair value utilizing Level 2 inputs. Busey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Securities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Equity securities are reported at fair value utilizing Level 1 or Level 2 inputs. Fair value measurements of mutual funds, when held, are determined using unadjusted quoted prices in active markets for identical assets at the measurement date and are classified as Level 1. Fair value measurements of stock utilize quoted prices for identical or similar assets in markets that are not active and are classified as Level 2.</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Derivative Assets and Derivative Liabilities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derivative assets and derivative liabilities are reported at fair value utilizing Level 2 or Level 3 inputs. Fair values of derivative assets and liabilities are determined based on prices that are obtained from a third-party which uses observable market inputs and, with the exception of our risk participation agreements, are classified as Level 2. Due to the significance of unobservable inputs, derivative assets related to our risk participation agreements are classified as Level 3.</w:t>
      </w:r>
    </w:p>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tables summarize financial assets and financial liabilities measured at fair value on a recurring basis as of June 30, 2023, and December 31, 2022, segregated by the level of the valuation inputs within the fair value hierarchy utilized to measure fair value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492" w:type="dxa"/>
        <w:jc w:val="left"/>
        <w:tblInd w:w="0" w:type="dxa"/>
        <w:tblLayout w:type="fixed"/>
        <w:tblCellMar>
          <w:top w:w="28" w:type="dxa"/>
          <w:left w:w="28" w:type="dxa"/>
          <w:bottom w:w="28" w:type="dxa"/>
          <w:right w:w="28" w:type="dxa"/>
        </w:tblCellMar>
      </w:tblPr>
      <w:tblGrid>
        <w:gridCol w:w="1755"/>
        <w:gridCol w:w="1542"/>
        <w:gridCol w:w="1547"/>
        <w:gridCol w:w="211"/>
        <w:gridCol w:w="406"/>
        <w:gridCol w:w="109"/>
        <w:gridCol w:w="109"/>
        <w:gridCol w:w="109"/>
        <w:gridCol w:w="109"/>
        <w:gridCol w:w="220"/>
        <w:gridCol w:w="756"/>
        <w:gridCol w:w="109"/>
        <w:gridCol w:w="109"/>
        <w:gridCol w:w="109"/>
        <w:gridCol w:w="109"/>
        <w:gridCol w:w="211"/>
        <w:gridCol w:w="406"/>
        <w:gridCol w:w="109"/>
        <w:gridCol w:w="109"/>
        <w:gridCol w:w="109"/>
        <w:gridCol w:w="109"/>
        <w:gridCol w:w="220"/>
        <w:gridCol w:w="756"/>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corporations and agencies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14" w:type="dxa"/>
        <w:jc w:val="left"/>
        <w:tblInd w:w="0" w:type="dxa"/>
        <w:tblLayout w:type="fixed"/>
        <w:tblCellMar>
          <w:top w:w="28" w:type="dxa"/>
          <w:left w:w="28" w:type="dxa"/>
          <w:bottom w:w="28" w:type="dxa"/>
          <w:right w:w="28" w:type="dxa"/>
        </w:tblCellMar>
      </w:tblPr>
      <w:tblGrid>
        <w:gridCol w:w="1755"/>
        <w:gridCol w:w="1542"/>
        <w:gridCol w:w="1547"/>
        <w:gridCol w:w="211"/>
        <w:gridCol w:w="40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U.S. government corporations and agencies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of states and political subdivisions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Nonrecurring Basis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Loans Evaluated Individually</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does not record portfolio loans at fair value on a recurring basis. However, 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OREO and Other Repossessed Assets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Non-financial assets measured at fair value, upon initial recognition or subsequent impairment, include OREO and other repossessed assets. OREO properties and other repossessed assets are measured using a combination of observable inputs, including recent appraisals, and unobservable inputs. Due to the significance of unobservable inputs, the fair values of all OREO and other repossessed assets have been classified as Level 3.</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Bank Property Held for Sale</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Bank property held for sale represents certain banking center office buildings which Busey has closed and consolidated with other existing banking centers. Bank property held for sale is measured at the lower of amortized cost or fair value less estimated costs to sell. Fair values were based upon discounted appraisals or real estate listing prices. Due to the significance of unobservable inputs, fair values of all bank property held for sale have been classified as Level 3.</w:t>
      </w:r>
    </w:p>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tables summarize assets and liabilities measured at fair value on a non-recurring basis for the periods presented, segregated by the level of the valuation inputs within the fair value hierarchy utilized to measure fair value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895" w:type="dxa"/>
        <w:jc w:val="left"/>
        <w:tblInd w:w="0" w:type="dxa"/>
        <w:tblLayout w:type="fixed"/>
        <w:tblCellMar>
          <w:top w:w="28" w:type="dxa"/>
          <w:left w:w="28" w:type="dxa"/>
          <w:bottom w:w="28" w:type="dxa"/>
          <w:right w:w="28" w:type="dxa"/>
        </w:tblCellMar>
      </w:tblPr>
      <w:tblGrid>
        <w:gridCol w:w="1648"/>
        <w:gridCol w:w="1445"/>
        <w:gridCol w:w="1452"/>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evaluated individually, net of related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property held for sale with impairment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95" w:type="dxa"/>
        <w:jc w:val="left"/>
        <w:tblInd w:w="0" w:type="dxa"/>
        <w:tblLayout w:type="fixed"/>
        <w:tblCellMar>
          <w:top w:w="28" w:type="dxa"/>
          <w:left w:w="28" w:type="dxa"/>
          <w:bottom w:w="28" w:type="dxa"/>
          <w:right w:w="28" w:type="dxa"/>
        </w:tblCellMar>
      </w:tblPr>
      <w:tblGrid>
        <w:gridCol w:w="1648"/>
        <w:gridCol w:w="1445"/>
        <w:gridCol w:w="1452"/>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evaluated individually, net of related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property held for sale with impairment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 presents additional quantitative information about assets measured at fair value on a non-recurring basis for which the Company has utilized Level 3 inputs to determine fair value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015"/>
        <w:gridCol w:w="890"/>
        <w:gridCol w:w="894"/>
        <w:gridCol w:w="211"/>
        <w:gridCol w:w="616"/>
        <w:gridCol w:w="109"/>
        <w:gridCol w:w="109"/>
        <w:gridCol w:w="109"/>
        <w:gridCol w:w="109"/>
        <w:gridCol w:w="794"/>
        <w:gridCol w:w="794"/>
        <w:gridCol w:w="796"/>
        <w:gridCol w:w="109"/>
        <w:gridCol w:w="109"/>
        <w:gridCol w:w="109"/>
        <w:gridCol w:w="494"/>
        <w:gridCol w:w="494"/>
        <w:gridCol w:w="495"/>
        <w:gridCol w:w="109"/>
        <w:gridCol w:w="109"/>
        <w:gridCol w:w="109"/>
        <w:gridCol w:w="473"/>
        <w:gridCol w:w="473"/>
        <w:gridCol w:w="676"/>
      </w:tblGrid>
      <w:tr>
        <w:trPr/>
        <w:tc>
          <w:tcPr>
            <w:tcW w:w="101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2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Valuation</w:t>
              <w:br/>
              <w:t>Techniques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Range</w:t>
              <w:br/>
              <w:t>(Weighted Average)</w:t>
            </w:r>
          </w:p>
        </w:tc>
      </w:tr>
      <w:tr>
        <w:trPr/>
        <w:tc>
          <w:tcPr>
            <w:tcW w:w="2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evaluated individually, net of related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of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-15.7% to -100.0%</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(-43.7)%</w:t>
            </w:r>
          </w:p>
        </w:tc>
      </w:tr>
      <w:tr>
        <w:trPr/>
        <w:tc>
          <w:tcPr>
            <w:tcW w:w="27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property held for sale with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of collateral or real estate listing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 to -64.9%</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73685"/>
                <wp:effectExtent l="0" t="0" r="0" b="0"/>
                <wp:wrapNone/>
                <wp:docPr id="48"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tbl>
      <w:tblPr>
        <w:tblW w:w="10205" w:type="dxa"/>
        <w:jc w:val="left"/>
        <w:tblInd w:w="0" w:type="dxa"/>
        <w:tblLayout w:type="fixed"/>
        <w:tblCellMar>
          <w:top w:w="28" w:type="dxa"/>
          <w:left w:w="28" w:type="dxa"/>
          <w:bottom w:w="28" w:type="dxa"/>
          <w:right w:w="28" w:type="dxa"/>
        </w:tblCellMar>
      </w:tblPr>
      <w:tblGrid>
        <w:gridCol w:w="1015"/>
        <w:gridCol w:w="890"/>
        <w:gridCol w:w="894"/>
        <w:gridCol w:w="211"/>
        <w:gridCol w:w="616"/>
        <w:gridCol w:w="109"/>
        <w:gridCol w:w="109"/>
        <w:gridCol w:w="109"/>
        <w:gridCol w:w="109"/>
        <w:gridCol w:w="794"/>
        <w:gridCol w:w="794"/>
        <w:gridCol w:w="796"/>
        <w:gridCol w:w="109"/>
        <w:gridCol w:w="109"/>
        <w:gridCol w:w="109"/>
        <w:gridCol w:w="494"/>
        <w:gridCol w:w="494"/>
        <w:gridCol w:w="495"/>
        <w:gridCol w:w="109"/>
        <w:gridCol w:w="109"/>
        <w:gridCol w:w="109"/>
        <w:gridCol w:w="473"/>
        <w:gridCol w:w="473"/>
        <w:gridCol w:w="676"/>
      </w:tblGrid>
      <w:tr>
        <w:trPr/>
        <w:tc>
          <w:tcPr>
            <w:tcW w:w="101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2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Valuation</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Techniques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Unobservable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Range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2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evaluated individually, net of related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of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-22.7% to -100.0%</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w:t>
            </w:r>
          </w:p>
        </w:tc>
      </w:tr>
      <w:tr>
        <w:trPr/>
        <w:tc>
          <w:tcPr>
            <w:tcW w:w="27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2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property held for sale with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of collateral or real estate listing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Appraisal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-0.7% to -70.1%</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(-35.1)%</w:t>
            </w:r>
          </w:p>
        </w:tc>
      </w:tr>
    </w:tbl>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Financial Assets and Financial Liabilities That Are Not Carried at Fair Value</w:t>
      </w:r>
    </w:p>
    <w:p>
      <w:pPr>
        <w:pStyle w:val="TextBody"/>
        <w:bidi w:val="0"/>
        <w:spacing w:lineRule="auto" w:line="288" w:before="200" w:after="200"/>
        <w:jc w:val="both"/>
        <w:rPr/>
      </w:pPr>
      <w:r>
        <w:rPr>
          <w:rFonts w:ascii="Times New Roman;sans-serif" w:hAnsi="Times New Roman;sans-serif"/>
          <w:b w:val="false"/>
          <w:color w:val="000000"/>
          <w:sz w:val="20"/>
        </w:rPr>
        <w:t xml:space="preserve">Estimated fair values of financial instruments that are not carried at fair value in Busey’s Consolidated Balance Sheets, segregated by the level of the valuation inputs within the fair value hierarchy utilized to measure fair value, were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587"/>
        <w:gridCol w:w="1347"/>
        <w:gridCol w:w="135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158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inputs: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inputs: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 to maturity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inputs: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7,320,422 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servicing rights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servicing rights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inputs: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sold under agreements to repurchase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Junior subordinated debt owed to unconsolidated trusts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inputs: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 net of unamortized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12: Earnings Per Common Share</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computed by dividing net income for the period by the weighted average number of common shares outstanding, which include DSUs that are vested but not delivered. Diluted earnings per common share is computed using the treasury stock method and reflects the potential dilution that could occur if Busey’s outstanding stock options and warrants were exercised, stock units were vested, and ESPP shares were issued.</w:t>
      </w:r>
    </w:p>
    <w:p>
      <w:pPr>
        <w:pStyle w:val="TextBody"/>
        <w:bidi w:val="0"/>
        <w:spacing w:lineRule="auto" w:line="288" w:before="200" w:after="200"/>
        <w:jc w:val="both"/>
        <w:rPr/>
      </w:pPr>
      <w:r>
        <w:rPr>
          <w:rFonts w:ascii="Times New Roman;sans-serif" w:hAnsi="Times New Roman;sans-serif"/>
          <w:b w:val="false"/>
          <w:color w:val="000000"/>
          <w:sz w:val="20"/>
        </w:rPr>
        <w:t xml:space="preserve">Earnings per common share have been computed as follows </w:t>
      </w:r>
      <w:r>
        <w:rPr>
          <w:rFonts w:ascii="Times New Roman;sans-serif" w:hAnsi="Times New Roman;sans-serif"/>
          <w:b w:val="false"/>
          <w:i/>
          <w:color w:val="000000"/>
          <w:sz w:val="20"/>
        </w:rPr>
        <w:t>(dollars in thousands, except per share amounts)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599"/>
        <w:gridCol w:w="1401"/>
        <w:gridCol w:w="1417"/>
        <w:gridCol w:w="244"/>
        <w:gridCol w:w="837"/>
        <w:gridCol w:w="109"/>
        <w:gridCol w:w="109"/>
        <w:gridCol w:w="109"/>
        <w:gridCol w:w="109"/>
        <w:gridCol w:w="244"/>
        <w:gridCol w:w="837"/>
        <w:gridCol w:w="109"/>
        <w:gridCol w:w="109"/>
        <w:gridCol w:w="109"/>
        <w:gridCol w:w="109"/>
        <w:gridCol w:w="244"/>
        <w:gridCol w:w="837"/>
        <w:gridCol w:w="109"/>
        <w:gridCol w:w="109"/>
        <w:gridCol w:w="109"/>
        <w:gridCol w:w="109"/>
        <w:gridCol w:w="244"/>
        <w:gridCol w:w="837"/>
        <w:gridCol w:w="156"/>
      </w:tblGrid>
      <w:tr>
        <w:trPr/>
        <w:tc>
          <w:tcPr>
            <w:tcW w:w="1599"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55,424,776 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common stock equivalents: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DSU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56,195,801 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56,104,017 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56,187,820 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56,149,466 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Average shares that were excluded from the computation of diluted earnings per common share because their effect would have been anti-dilutive are summarized in the table below for the periods presented:</w:t>
      </w:r>
    </w:p>
    <w:tbl>
      <w:tblPr>
        <w:tblW w:w="9377" w:type="dxa"/>
        <w:jc w:val="left"/>
        <w:tblInd w:w="0" w:type="dxa"/>
        <w:tblLayout w:type="fixed"/>
        <w:tblCellMar>
          <w:top w:w="28" w:type="dxa"/>
          <w:left w:w="28" w:type="dxa"/>
          <w:bottom w:w="28" w:type="dxa"/>
          <w:right w:w="28" w:type="dxa"/>
        </w:tblCellMar>
      </w:tblPr>
      <w:tblGrid>
        <w:gridCol w:w="1393"/>
        <w:gridCol w:w="1220"/>
        <w:gridCol w:w="1227"/>
        <w:gridCol w:w="413"/>
        <w:gridCol w:w="413"/>
        <w:gridCol w:w="251"/>
        <w:gridCol w:w="251"/>
        <w:gridCol w:w="251"/>
        <w:gridCol w:w="251"/>
        <w:gridCol w:w="289"/>
        <w:gridCol w:w="289"/>
        <w:gridCol w:w="251"/>
        <w:gridCol w:w="109"/>
        <w:gridCol w:w="109"/>
        <w:gridCol w:w="109"/>
        <w:gridCol w:w="517"/>
        <w:gridCol w:w="309"/>
        <w:gridCol w:w="224"/>
        <w:gridCol w:w="224"/>
        <w:gridCol w:w="224"/>
        <w:gridCol w:w="224"/>
        <w:gridCol w:w="256"/>
        <w:gridCol w:w="256"/>
        <w:gridCol w:w="317"/>
      </w:tblGrid>
      <w:tr>
        <w:trPr/>
        <w:tc>
          <w:tcPr>
            <w:tcW w:w="1393"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Anti-dilutive common stock equivalents</w:t>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21,926</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15,583</w:t>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awards</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157,781</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78,891 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77,824</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 awards</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63,220</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164,339 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259,962</w:t>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common stock equivalents</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242,927 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265,596 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353,369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73685"/>
                <wp:effectExtent l="0" t="0" r="0" b="0"/>
                <wp:wrapNone/>
                <wp:docPr id="50"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13: Accumulated Other Comprehensive Income (Loss)</w:t>
      </w:r>
    </w:p>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tables present changes in AOCI by component, net of tax, for the periods indicated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608"/>
        <w:gridCol w:w="534"/>
        <w:gridCol w:w="535"/>
        <w:gridCol w:w="211"/>
        <w:gridCol w:w="844"/>
        <w:gridCol w:w="109"/>
        <w:gridCol w:w="109"/>
        <w:gridCol w:w="109"/>
        <w:gridCol w:w="109"/>
        <w:gridCol w:w="211"/>
        <w:gridCol w:w="826"/>
        <w:gridCol w:w="109"/>
        <w:gridCol w:w="109"/>
        <w:gridCol w:w="109"/>
        <w:gridCol w:w="109"/>
        <w:gridCol w:w="211"/>
        <w:gridCol w:w="844"/>
        <w:gridCol w:w="109"/>
        <w:gridCol w:w="109"/>
        <w:gridCol w:w="109"/>
        <w:gridCol w:w="109"/>
        <w:gridCol w:w="211"/>
        <w:gridCol w:w="844"/>
        <w:gridCol w:w="109"/>
        <w:gridCol w:w="109"/>
        <w:gridCol w:w="109"/>
        <w:gridCol w:w="109"/>
        <w:gridCol w:w="211"/>
        <w:gridCol w:w="721"/>
        <w:gridCol w:w="109"/>
        <w:gridCol w:w="109"/>
        <w:gridCol w:w="109"/>
        <w:gridCol w:w="109"/>
        <w:gridCol w:w="211"/>
        <w:gridCol w:w="844"/>
        <w:gridCol w:w="159"/>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of Tax</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Unrealized/Unrecognized gains (losses) on debt securities</w:t>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gains (losses) on debt securities available for sale, net</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losses on debt securities transferred to held to maturity from available for sale</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 net</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unrecognized losses on securities transferred to held to maturity</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(198,263)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Unrealized gains (losses) on cash flow hedges</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gains (losses) on cash flow hedges, net</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 net</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AOCI</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(364,945)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(260,921)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(295,273)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84,166 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(211,107)</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73685"/>
                <wp:effectExtent l="0" t="0" r="0" b="0"/>
                <wp:wrapNone/>
                <wp:docPr id="51"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tbl>
      <w:tblPr>
        <w:tblW w:w="10205" w:type="dxa"/>
        <w:jc w:val="left"/>
        <w:tblInd w:w="0" w:type="dxa"/>
        <w:tblLayout w:type="fixed"/>
        <w:tblCellMar>
          <w:top w:w="28" w:type="dxa"/>
          <w:left w:w="28" w:type="dxa"/>
          <w:bottom w:w="28" w:type="dxa"/>
          <w:right w:w="28" w:type="dxa"/>
        </w:tblCellMar>
      </w:tblPr>
      <w:tblGrid>
        <w:gridCol w:w="608"/>
        <w:gridCol w:w="534"/>
        <w:gridCol w:w="535"/>
        <w:gridCol w:w="211"/>
        <w:gridCol w:w="844"/>
        <w:gridCol w:w="109"/>
        <w:gridCol w:w="109"/>
        <w:gridCol w:w="109"/>
        <w:gridCol w:w="109"/>
        <w:gridCol w:w="211"/>
        <w:gridCol w:w="826"/>
        <w:gridCol w:w="109"/>
        <w:gridCol w:w="109"/>
        <w:gridCol w:w="109"/>
        <w:gridCol w:w="109"/>
        <w:gridCol w:w="211"/>
        <w:gridCol w:w="844"/>
        <w:gridCol w:w="109"/>
        <w:gridCol w:w="109"/>
        <w:gridCol w:w="109"/>
        <w:gridCol w:w="109"/>
        <w:gridCol w:w="211"/>
        <w:gridCol w:w="844"/>
        <w:gridCol w:w="109"/>
        <w:gridCol w:w="109"/>
        <w:gridCol w:w="109"/>
        <w:gridCol w:w="109"/>
        <w:gridCol w:w="211"/>
        <w:gridCol w:w="721"/>
        <w:gridCol w:w="109"/>
        <w:gridCol w:w="109"/>
        <w:gridCol w:w="109"/>
        <w:gridCol w:w="109"/>
        <w:gridCol w:w="211"/>
        <w:gridCol w:w="844"/>
        <w:gridCol w:w="159"/>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Before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of Tax</w:t>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Unrealized/Unrecognized gains (losses) on debt securities</w:t>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gains (losses) on debt securities available for sale, net</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(142,682)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losses on debt securities transferred to held to maturity from available for sale</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 net</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unrecognized losses on securities transferred to held to maturity</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(198,263)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Unrealized gains (losses) on cash flow hedges</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holding gains (losses) on cash flow hedges, net</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 net</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AOCI</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(364,945)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(260,921)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(295,273)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84,166 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(211,107)</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Note 14: Operating Segments and Related Information</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has three reportable operating segments: Banking, FirsTech, and Wealth Management. Busey’s three operating segments are strategic business units that are separately managed, as they offer different products and services and have different marketing strategies.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The Banking Operating Segment</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Banking operating segment provides a full range of banking services to individual and corporate customers through First Busey Corporation’s wholly-owned bank subsidiary, Busey Bank, with 58 banking centers in Illinois; the St. Louis, Missouri, metropolitan area; southwest Florida; and Indianapolis, Indiana.</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Banking services offered to individual customers include customary types of demand and savings deposits, money transfers, safe deposit services, individual retirement accounts and other fiduciary services, automated teller machines, and technology-based networks, as well as a variety of loan products including residential real estate, home equity lines of credit, and consumer loans. Banking services offered to corporate customers include commercial, commercial real estate, real estate construction, and agricultural loans, as well as commercial depository services such as cash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73685"/>
                <wp:effectExtent l="0" t="0" r="0" b="0"/>
                <wp:wrapNone/>
                <wp:docPr id="52"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The FirsTech Operating Segment</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FirsTech operating segment provides comprehensive and innovative payment technology solutions through Busey Bank’s wholly-owned subsidiary, FirsTech. FirsTech's multi-channel payment platform allows businesses to collect payments from their customers in a variety of ways to enable fast, frictionless payments. Payment method vehicles include, but are not limited to,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and lockbox remittance processing for customers to make payments by mail. FirsTech also provides additional tools to help clients with billing, reconciliation, bill reminders, and treasury services.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FirsTech's client base represents a diverse set of industries, with a higher concentration in highly regulated industries, such as financial institutions, utility, insurance, and telecommunications industries.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The Wealth Management Operating Segment</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Wealth Management operating segment provides a full range of asset management, investment, brokerage, fiduciary, philanthropic advisory, tax preparation, and farm management services to individuals, businesses, and foundations. Services are provided through Busey Capital Management, Inc., a wholly-owned subsidiary of Busey Bank, and Busey Wealth Management, a division of Busey Bank.</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Wealth management services tailored to individuals include trust and estate advisory services and financial planning. Business services include business succession planning and employee retirement plan services. Services for foundations include investment strategy consulting and fiduciary services.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Segment Financial Information</w:t>
      </w:r>
    </w:p>
    <w:p>
      <w:pPr>
        <w:pStyle w:val="TextBody"/>
        <w:bidi w:val="0"/>
        <w:spacing w:lineRule="auto" w:line="288" w:before="200" w:after="200"/>
        <w:jc w:val="both"/>
        <w:rPr/>
      </w:pPr>
      <w:r>
        <w:rPr>
          <w:rFonts w:ascii="Times New Roman;sans-serif" w:hAnsi="Times New Roman;sans-serif"/>
          <w:b w:val="false"/>
          <w:color w:val="000000"/>
          <w:sz w:val="20"/>
        </w:rPr>
        <w:t>The segment financial information provided below has been derived from information used by management to monitor and manage Busey’s financial performance. The accounting policies of the three operating segments are the same as those described in the summary of significant accounting policies in “</w:t>
      </w:r>
      <w:r>
        <w:fldChar w:fldCharType="begin"/>
      </w:r>
      <w:r>
        <w:rPr>
          <w:rStyle w:val="InternetLink"/>
        </w:rPr>
        <w:instrText xml:space="preserve"> HYPERLINK "https://www.sec.gov/ix?doc=/Archives/edgar/data/0000314489/000031448923000010/buse-20221231.htm" \l "i5887e58b083b4ebe85d5c92e135ca21c_88"</w:instrText>
      </w:r>
      <w:r>
        <w:rPr>
          <w:rStyle w:val="InternetLink"/>
        </w:rPr>
        <w:fldChar w:fldCharType="separate"/>
      </w:r>
      <w:r>
        <w:rPr>
          <w:rStyle w:val="InternetLink"/>
        </w:rPr>
        <w:t>Note</w:t>
      </w:r>
      <w:r>
        <w:rPr>
          <w:rStyle w:val="InternetLink"/>
        </w:rPr>
        <w:fldChar w:fldCharType="end"/>
      </w:r>
      <w:r>
        <w:fldChar w:fldCharType="begin"/>
      </w:r>
      <w:r>
        <w:rPr>
          <w:rStyle w:val="InternetLink"/>
        </w:rPr>
        <w:instrText xml:space="preserve"> HYPERLINK "https://www.sec.gov/ix?doc=/Archives/edgar/data/0000314489/000031448923000010/buse-20221231.htm" \l "i5887e58b083b4ebe85d5c92e135ca21c_88"</w:instrText>
      </w:r>
      <w:r>
        <w:rPr>
          <w:rStyle w:val="InternetLink"/>
        </w:rPr>
        <w:fldChar w:fldCharType="separate"/>
      </w:r>
      <w:r>
        <w:rPr>
          <w:rStyle w:val="InternetLink"/>
        </w:rPr>
        <w:t> </w:t>
      </w:r>
      <w:r>
        <w:rPr>
          <w:rStyle w:val="InternetLink"/>
        </w:rPr>
        <w:fldChar w:fldCharType="end"/>
      </w:r>
      <w:r>
        <w:fldChar w:fldCharType="begin"/>
      </w:r>
      <w:r>
        <w:rPr>
          <w:rStyle w:val="InternetLink"/>
        </w:rPr>
        <w:instrText xml:space="preserve"> HYPERLINK "https://www.sec.gov/ix?doc=/Archives/edgar/data/0000314489/000031448923000010/buse-20221231.htm" \l "i5887e58b083b4ebe85d5c92e135ca21c_88"</w:instrText>
      </w:r>
      <w:r>
        <w:rPr>
          <w:rStyle w:val="InternetLink"/>
        </w:rPr>
        <w:fldChar w:fldCharType="separate"/>
      </w:r>
      <w:r>
        <w:rPr>
          <w:rStyle w:val="InternetLink"/>
        </w:rPr>
        <w:t>1. Significant Accounting Policies</w:t>
      </w:r>
      <w:r>
        <w:rPr>
          <w:rStyle w:val="InternetLink"/>
        </w:rPr>
        <w:fldChar w:fldCharType="end"/>
      </w:r>
      <w:r>
        <w:rPr>
          <w:color w:val="000000"/>
        </w:rPr>
        <w:t xml:space="preserve">” </w:t>
      </w:r>
      <w:r>
        <w:rPr>
          <w:rFonts w:ascii="Times New Roman;sans-serif" w:hAnsi="Times New Roman;sans-serif"/>
          <w:b w:val="false"/>
          <w:color w:val="000000"/>
          <w:sz w:val="20"/>
        </w:rPr>
        <w:t xml:space="preserve">in </w:t>
      </w:r>
      <w:hyperlink r:id="rId13">
        <w:r>
          <w:rPr>
            <w:rStyle w:val="InternetLink"/>
          </w:rPr>
          <w:t>Busey</w:t>
        </w:r>
      </w:hyperlink>
      <w:hyperlink r:id="rId14">
        <w:r>
          <w:rPr>
            <w:rStyle w:val="InternetLink"/>
          </w:rPr>
          <w:t xml:space="preserve">’s </w:t>
        </w:r>
      </w:hyperlink>
      <w:hyperlink r:id="rId15">
        <w:r>
          <w:rPr>
            <w:rStyle w:val="InternetLink"/>
          </w:rPr>
          <w:t>2022</w:t>
        </w:r>
      </w:hyperlink>
      <w:hyperlink r:id="rId16">
        <w:r>
          <w:rPr>
            <w:rStyle w:val="InternetLink"/>
          </w:rPr>
          <w:t xml:space="preserve"> Annual Report</w:t>
        </w:r>
      </w:hyperlink>
      <w:r>
        <w:rPr>
          <w:rFonts w:ascii="Times New Roman;sans-serif" w:hAnsi="Times New Roman;sans-serif"/>
          <w:b w:val="false"/>
          <w:color w:val="000000"/>
          <w:sz w:val="20"/>
        </w:rPr>
        <w:t>. The Company accounts for intersegment revenue and transfers at current market value.</w:t>
      </w:r>
    </w:p>
    <w:p>
      <w:pPr>
        <w:pStyle w:val="TextBody"/>
        <w:bidi w:val="0"/>
        <w:spacing w:lineRule="auto" w:line="288" w:before="200" w:after="200"/>
        <w:jc w:val="both"/>
        <w:rPr/>
      </w:pPr>
      <w:r>
        <w:rPr>
          <w:rFonts w:ascii="Times New Roman;sans-serif" w:hAnsi="Times New Roman;sans-serif"/>
          <w:b w:val="false"/>
          <w:color w:val="000000"/>
          <w:sz w:val="20"/>
        </w:rPr>
        <w:t>Following is a summary of selected financial information for the Company’s operating segments. The “other” category included in the tables below consists of the parent company, First Busey Risk Management, and the elimination of intercompany transactions</w:t>
      </w:r>
      <w:r>
        <w:rPr>
          <w:color w:val="000000"/>
        </w:rPr>
        <w:t xml:space="preserv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934" w:type="dxa"/>
        <w:jc w:val="left"/>
        <w:tblInd w:w="0" w:type="dxa"/>
        <w:tblLayout w:type="fixed"/>
        <w:tblCellMar>
          <w:top w:w="28" w:type="dxa"/>
          <w:left w:w="28" w:type="dxa"/>
          <w:bottom w:w="28" w:type="dxa"/>
          <w:right w:w="28" w:type="dxa"/>
        </w:tblCellMar>
      </w:tblPr>
      <w:tblGrid>
        <w:gridCol w:w="657"/>
        <w:gridCol w:w="576"/>
        <w:gridCol w:w="581"/>
        <w:gridCol w:w="211"/>
        <w:gridCol w:w="826"/>
        <w:gridCol w:w="109"/>
        <w:gridCol w:w="109"/>
        <w:gridCol w:w="109"/>
        <w:gridCol w:w="109"/>
        <w:gridCol w:w="211"/>
        <w:gridCol w:w="826"/>
        <w:gridCol w:w="109"/>
        <w:gridCol w:w="109"/>
        <w:gridCol w:w="109"/>
        <w:gridCol w:w="109"/>
        <w:gridCol w:w="211"/>
        <w:gridCol w:w="1081"/>
        <w:gridCol w:w="109"/>
        <w:gridCol w:w="109"/>
        <w:gridCol w:w="109"/>
        <w:gridCol w:w="109"/>
        <w:gridCol w:w="211"/>
        <w:gridCol w:w="1081"/>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Assets</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12,199,960 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12,209,029 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12,336,677 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73685"/>
                <wp:effectExtent l="0" t="0" r="0" b="0"/>
                <wp:wrapNone/>
                <wp:docPr id="53"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00" w:after="283"/>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200" w:after="200"/>
        <w:jc w:val="both"/>
        <w:rPr/>
      </w:pPr>
      <w:r>
        <w:rPr/>
      </w:r>
    </w:p>
    <w:tbl>
      <w:tblPr>
        <w:tblW w:w="8264" w:type="dxa"/>
        <w:jc w:val="left"/>
        <w:tblInd w:w="0" w:type="dxa"/>
        <w:tblLayout w:type="fixed"/>
        <w:tblCellMar>
          <w:top w:w="28" w:type="dxa"/>
          <w:left w:w="28" w:type="dxa"/>
          <w:bottom w:w="28" w:type="dxa"/>
          <w:right w:w="28" w:type="dxa"/>
        </w:tblCellMar>
      </w:tblPr>
      <w:tblGrid>
        <w:gridCol w:w="1037"/>
        <w:gridCol w:w="912"/>
        <w:gridCol w:w="915"/>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before income taxes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FirsTech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685"/>
                <wp:effectExtent l="0" t="0" r="0" b="0"/>
                <wp:wrapNone/>
                <wp:docPr id="54"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370" w:type="dxa"/>
        <w:jc w:val="left"/>
        <w:tblInd w:w="0" w:type="dxa"/>
        <w:tblLayout w:type="fixed"/>
        <w:tblCellMar>
          <w:top w:w="28" w:type="dxa"/>
          <w:left w:w="28" w:type="dxa"/>
          <w:bottom w:w="28" w:type="dxa"/>
          <w:right w:w="28" w:type="dxa"/>
        </w:tblCellMar>
      </w:tblPr>
      <w:tblGrid>
        <w:gridCol w:w="477"/>
        <w:gridCol w:w="416"/>
        <w:gridCol w:w="416"/>
        <w:gridCol w:w="2192"/>
        <w:gridCol w:w="2192"/>
        <w:gridCol w:w="2305"/>
        <w:gridCol w:w="109"/>
        <w:gridCol w:w="109"/>
        <w:gridCol w:w="154"/>
      </w:tblGrid>
      <w:tr>
        <w:trPr/>
        <w:tc>
          <w:tcPr>
            <w:tcW w:w="47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15">
              <w:r>
                <w:rPr>
                  <w:rStyle w:val="InternetLink"/>
                  <w:rFonts w:ascii="Times New Roman;sans-serif" w:hAnsi="Times New Roman;sans-serif"/>
                  <w:b w:val="false"/>
                  <w:color w:val="0000FF"/>
                  <w:sz w:val="20"/>
                  <w:u w:val="single"/>
                </w:rPr>
                <w:t>OVERVIEW</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15">
              <w:r>
                <w:rPr>
                  <w:rStyle w:val="InternetLink"/>
                  <w:rFonts w:ascii="Times New Roman;sans-serif" w:hAnsi="Times New Roman;sans-serif"/>
                  <w:b w:val="false"/>
                  <w:color w:val="0000FF"/>
                  <w:sz w:val="20"/>
                  <w:u w:val="single"/>
                </w:rPr>
                <w:t>56</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18">
              <w:r>
                <w:rPr>
                  <w:rStyle w:val="InternetLink"/>
                  <w:rFonts w:ascii="Times New Roman;sans-serif" w:hAnsi="Times New Roman;sans-serif"/>
                  <w:b w:val="false"/>
                  <w:color w:val="0000FF"/>
                  <w:sz w:val="20"/>
                  <w:u w:val="single"/>
                </w:rPr>
                <w:t>EXECUTIVE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18">
              <w:r>
                <w:rPr>
                  <w:rStyle w:val="InternetLink"/>
                  <w:rFonts w:ascii="Times New Roman;sans-serif" w:hAnsi="Times New Roman;sans-serif"/>
                  <w:b w:val="false"/>
                  <w:color w:val="0000FF"/>
                  <w:sz w:val="20"/>
                  <w:u w:val="single"/>
                </w:rPr>
                <w:t>57</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21">
              <w:r>
                <w:rPr>
                  <w:rStyle w:val="InternetLink"/>
                  <w:rFonts w:ascii="Times New Roman;sans-serif" w:hAnsi="Times New Roman;sans-serif"/>
                  <w:b w:val="false"/>
                  <w:color w:val="0000FF"/>
                  <w:sz w:val="20"/>
                  <w:u w:val="single"/>
                </w:rPr>
                <w:t>Operating Performance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21">
              <w:r>
                <w:rPr>
                  <w:rStyle w:val="InternetLink"/>
                  <w:rFonts w:ascii="Times New Roman;sans-serif" w:hAnsi="Times New Roman;sans-serif"/>
                  <w:b w:val="false"/>
                  <w:color w:val="0000FF"/>
                  <w:sz w:val="20"/>
                  <w:u w:val="single"/>
                </w:rPr>
                <w:t>57</w:t>
              </w:r>
            </w:hyperlink>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668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vAlign w:val="center"/>
          </w:tcPr>
          <w:p>
            <w:pPr>
              <w:pStyle w:val="TableContents"/>
              <w:bidi w:val="0"/>
              <w:spacing w:before="0" w:after="283"/>
              <w:jc w:val="left"/>
              <w:rPr>
                <w:sz w:val="4"/>
                <w:szCs w:val="4"/>
              </w:rPr>
            </w:pPr>
            <w:r>
              <w:rPr>
                <w:sz w:val="4"/>
                <w:szCs w:val="4"/>
              </w:rPr>
            </w:r>
          </w:p>
        </w:tc>
        <w:tc>
          <w:tcPr>
            <w:tcW w:w="668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30">
              <w:r>
                <w:rPr>
                  <w:rStyle w:val="InternetLink"/>
                  <w:rFonts w:ascii="Times New Roman;sans-serif" w:hAnsi="Times New Roman;sans-serif"/>
                  <w:b w:val="false"/>
                  <w:color w:val="0000FF"/>
                  <w:sz w:val="20"/>
                  <w:u w:val="single"/>
                </w:rPr>
                <w:t>Banking Center Markets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30">
              <w:r>
                <w:rPr>
                  <w:rStyle w:val="InternetLink"/>
                  <w:rFonts w:ascii="Times New Roman;sans-serif" w:hAnsi="Times New Roman;sans-serif"/>
                  <w:b w:val="false"/>
                  <w:color w:val="0000FF"/>
                  <w:sz w:val="20"/>
                  <w:u w:val="single"/>
                </w:rPr>
                <w:t>58</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33">
              <w:r>
                <w:rPr>
                  <w:rStyle w:val="InternetLink"/>
                  <w:rFonts w:ascii="Times New Roman;sans-serif" w:hAnsi="Times New Roman;sans-serif"/>
                  <w:b w:val="false"/>
                  <w:color w:val="0000FF"/>
                  <w:sz w:val="20"/>
                  <w:u w:val="single"/>
                </w:rPr>
                <w:t>Net Interest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33">
              <w:r>
                <w:rPr>
                  <w:rStyle w:val="InternetLink"/>
                  <w:rFonts w:ascii="Times New Roman;sans-serif" w:hAnsi="Times New Roman;sans-serif"/>
                  <w:b w:val="false"/>
                  <w:color w:val="0000FF"/>
                  <w:sz w:val="20"/>
                  <w:u w:val="single"/>
                </w:rPr>
                <w:t>58</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45">
              <w:r>
                <w:rPr>
                  <w:rStyle w:val="InternetLink"/>
                  <w:rFonts w:ascii="Times New Roman;sans-serif" w:hAnsi="Times New Roman;sans-serif"/>
                  <w:b w:val="false"/>
                  <w:color w:val="0000FF"/>
                  <w:sz w:val="20"/>
                  <w:u w:val="single"/>
                </w:rPr>
                <w:t>Noninterest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45">
              <w:r>
                <w:rPr>
                  <w:rStyle w:val="InternetLink"/>
                  <w:rFonts w:ascii="Times New Roman;sans-serif" w:hAnsi="Times New Roman;sans-serif"/>
                  <w:b w:val="false"/>
                  <w:color w:val="0000FF"/>
                  <w:sz w:val="20"/>
                  <w:u w:val="single"/>
                </w:rPr>
                <w:t>63</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51">
              <w:r>
                <w:rPr>
                  <w:rStyle w:val="InternetLink"/>
                  <w:rFonts w:ascii="Times New Roman;sans-serif" w:hAnsi="Times New Roman;sans-serif"/>
                  <w:b w:val="false"/>
                  <w:color w:val="0000FF"/>
                  <w:sz w:val="20"/>
                  <w:u w:val="single"/>
                </w:rPr>
                <w:t>Noninterest Expense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51">
              <w:r>
                <w:rPr>
                  <w:rStyle w:val="InternetLink"/>
                  <w:rFonts w:ascii="Times New Roman;sans-serif" w:hAnsi="Times New Roman;sans-serif"/>
                  <w:b w:val="false"/>
                  <w:color w:val="0000FF"/>
                  <w:sz w:val="20"/>
                  <w:u w:val="single"/>
                </w:rPr>
                <w:t>66</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57">
              <w:r>
                <w:rPr>
                  <w:rStyle w:val="InternetLink"/>
                  <w:rFonts w:ascii="Times New Roman;sans-serif" w:hAnsi="Times New Roman;sans-serif"/>
                  <w:b w:val="false"/>
                  <w:color w:val="0000FF"/>
                  <w:sz w:val="20"/>
                  <w:u w:val="single"/>
                </w:rPr>
                <w:t>FINANCIAL CONDITION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57">
              <w:r>
                <w:rPr>
                  <w:rStyle w:val="InternetLink"/>
                  <w:rFonts w:ascii="Times New Roman;sans-serif" w:hAnsi="Times New Roman;sans-serif"/>
                  <w:b w:val="false"/>
                  <w:color w:val="0000FF"/>
                  <w:sz w:val="20"/>
                  <w:u w:val="single"/>
                </w:rPr>
                <w:t>69</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60">
              <w:r>
                <w:rPr>
                  <w:rStyle w:val="InternetLink"/>
                  <w:rFonts w:ascii="Times New Roman;sans-serif" w:hAnsi="Times New Roman;sans-serif"/>
                  <w:b w:val="false"/>
                  <w:color w:val="0000FF"/>
                  <w:sz w:val="20"/>
                  <w:u w:val="single"/>
                </w:rPr>
                <w:t>Balance Sheet</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60">
              <w:r>
                <w:rPr>
                  <w:rStyle w:val="InternetLink"/>
                  <w:rFonts w:ascii="Times New Roman;sans-serif" w:hAnsi="Times New Roman;sans-serif"/>
                  <w:b w:val="false"/>
                  <w:color w:val="0000FF"/>
                  <w:sz w:val="20"/>
                  <w:u w:val="single"/>
                </w:rPr>
                <w:t>69</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63">
              <w:r>
                <w:rPr>
                  <w:rStyle w:val="InternetLink"/>
                  <w:rFonts w:ascii="Times New Roman;sans-serif" w:hAnsi="Times New Roman;sans-serif"/>
                  <w:b w:val="false"/>
                  <w:color w:val="0000FF"/>
                  <w:sz w:val="20"/>
                  <w:u w:val="single"/>
                </w:rPr>
                <w:t>Portfolio Loans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63">
              <w:r>
                <w:rPr>
                  <w:rStyle w:val="InternetLink"/>
                  <w:rFonts w:ascii="Times New Roman;sans-serif" w:hAnsi="Times New Roman;sans-serif"/>
                  <w:b w:val="false"/>
                  <w:color w:val="0000FF"/>
                  <w:sz w:val="20"/>
                  <w:u w:val="single"/>
                </w:rPr>
                <w:t>69</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66">
              <w:r>
                <w:rPr>
                  <w:rStyle w:val="InternetLink"/>
                  <w:rFonts w:ascii="Times New Roman;sans-serif" w:hAnsi="Times New Roman;sans-serif"/>
                  <w:b w:val="false"/>
                  <w:color w:val="0000FF"/>
                  <w:sz w:val="20"/>
                  <w:u w:val="single"/>
                </w:rPr>
                <w:t>Deposits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66">
              <w:r>
                <w:rPr>
                  <w:rStyle w:val="InternetLink"/>
                  <w:rFonts w:ascii="Times New Roman;sans-serif" w:hAnsi="Times New Roman;sans-serif"/>
                  <w:b w:val="false"/>
                  <w:color w:val="0000FF"/>
                  <w:sz w:val="20"/>
                  <w:u w:val="single"/>
                </w:rPr>
                <w:t>74</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69">
              <w:r>
                <w:rPr>
                  <w:rStyle w:val="InternetLink"/>
                  <w:rFonts w:ascii="Times New Roman;sans-serif" w:hAnsi="Times New Roman;sans-serif"/>
                  <w:b w:val="false"/>
                  <w:color w:val="0000FF"/>
                  <w:sz w:val="20"/>
                  <w:u w:val="single"/>
                </w:rPr>
                <w:t>LIQUIDITY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69">
              <w:r>
                <w:rPr>
                  <w:rStyle w:val="InternetLink"/>
                  <w:rFonts w:ascii="Times New Roman;sans-serif" w:hAnsi="Times New Roman;sans-serif"/>
                  <w:b w:val="false"/>
                  <w:color w:val="0000FF"/>
                  <w:sz w:val="20"/>
                  <w:u w:val="single"/>
                </w:rPr>
                <w:t>74</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72">
              <w:r>
                <w:rPr>
                  <w:rStyle w:val="InternetLink"/>
                  <w:rFonts w:ascii="Times New Roman;sans-serif" w:hAnsi="Times New Roman;sans-serif"/>
                  <w:b w:val="false"/>
                  <w:color w:val="0000FF"/>
                  <w:sz w:val="20"/>
                  <w:u w:val="single"/>
                </w:rPr>
                <w:t>OFF-BALANCE SHEET ARRANGEMENTS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72">
              <w:r>
                <w:rPr>
                  <w:rStyle w:val="InternetLink"/>
                  <w:rFonts w:ascii="Times New Roman;sans-serif" w:hAnsi="Times New Roman;sans-serif"/>
                  <w:b w:val="false"/>
                  <w:color w:val="0000FF"/>
                  <w:sz w:val="20"/>
                  <w:u w:val="single"/>
                </w:rPr>
                <w:t>75</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75">
              <w:r>
                <w:rPr>
                  <w:rStyle w:val="InternetLink"/>
                  <w:rFonts w:ascii="Times New Roman;sans-serif" w:hAnsi="Times New Roman;sans-serif"/>
                  <w:b w:val="false"/>
                  <w:color w:val="0000FF"/>
                  <w:sz w:val="20"/>
                  <w:u w:val="single"/>
                </w:rPr>
                <w:t>CAPITAL RESOURCES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75">
              <w:r>
                <w:rPr>
                  <w:rStyle w:val="InternetLink"/>
                  <w:rFonts w:ascii="Times New Roman;sans-serif" w:hAnsi="Times New Roman;sans-serif"/>
                  <w:b w:val="false"/>
                  <w:color w:val="0000FF"/>
                  <w:sz w:val="20"/>
                  <w:u w:val="single"/>
                </w:rPr>
                <w:t>76</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178">
              <w:r>
                <w:rPr>
                  <w:rStyle w:val="InternetLink"/>
                  <w:rFonts w:ascii="Times New Roman;sans-serif" w:hAnsi="Times New Roman;sans-serif"/>
                  <w:b w:val="false"/>
                  <w:color w:val="0000FF"/>
                  <w:sz w:val="20"/>
                  <w:u w:val="single"/>
                </w:rPr>
                <w:t>NON-GAAP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178">
              <w:r>
                <w:rPr>
                  <w:rStyle w:val="InternetLink"/>
                  <w:rFonts w:ascii="Times New Roman;sans-serif" w:hAnsi="Times New Roman;sans-serif"/>
                  <w:b w:val="false"/>
                  <w:color w:val="0000FF"/>
                  <w:sz w:val="20"/>
                  <w:u w:val="single"/>
                </w:rPr>
                <w:t>77</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05">
              <w:r>
                <w:rPr>
                  <w:rStyle w:val="InternetLink"/>
                  <w:rFonts w:ascii="Times New Roman;sans-serif" w:hAnsi="Times New Roman;sans-serif"/>
                  <w:b w:val="false"/>
                  <w:color w:val="0000FF"/>
                  <w:sz w:val="20"/>
                  <w:u w:val="single"/>
                </w:rPr>
                <w:t>FORWARD 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05">
              <w:r>
                <w:rPr>
                  <w:rStyle w:val="InternetLink"/>
                  <w:rFonts w:ascii="Times New Roman;sans-serif" w:hAnsi="Times New Roman;sans-serif"/>
                  <w:b w:val="false"/>
                  <w:color w:val="0000FF"/>
                  <w:sz w:val="20"/>
                  <w:u w:val="single"/>
                </w:rPr>
                <w:t>85</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08">
              <w:r>
                <w:rPr>
                  <w:rStyle w:val="InternetLink"/>
                  <w:rFonts w:ascii="Times New Roman;sans-serif" w:hAnsi="Times New Roman;sans-serif"/>
                  <w:b w:val="false"/>
                  <w:color w:val="0000FF"/>
                  <w:sz w:val="20"/>
                  <w:u w:val="single"/>
                </w:rPr>
                <w:t>CRITICAL ACCOUNTING ESTIMATES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08">
              <w:r>
                <w:rPr>
                  <w:rStyle w:val="InternetLink"/>
                  <w:rFonts w:ascii="Times New Roman;sans-serif" w:hAnsi="Times New Roman;sans-serif"/>
                  <w:b w:val="false"/>
                  <w:color w:val="0000FF"/>
                  <w:sz w:val="20"/>
                  <w:u w:val="single"/>
                </w:rPr>
                <w:t>85</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11">
              <w:r>
                <w:rPr>
                  <w:rStyle w:val="InternetLink"/>
                  <w:rFonts w:ascii="Times New Roman;sans-serif" w:hAnsi="Times New Roman;sans-serif"/>
                  <w:b w:val="false"/>
                  <w:color w:val="0000FF"/>
                  <w:sz w:val="20"/>
                  <w:u w:val="single"/>
                </w:rPr>
                <w:t>Fair Value of Debt Securities Available for Sale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11">
              <w:r>
                <w:rPr>
                  <w:rStyle w:val="InternetLink"/>
                  <w:rFonts w:ascii="Times New Roman;sans-serif" w:hAnsi="Times New Roman;sans-serif"/>
                  <w:b w:val="false"/>
                  <w:color w:val="0000FF"/>
                  <w:sz w:val="20"/>
                  <w:u w:val="single"/>
                </w:rPr>
                <w:t>85</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14">
              <w:r>
                <w:rPr>
                  <w:rStyle w:val="InternetLink"/>
                  <w:rFonts w:ascii="Times New Roman;sans-serif" w:hAnsi="Times New Roman;sans-serif"/>
                  <w:b w:val="false"/>
                  <w:color w:val="0000FF"/>
                  <w:sz w:val="20"/>
                  <w:u w:val="single"/>
                </w:rPr>
                <w:t>Fair Value of Assets Acquired and Liabilities Assumed in Business Combinations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14">
              <w:r>
                <w:rPr>
                  <w:rStyle w:val="InternetLink"/>
                  <w:rFonts w:ascii="Times New Roman;sans-serif" w:hAnsi="Times New Roman;sans-serif"/>
                  <w:b w:val="false"/>
                  <w:color w:val="0000FF"/>
                  <w:sz w:val="20"/>
                  <w:u w:val="single"/>
                </w:rPr>
                <w:t>86</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17">
              <w:r>
                <w:rPr>
                  <w:rStyle w:val="InternetLink"/>
                  <w:rFonts w:ascii="Times New Roman;sans-serif" w:hAnsi="Times New Roman;sans-serif"/>
                  <w:b w:val="false"/>
                  <w:color w:val="0000FF"/>
                  <w:sz w:val="20"/>
                  <w:u w:val="single"/>
                </w:rPr>
                <w:t>Goodwill</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17">
              <w:r>
                <w:rPr>
                  <w:rStyle w:val="InternetLink"/>
                  <w:rFonts w:ascii="Times New Roman;sans-serif" w:hAnsi="Times New Roman;sans-serif"/>
                  <w:b w:val="false"/>
                  <w:color w:val="0000FF"/>
                  <w:sz w:val="20"/>
                  <w:u w:val="single"/>
                </w:rPr>
                <w:t>86</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20">
              <w:r>
                <w:rPr>
                  <w:rStyle w:val="InternetLink"/>
                  <w:rFonts w:ascii="Times New Roman;sans-serif" w:hAnsi="Times New Roman;sans-serif"/>
                  <w:b w:val="false"/>
                  <w:color w:val="0000FF"/>
                  <w:sz w:val="20"/>
                  <w:u w:val="single"/>
                </w:rPr>
                <w:t>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20">
              <w:r>
                <w:rPr>
                  <w:rStyle w:val="InternetLink"/>
                  <w:rFonts w:ascii="Times New Roman;sans-serif" w:hAnsi="Times New Roman;sans-serif"/>
                  <w:b w:val="false"/>
                  <w:color w:val="0000FF"/>
                  <w:sz w:val="20"/>
                  <w:u w:val="single"/>
                </w:rPr>
                <w:t>87</w:t>
              </w:r>
            </w:hyperlink>
          </w:p>
        </w:tc>
      </w:tr>
      <w:tr>
        <w:trPr/>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49a9726bda94af39d169d43c61a0228_223">
              <w:r>
                <w:rPr>
                  <w:rStyle w:val="InternetLink"/>
                  <w:rFonts w:ascii="Times New Roman;sans-serif" w:hAnsi="Times New Roman;sans-serif"/>
                  <w:b w:val="false"/>
                  <w:color w:val="0000FF"/>
                  <w:sz w:val="20"/>
                  <w:u w:val="single"/>
                </w:rPr>
                <w:t>Allowance for Credit Losses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49a9726bda94af39d169d43c61a0228_223">
              <w:r>
                <w:rPr>
                  <w:rStyle w:val="InternetLink"/>
                  <w:rFonts w:ascii="Times New Roman;sans-serif" w:hAnsi="Times New Roman;sans-serif"/>
                  <w:b w:val="false"/>
                  <w:color w:val="0000FF"/>
                  <w:sz w:val="20"/>
                  <w:u w:val="single"/>
                </w:rPr>
                <w:t>87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685"/>
                <wp:effectExtent l="0" t="0" r="0" b="0"/>
                <wp:wrapNone/>
                <wp:docPr id="55"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First Busey Corporation is a $12.2 billion financial holding company headquartered in Champaign, Illinois. Our common stock is traded on The Nasdaq Global Select Market under the symbol “BUSE.”</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three operating segments provide a full range of banking, payment technology solutions, and wealth management services through our subsidiaries, Busey Bank and FirsTech, in Illinois; the St. Louis, Missouri metropolitan area; southwest Florida; and Indianapolis, Indiana.</w:t>
      </w:r>
    </w:p>
    <w:p>
      <w:pPr>
        <w:pStyle w:val="TextBody"/>
        <w:bidi w:val="0"/>
        <w:spacing w:lineRule="auto" w:line="288" w:before="200" w:after="200"/>
        <w:jc w:val="both"/>
        <w:rPr/>
      </w:pPr>
      <w:r>
        <w:rPr>
          <w:rFonts w:ascii="Times New Roman;sans-serif" w:hAnsi="Times New Roman;sans-serif"/>
          <w:b w:val="false"/>
          <w:color w:val="000000"/>
          <w:sz w:val="20"/>
        </w:rPr>
        <w:t xml:space="preserve">The following discussion and analysis are intended to assist readers in understanding Busey’s financial condition and results of operations during the three and six months ended June 30, 2023, and should be read in conjunction with our </w:t>
      </w:r>
      <w:hyperlink w:anchor="i849a9726bda94af39d169d43c61a0228_16">
        <w:r>
          <w:rPr>
            <w:rStyle w:val="InternetLink"/>
            <w:rFonts w:ascii="Times New Roman;sans-serif" w:hAnsi="Times New Roman;sans-serif"/>
            <w:b w:val="false"/>
            <w:color w:val="0000FF"/>
            <w:sz w:val="20"/>
            <w:u w:val="single"/>
          </w:rPr>
          <w:t>Consolidated Financial Statements (unaudited)</w:t>
        </w:r>
      </w:hyperlink>
      <w:r>
        <w:rPr>
          <w:color w:val="000000"/>
        </w:rPr>
        <w:t xml:space="preserve"> </w:t>
      </w:r>
      <w:r>
        <w:rPr>
          <w:rFonts w:ascii="Times New Roman;sans-serif" w:hAnsi="Times New Roman;sans-serif"/>
          <w:b w:val="false"/>
          <w:color w:val="000000"/>
          <w:sz w:val="20"/>
        </w:rPr>
        <w:t xml:space="preserve">and the related </w:t>
      </w:r>
      <w:hyperlink w:anchor="i849a9726bda94af39d169d43c61a0228_19">
        <w:r>
          <w:rPr>
            <w:rStyle w:val="InternetLink"/>
            <w:rFonts w:ascii="Times New Roman;sans-serif" w:hAnsi="Times New Roman;sans-serif"/>
            <w:b w:val="false"/>
            <w:color w:val="0000FF"/>
            <w:sz w:val="20"/>
            <w:u w:val="single"/>
          </w:rPr>
          <w:t>Notes to the Consolidated Financial Statements (unaudited)</w:t>
        </w:r>
      </w:hyperlink>
      <w:r>
        <w:rPr>
          <w:color w:val="000000"/>
        </w:rPr>
        <w:t xml:space="preserve"> </w:t>
      </w:r>
      <w:r>
        <w:rPr>
          <w:rFonts w:ascii="Times New Roman;sans-serif" w:hAnsi="Times New Roman;sans-serif"/>
          <w:b w:val="false"/>
          <w:color w:val="000000"/>
          <w:sz w:val="20"/>
        </w:rPr>
        <w:t xml:space="preserve">included in this Quarterly Report, as well as </w:t>
      </w:r>
      <w:hyperlink r:id="rId17">
        <w:r>
          <w:rPr>
            <w:rStyle w:val="InternetLink"/>
          </w:rPr>
          <w:t xml:space="preserve">our </w:t>
        </w:r>
      </w:hyperlink>
      <w:hyperlink r:id="rId18">
        <w:r>
          <w:rPr>
            <w:rStyle w:val="InternetLink"/>
          </w:rPr>
          <w:t>2022</w:t>
        </w:r>
      </w:hyperlink>
      <w:hyperlink r:id="rId19">
        <w:r>
          <w:rPr>
            <w:rStyle w:val="InternetLink"/>
          </w:rPr>
          <w:t xml:space="preserve"> Annual Report</w:t>
        </w:r>
      </w:hyperlink>
      <w:r>
        <w:rPr>
          <w:rFonts w:ascii="Times New Roman;sans-serif" w:hAnsi="Times New Roman;sans-serif"/>
          <w:b w:val="false"/>
          <w:color w:val="000000"/>
          <w:sz w:val="20"/>
        </w:rPr>
        <w:t>.</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Busey’s Conservative Banking Strategy</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Busey’s financial strength is built on a sound business strategy of conservative banking, and that focus will not change now or in the future.</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quality of our core deposit franchise is a critical value driver of our institution. Despite recent turmoil experienced in certain sectors of the banking industry, we have seen relative stability in our deposit franchise. We have sufficient on- and off-balance sheet liquidity to manage deposit fluctuations and the liquidity needs of our customers. Our credit performance reflects our highly diversified, conservatively underwritten loan portfolio, which has been originated predominantly to established customers with tenured relationships with our Company. Asset quality remains strong by both historical and current industry trends.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685"/>
                <wp:effectExtent l="0" t="0" r="0" b="0"/>
                <wp:wrapNone/>
                <wp:docPr id="56"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Operating Performance</w:t>
      </w:r>
    </w:p>
    <w:p>
      <w:pPr>
        <w:pStyle w:val="TextBody"/>
        <w:bidi w:val="0"/>
        <w:spacing w:lineRule="auto" w:line="288" w:before="200" w:after="200"/>
        <w:jc w:val="both"/>
        <w:rPr/>
      </w:pPr>
      <w:r>
        <w:rPr>
          <w:rFonts w:ascii="Times New Roman;sans-serif" w:hAnsi="Times New Roman;sans-serif"/>
          <w:b w:val="false"/>
          <w:color w:val="000000"/>
          <w:sz w:val="20"/>
        </w:rPr>
        <w:t xml:space="preserve">Operating performance metrics presented in the table below have been derived from information used by management to monitor and manage Busey’s financial performance </w:t>
      </w:r>
      <w:r>
        <w:rPr>
          <w:rFonts w:ascii="Times New Roman;sans-serif" w:hAnsi="Times New Roman;sans-serif"/>
          <w:b w:val="false"/>
          <w:i/>
          <w:color w:val="000000"/>
          <w:sz w:val="20"/>
        </w:rPr>
        <w:t>(dollars in thousands, except per share amounts)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43"/>
        <w:gridCol w:w="302"/>
        <w:gridCol w:w="303"/>
        <w:gridCol w:w="1190"/>
        <w:gridCol w:w="1110"/>
        <w:gridCol w:w="1115"/>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20"/>
      </w:tblGrid>
      <w:tr>
        <w:trPr/>
        <w:tc>
          <w:tcPr>
            <w:tcW w:w="34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w:t>
            </w:r>
          </w:p>
        </w:tc>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58,263 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w:t>
            </w:r>
          </w:p>
        </w:tc>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income</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w:t>
            </w:r>
          </w:p>
        </w:tc>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w:t>
            </w:r>
          </w:p>
        </w:tc>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Diluted earnings per common share</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w:t>
            </w:r>
          </w:p>
        </w:tc>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Return on average assets</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w:t>
            </w:r>
          </w:p>
        </w:tc>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Return on average assets</w:t>
            </w:r>
            <w:r>
              <w:rPr>
                <w:rFonts w:ascii="Times New Roman;sans-serif" w:hAnsi="Times New Roman;sans-serif"/>
                <w:b w:val="false"/>
                <w:color w:val="000000"/>
                <w:sz w:val="13"/>
              </w:rPr>
              <w:t>1, 2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w:t>
            </w:r>
          </w:p>
        </w:tc>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Return on average tangible common equity</w:t>
            </w:r>
            <w:r>
              <w:rPr>
                <w:rFonts w:ascii="Times New Roman;sans-serif" w:hAnsi="Times New Roman;sans-serif"/>
                <w:b w:val="false"/>
                <w:color w:val="000000"/>
                <w:sz w:val="13"/>
              </w:rPr>
              <w:t>1, 2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w:t>
            </w:r>
          </w:p>
        </w:tc>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Return on average tangible common equity</w:t>
            </w:r>
            <w:r>
              <w:rPr>
                <w:rFonts w:ascii="Times New Roman;sans-serif" w:hAnsi="Times New Roman;sans-serif"/>
                <w:b w:val="false"/>
                <w:color w:val="000000"/>
                <w:sz w:val="13"/>
              </w:rPr>
              <w:t>1, 2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w:t>
            </w:r>
          </w:p>
        </w:tc>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Pre-provision net revenue</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w:t>
            </w:r>
          </w:p>
        </w:tc>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Pre-provision net revenue</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Reported:</w:t>
            </w:r>
          </w:p>
        </w:tc>
        <w:tc>
          <w:tcPr>
            <w:tcW w:w="3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Pre-provision net revenue to average assets</w:t>
            </w:r>
            <w:r>
              <w:rPr>
                <w:rFonts w:ascii="Times New Roman;sans-serif" w:hAnsi="Times New Roman;sans-serif"/>
                <w:b w:val="false"/>
                <w:color w:val="000000"/>
                <w:sz w:val="13"/>
              </w:rPr>
              <w:t>1, 2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w:t>
            </w:r>
          </w:p>
        </w:tc>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Pre-provision net revenue to average assets</w:t>
            </w:r>
            <w:r>
              <w:rPr>
                <w:rFonts w:ascii="Times New Roman;sans-serif" w:hAnsi="Times New Roman;sans-serif"/>
                <w:b w:val="false"/>
                <w:color w:val="000000"/>
                <w:sz w:val="13"/>
              </w:rPr>
              <w:t>1, 2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216"/>
        <w:jc w:val="both"/>
        <w:rPr/>
      </w:pPr>
      <w:r>
        <w:rPr>
          <w:rFonts w:ascii="Times New Roman;sans-serif" w:hAnsi="Times New Roman;sans-serif"/>
          <w:b w:val="false"/>
          <w:color w:val="000000"/>
          <w:sz w:val="16"/>
        </w:rPr>
        <w:t xml:space="preserve">1.A non-GAAP financial measure. For a reconciliation of non-GAAP measures to the most directly comparable GAAP financial measures, see </w:t>
      </w:r>
      <w:hyperlink w:anchor="i849a9726bda94af39d169d43c61a0228_178">
        <w:r>
          <w:rPr>
            <w:rStyle w:val="InternetLink"/>
            <w:color w:val="0000FF"/>
            <w:u w:val="single"/>
          </w:rPr>
          <w:t>“</w:t>
        </w:r>
      </w:hyperlink>
      <w:hyperlink w:anchor="i849a9726bda94af39d169d43c61a0228_178">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2.Annualized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Non-Operating Expenses and Non-GAAP Measures</w:t>
      </w:r>
    </w:p>
    <w:p>
      <w:pPr>
        <w:pStyle w:val="TextBody"/>
        <w:bidi w:val="0"/>
        <w:spacing w:lineRule="auto" w:line="288" w:before="200" w:after="200"/>
        <w:jc w:val="both"/>
        <w:rPr/>
      </w:pPr>
      <w:r>
        <w:rPr>
          <w:rFonts w:ascii="Times New Roman;sans-serif" w:hAnsi="Times New Roman;sans-serif"/>
          <w:b w:val="false"/>
          <w:color w:val="000000"/>
          <w:sz w:val="20"/>
        </w:rPr>
        <w:t xml:space="preserve">Busey views certain non-operating items, including acquisition-related and restructuring charges, as adjustments to net income reported under GAAP. Non-operating pretax adjustments were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231" w:type="dxa"/>
        <w:jc w:val="left"/>
        <w:tblInd w:w="0" w:type="dxa"/>
        <w:tblLayout w:type="fixed"/>
        <w:tblCellMar>
          <w:top w:w="28" w:type="dxa"/>
          <w:left w:w="28" w:type="dxa"/>
          <w:bottom w:w="28" w:type="dxa"/>
          <w:right w:w="28" w:type="dxa"/>
        </w:tblCellMar>
      </w:tblPr>
      <w:tblGrid>
        <w:gridCol w:w="917"/>
        <w:gridCol w:w="807"/>
        <w:gridCol w:w="810"/>
        <w:gridCol w:w="266"/>
        <w:gridCol w:w="455"/>
        <w:gridCol w:w="137"/>
        <w:gridCol w:w="137"/>
        <w:gridCol w:w="137"/>
        <w:gridCol w:w="137"/>
        <w:gridCol w:w="266"/>
        <w:gridCol w:w="588"/>
        <w:gridCol w:w="137"/>
        <w:gridCol w:w="109"/>
        <w:gridCol w:w="109"/>
        <w:gridCol w:w="109"/>
        <w:gridCol w:w="224"/>
        <w:gridCol w:w="384"/>
        <w:gridCol w:w="115"/>
        <w:gridCol w:w="115"/>
        <w:gridCol w:w="115"/>
        <w:gridCol w:w="115"/>
        <w:gridCol w:w="224"/>
        <w:gridCol w:w="655"/>
        <w:gridCol w:w="163"/>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Non-operating costs</w:t>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Acquisition related expenses</w:t>
            </w:r>
            <w:r>
              <w:rPr>
                <w:rFonts w:ascii="Times New Roman;sans-serif" w:hAnsi="Times New Roman;sans-serif"/>
                <w:b w:val="false"/>
                <w:color w:val="000000"/>
                <w:sz w:val="13"/>
              </w:rPr>
              <w:t>1</w:t>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charges</w:t>
            </w:r>
            <w:r>
              <w:rPr>
                <w:rFonts w:ascii="Times New Roman;sans-serif" w:hAnsi="Times New Roman;sans-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costs</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1.Acquisition expenses related to completed acquisitions and exploratory due diligence.</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2.Restructuring charges related to previously disclosed restructuring and efficiency plans.</w:t>
      </w:r>
    </w:p>
    <w:p>
      <w:pPr>
        <w:pStyle w:val="TextBody"/>
        <w:bidi w:val="0"/>
        <w:spacing w:lineRule="auto" w:line="288" w:before="200" w:after="200"/>
        <w:jc w:val="both"/>
        <w:rPr/>
      </w:pPr>
      <w:r>
        <w:rPr>
          <w:rFonts w:ascii="Times New Roman;sans-serif" w:hAnsi="Times New Roman;sans-serif"/>
          <w:b w:val="false"/>
          <w:color w:val="000000"/>
          <w:sz w:val="20"/>
        </w:rPr>
        <w:t xml:space="preserve">A reconciliation of non-GAAP measures, which Busey believes facilitates the assessment of its financial results and peer comparability, is included in tabular form in this Quarterly Report. See </w:t>
      </w:r>
      <w:hyperlink w:anchor="i849a9726bda94af39d169d43c61a0228_178">
        <w:r>
          <w:rPr>
            <w:rStyle w:val="InternetLink"/>
            <w:color w:val="0000FF"/>
            <w:u w:val="single"/>
          </w:rPr>
          <w:t>“</w:t>
        </w:r>
      </w:hyperlink>
      <w:hyperlink w:anchor="i849a9726bda94af39d169d43c61a0228_178">
        <w:r>
          <w:rPr>
            <w:rStyle w:val="InternetLink"/>
            <w:rFonts w:ascii="Times New Roman;sans-serif" w:hAnsi="Times New Roman;sans-serif"/>
            <w:b w:val="false"/>
            <w:i/>
            <w:color w:val="0000FF"/>
            <w:sz w:val="20"/>
            <w:u w:val="single"/>
          </w:rPr>
          <w:t>Item 2. Management’s Discussion and Analysis—Non-GAAP Financial Information.”</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73685"/>
                <wp:effectExtent l="0" t="0" r="0" b="0"/>
                <wp:wrapNone/>
                <wp:docPr id="57"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Banking Center Markets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Bank serves the Illinois banking market with 46 banking centers.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Ten of our banking centers in Illinois are located within the Chicago Metropolitan Statistical Area, and 12 of our banking centers in Illinois are located within the St. Louis Metropolitan Statistical Area.</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Bank has eight banking centers in Missouri. St. Louis, Missouri has a diverse economy with major employment sectors including health care, financial services, professional and business services, and retail. We have a total of 20 banking centers within the boundaries of the St. Louis Metropolitan Statistical Area, including branches in both Illinois and Missouri.</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Bank has three banking centers in southwest Florida, an area which has experienced strong population growth, job growth, and an expanded housing market, as well as the benefits of a tourism and winter resort economy.</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Bank has one banking center in the Indianapolis, Indiana area, which is the most populous city of Indiana with a diverse economy, due in part to it serving as the headquarters of many large corporations.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Net Interest Income</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with tax favorable treatment are evaluated on a tax-equivalent basis, assuming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73685"/>
                <wp:effectExtent l="0" t="0" r="0" b="0"/>
                <wp:wrapNone/>
                <wp:docPr id="58"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Average Balance Sheets and Interest Rates (Unaudited)</w:t>
      </w:r>
    </w:p>
    <w:p>
      <w:pPr>
        <w:pStyle w:val="TextBody"/>
        <w:bidi w:val="0"/>
        <w:spacing w:lineRule="auto" w:line="288" w:before="200" w:after="200"/>
        <w:jc w:val="both"/>
        <w:rPr/>
      </w:pPr>
      <w:r>
        <w:rPr>
          <w:rFonts w:ascii="Times New Roman;sans-serif" w:hAnsi="Times New Roman;sans-serif"/>
          <w:b w:val="false"/>
          <w:color w:val="000000"/>
          <w:sz w:val="20"/>
        </w:rPr>
        <w:t>The following tables show our unaudited Consolidated Average Balance Sheets</w:t>
      </w:r>
      <w:r>
        <w:rPr>
          <w:color w:val="000000"/>
        </w:rPr>
        <w:t xml:space="preserv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 and details the major categories of assets and liabilities, the interest income earned on interest-earning assets, the interest expense paid for interest-bearing liabilities, and the related interest yields for the periods shown. Average information is provided on a daily average basis.</w:t>
      </w:r>
    </w:p>
    <w:tbl>
      <w:tblPr>
        <w:tblW w:w="10205" w:type="dxa"/>
        <w:jc w:val="left"/>
        <w:tblInd w:w="0" w:type="dxa"/>
        <w:tblLayout w:type="fixed"/>
        <w:tblCellMar>
          <w:top w:w="28" w:type="dxa"/>
          <w:left w:w="28" w:type="dxa"/>
          <w:bottom w:w="28" w:type="dxa"/>
          <w:right w:w="28" w:type="dxa"/>
        </w:tblCellMar>
      </w:tblPr>
      <w:tblGrid>
        <w:gridCol w:w="1018"/>
        <w:gridCol w:w="749"/>
        <w:gridCol w:w="755"/>
        <w:gridCol w:w="196"/>
        <w:gridCol w:w="961"/>
        <w:gridCol w:w="109"/>
        <w:gridCol w:w="109"/>
        <w:gridCol w:w="109"/>
        <w:gridCol w:w="109"/>
        <w:gridCol w:w="196"/>
        <w:gridCol w:w="736"/>
        <w:gridCol w:w="109"/>
        <w:gridCol w:w="109"/>
        <w:gridCol w:w="109"/>
        <w:gridCol w:w="109"/>
        <w:gridCol w:w="233"/>
        <w:gridCol w:w="233"/>
        <w:gridCol w:w="271"/>
        <w:gridCol w:w="109"/>
        <w:gridCol w:w="109"/>
        <w:gridCol w:w="109"/>
        <w:gridCol w:w="196"/>
        <w:gridCol w:w="961"/>
        <w:gridCol w:w="109"/>
        <w:gridCol w:w="109"/>
        <w:gridCol w:w="109"/>
        <w:gridCol w:w="109"/>
        <w:gridCol w:w="196"/>
        <w:gridCol w:w="646"/>
        <w:gridCol w:w="109"/>
        <w:gridCol w:w="109"/>
        <w:gridCol w:w="109"/>
        <w:gridCol w:w="109"/>
        <w:gridCol w:w="233"/>
        <w:gridCol w:w="233"/>
        <w:gridCol w:w="321"/>
      </w:tblGrid>
      <w:tr>
        <w:trPr/>
        <w:tc>
          <w:tcPr>
            <w:tcW w:w="101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Yield/</w:t>
            </w:r>
          </w:p>
          <w:p>
            <w:pPr>
              <w:pStyle w:val="TableContents"/>
              <w:bidi w:val="0"/>
              <w:spacing w:lineRule="auto" w:line="288" w:before="0" w:after="0"/>
              <w:jc w:val="center"/>
              <w:rPr/>
            </w:pPr>
            <w:r>
              <w:rPr>
                <w:rFonts w:ascii="Times New Roman;sans-serif" w:hAnsi="Times New Roman;sans-serif"/>
                <w:b/>
                <w:color w:val="000000"/>
                <w:sz w:val="16"/>
              </w:rPr>
              <w:t>Rate</w:t>
            </w:r>
            <w:r>
              <w:rPr>
                <w:rFonts w:ascii="Times New Roman;sans-serif" w:hAnsi="Times New Roman;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Yield/</w:t>
            </w:r>
          </w:p>
          <w:p>
            <w:pPr>
              <w:pStyle w:val="TableContents"/>
              <w:bidi w:val="0"/>
              <w:spacing w:lineRule="auto" w:line="288" w:before="0" w:after="0"/>
              <w:jc w:val="center"/>
              <w:rPr/>
            </w:pPr>
            <w:r>
              <w:rPr>
                <w:rFonts w:ascii="Times New Roman;sans-serif" w:hAnsi="Times New Roman;sans-serif"/>
                <w:b/>
                <w:color w:val="000000"/>
                <w:sz w:val="16"/>
              </w:rPr>
              <w:t>Rate</w:t>
            </w:r>
            <w:r>
              <w:rPr>
                <w:rFonts w:ascii="Times New Roman;sans-serif" w:hAnsi="Times New Roman;sans-serif"/>
                <w:b/>
                <w:color w:val="000000"/>
                <w:sz w:val="10"/>
              </w:rPr>
              <w:t>5</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bank deposits and federal funds sold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0.62 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obligations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0.60 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Obligations of states and political subdivisions</w:t>
            </w:r>
            <w:r>
              <w:rPr>
                <w:rFonts w:ascii="Times New Roman;sans-serif" w:hAnsi="Times New Roman;sans-serif"/>
                <w:b w:val="false"/>
                <w:color w:val="000000"/>
                <w:sz w:val="10"/>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securities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Portfolio loans</w:t>
            </w:r>
            <w:r>
              <w:rPr>
                <w:rFonts w:ascii="Times New Roman;sans-serif" w:hAnsi="Times New Roman;sans-serif"/>
                <w:b w:val="false"/>
                <w:color w:val="000000"/>
                <w:sz w:val="10"/>
              </w:rPr>
              <w:t>1, 2</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7,378,969 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Total interest-earning assets</w:t>
            </w:r>
            <w:r>
              <w:rPr>
                <w:rFonts w:ascii="Times New Roman;sans-serif" w:hAnsi="Times New Roman;sans-serif"/>
                <w:b w:val="false"/>
                <w:color w:val="000000"/>
                <w:sz w:val="10"/>
              </w:rPr>
              <w:t>1, 3</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11,130,298 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11,453,198 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12,209,865 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12,452,070 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transaction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Savings and money market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2,802,675 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3,459,414 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 funds purchased and repurchase agreements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Borrowings</w:t>
            </w:r>
            <w:r>
              <w:rPr>
                <w:rFonts w:ascii="Times New Roman;sans-serif" w:hAnsi="Times New Roman;sans-serif"/>
                <w:b w:val="false"/>
                <w:color w:val="000000"/>
                <w:sz w:val="10"/>
              </w:rPr>
              <w:t>4</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Junior subordinated debt issued to unconsolidated trusts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interest-bearing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7,762,628 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7,574,677 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Net interest spread</w:t>
            </w:r>
            <w:r>
              <w:rPr>
                <w:rFonts w:ascii="Times New Roman;sans-serif" w:hAnsi="Times New Roman;sans-serif"/>
                <w:b w:val="false"/>
                <w:color w:val="000000"/>
                <w:sz w:val="10"/>
              </w:rPr>
              <w:t>1</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Noninterest-bearing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12,209,865 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12,452,070 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Interest income / earning assets</w:t>
            </w:r>
            <w:r>
              <w:rPr>
                <w:rFonts w:ascii="Times New Roman;sans-serif" w:hAnsi="Times New Roman;sans-serif"/>
                <w:b w:val="false"/>
                <w:color w:val="000000"/>
                <w:sz w:val="10"/>
              </w:rPr>
              <w:t>1, 3</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2.91 </w:t>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 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11,130,298 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0.23 </w:t>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Net interest margin</w:t>
            </w:r>
            <w:r>
              <w:rPr>
                <w:rFonts w:ascii="Times New Roman;sans-serif" w:hAnsi="Times New Roman;sans-serif"/>
                <w:b w:val="false"/>
                <w:color w:val="000000"/>
                <w:sz w:val="10"/>
              </w:rPr>
              <w:t>1</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3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216"/>
        <w:jc w:val="both"/>
        <w:rPr/>
      </w:pPr>
      <w:r>
        <w:rPr>
          <w:rFonts w:ascii="Times New Roman;sans-serif" w:hAnsi="Times New Roman;sans-serif"/>
          <w:b w:val="false"/>
          <w:color w:val="000000"/>
          <w:sz w:val="16"/>
        </w:rPr>
        <w:t xml:space="preserve">1.On a tax-equivalent basis and assuming a federal income tax rate of 21.0%. For a reconciliation of non-GAAP measures to the most directly comparable GAAP financial measures, see </w:t>
      </w:r>
      <w:hyperlink w:anchor="i849a9726bda94af39d169d43c61a0228_178">
        <w:r>
          <w:rPr>
            <w:rStyle w:val="InternetLink"/>
            <w:color w:val="0000FF"/>
            <w:u w:val="single"/>
          </w:rPr>
          <w:t>“</w:t>
        </w:r>
      </w:hyperlink>
      <w:hyperlink w:anchor="i849a9726bda94af39d169d43c61a0228_178">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2.Non-accrual loans have been included in average portfolio loans.</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3.Interest income includes a tax-equivalent adjustment of $0.6 million and $0.5 million for the three months ended June 30, 2023, and 2022, respectively.</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4.Includes short-term and long-term borrowings. Interest expense includes a non-usage fee on a revolving loan.</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5.Annualized.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73685"/>
                <wp:effectExtent l="0" t="0" r="0" b="0"/>
                <wp:wrapNone/>
                <wp:docPr id="59"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88"/>
        <w:gridCol w:w="713"/>
        <w:gridCol w:w="718"/>
        <w:gridCol w:w="196"/>
        <w:gridCol w:w="961"/>
        <w:gridCol w:w="109"/>
        <w:gridCol w:w="109"/>
        <w:gridCol w:w="109"/>
        <w:gridCol w:w="109"/>
        <w:gridCol w:w="196"/>
        <w:gridCol w:w="736"/>
        <w:gridCol w:w="109"/>
        <w:gridCol w:w="109"/>
        <w:gridCol w:w="109"/>
        <w:gridCol w:w="109"/>
        <w:gridCol w:w="233"/>
        <w:gridCol w:w="233"/>
        <w:gridCol w:w="278"/>
        <w:gridCol w:w="109"/>
        <w:gridCol w:w="109"/>
        <w:gridCol w:w="109"/>
        <w:gridCol w:w="196"/>
        <w:gridCol w:w="961"/>
        <w:gridCol w:w="109"/>
        <w:gridCol w:w="109"/>
        <w:gridCol w:w="109"/>
        <w:gridCol w:w="109"/>
        <w:gridCol w:w="196"/>
        <w:gridCol w:w="736"/>
        <w:gridCol w:w="109"/>
        <w:gridCol w:w="109"/>
        <w:gridCol w:w="109"/>
        <w:gridCol w:w="109"/>
        <w:gridCol w:w="233"/>
        <w:gridCol w:w="233"/>
        <w:gridCol w:w="327"/>
      </w:tblGrid>
      <w:tr>
        <w:trPr/>
        <w:tc>
          <w:tcPr>
            <w:tcW w:w="98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2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Yield/</w:t>
              <w:br/>
              <w:t>Rate</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bank deposits and federal funds sold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0.32 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obligations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0.66 </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0.60 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Obligations of states and political subdivisions</w:t>
            </w:r>
            <w:r>
              <w:rPr>
                <w:rFonts w:ascii="Times New Roman;sans-serif" w:hAnsi="Times New Roman;sans-serif"/>
                <w:b w:val="false"/>
                <w:color w:val="000000"/>
                <w:sz w:val="10"/>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securities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held for sale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5.53 </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Portfolio loans</w:t>
            </w:r>
            <w:r>
              <w:rPr>
                <w:rFonts w:ascii="Times New Roman;sans-serif" w:hAnsi="Times New Roman;sans-serif"/>
                <w:b w:val="false"/>
                <w:color w:val="000000"/>
                <w:sz w:val="10"/>
              </w:rPr>
              <w:t>1, 2</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7,733,370 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4.83 </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Total interest-earning assets</w:t>
            </w:r>
            <w:r>
              <w:rPr>
                <w:rFonts w:ascii="Times New Roman;sans-serif" w:hAnsi="Times New Roman;sans-serif"/>
                <w:b w:val="false"/>
                <w:color w:val="000000"/>
                <w:sz w:val="10"/>
              </w:rPr>
              <w:t>1, 3</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11,155,291 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11,577,879 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12,236,643 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12,555,928 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transaction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2,708,973 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1.23 </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0.07 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Savings and money market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2,856,635 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0.82 </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0.07 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Time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0.49 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 funds purchased and repurchase agreements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0.16 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Borrowings</w:t>
            </w:r>
            <w:r>
              <w:rPr>
                <w:rFonts w:ascii="Times New Roman;sans-serif" w:hAnsi="Times New Roman;sans-serif"/>
                <w:b w:val="false"/>
                <w:color w:val="000000"/>
                <w:sz w:val="10"/>
              </w:rPr>
              <w:t>4</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5.21 </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Junior subordinated debt issued to unconsolidated trusts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5.21 </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interest-bearing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7,689,187 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7,614,448 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Net interest spread</w:t>
            </w:r>
            <w:r>
              <w:rPr>
                <w:rFonts w:ascii="Times New Roman;sans-serif" w:hAnsi="Times New Roman;sans-serif"/>
                <w:b w:val="false"/>
                <w:color w:val="000000"/>
                <w:sz w:val="10"/>
              </w:rPr>
              <w:t>1</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2.48 </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Noninterest-bearing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1,239,060 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12,236,643 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12,555,928 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Interest income / earning assets</w:t>
            </w:r>
            <w:r>
              <w:rPr>
                <w:rFonts w:ascii="Times New Roman;sans-serif" w:hAnsi="Times New Roman;sans-serif"/>
                <w:b w:val="false"/>
                <w:color w:val="000000"/>
                <w:sz w:val="10"/>
              </w:rPr>
              <w:t>1, 3</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11,155,291 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4.14 </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11,577,879 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 earning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0.22 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4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6"/>
              </w:rPr>
              <w:t>Net interest margin</w:t>
            </w:r>
            <w:r>
              <w:rPr>
                <w:rFonts w:ascii="Times New Roman;sans-serif" w:hAnsi="Times New Roman;sans-serif"/>
                <w:b w:val="false"/>
                <w:color w:val="000000"/>
                <w:sz w:val="10"/>
              </w:rPr>
              <w:t>1</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2.56 </w:t>
            </w:r>
          </w:p>
        </w:tc>
        <w:tc>
          <w:tcPr>
            <w:tcW w:w="3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216"/>
        <w:jc w:val="both"/>
        <w:rPr/>
      </w:pPr>
      <w:r>
        <w:rPr>
          <w:rFonts w:ascii="Times New Roman;sans-serif" w:hAnsi="Times New Roman;sans-serif"/>
          <w:b w:val="false"/>
          <w:color w:val="000000"/>
          <w:sz w:val="16"/>
        </w:rPr>
        <w:t xml:space="preserve">1.On a tax-equivalent basis and assuming a federal income tax rate of 21.0%. For a reconciliation of non-GAAP measures to the most directly comparable GAAP financial measures, see </w:t>
      </w:r>
      <w:hyperlink w:anchor="i849a9726bda94af39d169d43c61a0228_178">
        <w:r>
          <w:rPr>
            <w:rStyle w:val="InternetLink"/>
            <w:color w:val="0000FF"/>
            <w:u w:val="single"/>
          </w:rPr>
          <w:t>“</w:t>
        </w:r>
      </w:hyperlink>
      <w:hyperlink w:anchor="i849a9726bda94af39d169d43c61a0228_178">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2.Non-accrual loans have been included in average portfolio loans.</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3.Interest income includes a tax-equivalent adjustment of $1.1 million for the six months ended June 30, 2023, and 2022.</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4.Includes short-term and long-term borrowings. Interest expense includes a non-usage fee on a revolving loan.</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5.Annualized.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73685"/>
                <wp:effectExtent l="0" t="0" r="0" b="0"/>
                <wp:wrapNone/>
                <wp:docPr id="60"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pPr>
      <w:r>
        <w:rPr>
          <w:rFonts w:ascii="Times New Roman;sans-serif" w:hAnsi="Times New Roman;sans-serif"/>
          <w:b w:val="false"/>
          <w:color w:val="000000"/>
          <w:sz w:val="20"/>
        </w:rPr>
        <w:t xml:space="preserve">Notable changes in average assets and average liabilities are summarized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487"/>
        <w:gridCol w:w="1159"/>
        <w:gridCol w:w="1164"/>
        <w:gridCol w:w="211"/>
        <w:gridCol w:w="1081"/>
        <w:gridCol w:w="271"/>
        <w:gridCol w:w="109"/>
        <w:gridCol w:w="109"/>
        <w:gridCol w:w="109"/>
        <w:gridCol w:w="211"/>
        <w:gridCol w:w="1081"/>
        <w:gridCol w:w="271"/>
        <w:gridCol w:w="109"/>
        <w:gridCol w:w="109"/>
        <w:gridCol w:w="109"/>
        <w:gridCol w:w="211"/>
        <w:gridCol w:w="869"/>
        <w:gridCol w:w="109"/>
        <w:gridCol w:w="109"/>
        <w:gridCol w:w="109"/>
        <w:gridCol w:w="109"/>
        <w:gridCol w:w="275"/>
        <w:gridCol w:w="278"/>
        <w:gridCol w:w="546"/>
      </w:tblGrid>
      <w:tr>
        <w:trPr/>
        <w:tc>
          <w:tcPr>
            <w:tcW w:w="148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interest-earning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11,130,298 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11,453,198 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interest-bearing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7,762,628 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noninterest-bearing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3,054,483 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3,535,110 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9,852,071 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10,506,193 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11,001,930 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11,255,018 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noninterest-bearing deposits as a percent of total average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deposits as a percent of total average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87"/>
        <w:gridCol w:w="1159"/>
        <w:gridCol w:w="1164"/>
        <w:gridCol w:w="211"/>
        <w:gridCol w:w="1081"/>
        <w:gridCol w:w="271"/>
        <w:gridCol w:w="109"/>
        <w:gridCol w:w="109"/>
        <w:gridCol w:w="109"/>
        <w:gridCol w:w="211"/>
        <w:gridCol w:w="1081"/>
        <w:gridCol w:w="271"/>
        <w:gridCol w:w="109"/>
        <w:gridCol w:w="109"/>
        <w:gridCol w:w="109"/>
        <w:gridCol w:w="211"/>
        <w:gridCol w:w="869"/>
        <w:gridCol w:w="109"/>
        <w:gridCol w:w="109"/>
        <w:gridCol w:w="109"/>
        <w:gridCol w:w="109"/>
        <w:gridCol w:w="275"/>
        <w:gridCol w:w="278"/>
        <w:gridCol w:w="546"/>
      </w:tblGrid>
      <w:tr>
        <w:trPr/>
        <w:tc>
          <w:tcPr>
            <w:tcW w:w="148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interest-earning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11,155,291 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11,577,879 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interest-bearing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7,614,448 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noninterest-bearing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3,163,011 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3,562,380 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deposits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9,880,950 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10,561,509 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11,047,164 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11,316,868 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noninterest-bearing deposits as a percent of total average deposits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deposits as a percent of total average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73685"/>
                <wp:effectExtent l="0" t="0" r="0" b="0"/>
                <wp:wrapNone/>
                <wp:docPr id="61"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pPr>
      <w:r>
        <w:rPr>
          <w:rFonts w:ascii="Times New Roman;sans-serif" w:hAnsi="Times New Roman;sans-serif"/>
          <w:b w:val="false"/>
          <w:color w:val="000000"/>
          <w:sz w:val="20"/>
        </w:rPr>
        <w:t xml:space="preserve">Changes in net interest income and net interest margin are summarized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651" w:type="dxa"/>
        <w:jc w:val="left"/>
        <w:tblInd w:w="0" w:type="dxa"/>
        <w:tblLayout w:type="fixed"/>
        <w:tblCellMar>
          <w:top w:w="28" w:type="dxa"/>
          <w:left w:w="28" w:type="dxa"/>
          <w:bottom w:w="28" w:type="dxa"/>
          <w:right w:w="28" w:type="dxa"/>
        </w:tblCellMar>
      </w:tblPr>
      <w:tblGrid>
        <w:gridCol w:w="1406"/>
        <w:gridCol w:w="1237"/>
        <w:gridCol w:w="1241"/>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343"/>
        <w:gridCol w:w="347"/>
        <w:gridCol w:w="544"/>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Interest income, on a tax-equivalent basis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interest income, on a tax-equivalent basis</w:t>
            </w:r>
            <w:r>
              <w:rPr>
                <w:rFonts w:ascii="Times New Roman;sans-serif" w:hAnsi="Times New Roman;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interest margin</w:t>
            </w:r>
            <w:r>
              <w:rPr>
                <w:rFonts w:ascii="Times New Roman;sans-serif" w:hAnsi="Times New Roman;sans-serif"/>
                <w:b w:val="false"/>
                <w:color w:val="000000"/>
                <w:sz w:val="13"/>
              </w:rPr>
              <w:t>1, 2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756" w:type="dxa"/>
        <w:jc w:val="left"/>
        <w:tblInd w:w="0" w:type="dxa"/>
        <w:tblLayout w:type="fixed"/>
        <w:tblCellMar>
          <w:top w:w="28" w:type="dxa"/>
          <w:left w:w="28" w:type="dxa"/>
          <w:bottom w:w="28" w:type="dxa"/>
          <w:right w:w="28" w:type="dxa"/>
        </w:tblCellMar>
      </w:tblPr>
      <w:tblGrid>
        <w:gridCol w:w="1406"/>
        <w:gridCol w:w="1237"/>
        <w:gridCol w:w="1241"/>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343"/>
        <w:gridCol w:w="347"/>
        <w:gridCol w:w="544"/>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Interest income, on a tax-equivalent basis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interest income, on a tax-equivalent basis</w:t>
            </w:r>
            <w:r>
              <w:rPr>
                <w:rFonts w:ascii="Times New Roman;sans-serif" w:hAnsi="Times New Roman;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interest margin</w:t>
            </w:r>
            <w:r>
              <w:rPr>
                <w:rFonts w:ascii="Times New Roman;sans-serif" w:hAnsi="Times New Roman;sans-serif"/>
                <w:b w:val="false"/>
                <w:color w:val="000000"/>
                <w:sz w:val="13"/>
              </w:rPr>
              <w:t>1, 2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216"/>
        <w:jc w:val="both"/>
        <w:rPr/>
      </w:pPr>
      <w:r>
        <w:rPr>
          <w:rFonts w:ascii="Times New Roman;sans-serif" w:hAnsi="Times New Roman;sans-serif"/>
          <w:b w:val="false"/>
          <w:color w:val="000000"/>
          <w:sz w:val="16"/>
        </w:rPr>
        <w:t xml:space="preserve">1.Assuming a federal income tax rate of 21.0%. For a reconciliation of non-GAAP measures to the most directly comparable GAAP financial measures, see </w:t>
      </w:r>
      <w:hyperlink w:anchor="i849a9726bda94af39d169d43c61a0228_178">
        <w:r>
          <w:rPr>
            <w:rStyle w:val="InternetLink"/>
            <w:color w:val="0000FF"/>
            <w:u w:val="single"/>
          </w:rPr>
          <w:t>“</w:t>
        </w:r>
      </w:hyperlink>
      <w:hyperlink w:anchor="i849a9726bda94af39d169d43c61a0228_178">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2.Net interest income expressed as a percentage of average earning assets, stated on a tax-equivalent basis.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FOMC raised rates by 25 basis points during the second quarter of 2023, and by a total of 500 basis points since the onset of the current FOMC tightening cycle that began in the first quarter of 2022. Rising rates initially have a positive impact on net interest margin, as assets, in particular commercial loans, reprice more quickly and to a greater extent than liabilities. As deposit and funding costs increase in response to the tightening rate cycle, and we experience deposit migration into higher cost offerings along with an increase in wholesale borrowings, some of the net interest margin expansion is reversed.</w:t>
      </w:r>
    </w:p>
    <w:p>
      <w:pPr>
        <w:pStyle w:val="TextBody"/>
        <w:bidi w:val="0"/>
        <w:spacing w:lineRule="auto" w:line="288" w:before="200" w:after="200"/>
        <w:jc w:val="both"/>
        <w:rPr/>
      </w:pPr>
      <w:r>
        <w:rPr>
          <w:rFonts w:ascii="Times New Roman;sans-serif" w:hAnsi="Times New Roman;sans-serif"/>
          <w:b w:val="false"/>
          <w:color w:val="000000"/>
          <w:sz w:val="20"/>
        </w:rPr>
        <w:t>Busey remains substantially core deposit</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funded, with robust liquidity and significant market share in the communities we serve. As of June 30, 2023, our loan to deposit ratio was 77.6% and core deposits represented 97.0% of total deposits.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spread, which represents the difference between the average rate earned on earning assets and the average rate paid on interest-bearing liabilities, was 2.26% and 2.48% for the three and six months ended June 30, 2023, respectively, compared to 2.56% and 2.44% for the three and six months ended June 30, 2022, each on a tax-equivalent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net interest margin discussion above is based upon the results and average balances for the three and six months ended June 30, 2023, and 2022. Annualized net interest margins for the quarterly periods indicated were as follows:</w:t>
      </w:r>
    </w:p>
    <w:tbl>
      <w:tblPr>
        <w:tblW w:w="3300" w:type="dxa"/>
        <w:jc w:val="left"/>
        <w:tblInd w:w="0" w:type="dxa"/>
        <w:tblLayout w:type="fixed"/>
        <w:tblCellMar>
          <w:top w:w="28" w:type="dxa"/>
          <w:left w:w="28" w:type="dxa"/>
          <w:bottom w:w="28" w:type="dxa"/>
          <w:right w:w="28" w:type="dxa"/>
        </w:tblCellMar>
      </w:tblPr>
      <w:tblGrid>
        <w:gridCol w:w="494"/>
        <w:gridCol w:w="433"/>
        <w:gridCol w:w="437"/>
        <w:gridCol w:w="255"/>
        <w:gridCol w:w="256"/>
        <w:gridCol w:w="271"/>
        <w:gridCol w:w="109"/>
        <w:gridCol w:w="109"/>
        <w:gridCol w:w="109"/>
        <w:gridCol w:w="255"/>
        <w:gridCol w:w="256"/>
        <w:gridCol w:w="316"/>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Quarter</w:t>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Quarter</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00"/>
        <w:jc w:val="both"/>
        <w:rPr/>
      </w:pPr>
      <w:r>
        <w:rPr>
          <w:rFonts w:ascii="Times New Roman;sans-serif" w:hAnsi="Times New Roman;sans-serif"/>
          <w:b w:val="false"/>
          <w:color w:val="000000"/>
          <w:sz w:val="20"/>
        </w:rPr>
        <w:t xml:space="preserve">Management attempts to mitigate the effects of an unpredictable interest-rate environment through effective portfolio management, prudent loan underwriting and pricing discipline, and operational efficiencies. For a description of accounting policies underlying the recognition of interest income and expense, refer to the </w:t>
      </w:r>
      <w:r>
        <w:fldChar w:fldCharType="begin"/>
      </w:r>
      <w:r>
        <w:rPr>
          <w:rStyle w:val="InternetLink"/>
          <w:sz w:val="20"/>
          <w:u w:val="single"/>
          <w:b w:val="false"/>
          <w:rFonts w:ascii="Times New Roman;sans-serif" w:hAnsi="Times New Roman;sans-serif"/>
          <w:color w:val="0000FF"/>
        </w:rPr>
        <w:instrText xml:space="preserve"> HYPERLINK "https://www.sec.gov/ix?doc=/Archives/edgar/data/0000314489/000031448923000010/buse-20221231.htm" \l "i5887e58b083b4ebe85d5c92e135ca21c_85"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Notes to Consolidated Financial Statements</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in </w:t>
      </w:r>
      <w:hyperlink r:id="rId20">
        <w:r>
          <w:rPr>
            <w:rStyle w:val="InternetLink"/>
          </w:rPr>
          <w:t>Buse</w:t>
        </w:r>
      </w:hyperlink>
      <w:hyperlink r:id="rId21">
        <w:r>
          <w:rPr>
            <w:rStyle w:val="InternetLink"/>
          </w:rPr>
          <w:t xml:space="preserve">y’s </w:t>
        </w:r>
      </w:hyperlink>
      <w:hyperlink r:id="rId22">
        <w:r>
          <w:rPr>
            <w:rStyle w:val="InternetLink"/>
          </w:rPr>
          <w:t>2022</w:t>
        </w:r>
      </w:hyperlink>
      <w:hyperlink r:id="rId23">
        <w:r>
          <w:rPr>
            <w:rStyle w:val="InternetLink"/>
          </w:rPr>
          <w:t xml:space="preserve"> Annual Report</w:t>
        </w:r>
      </w:hyperlink>
      <w:r>
        <w:rPr>
          <w:rFonts w:ascii="Times New Roman;sans-serif" w:hAnsi="Times New Roman;sans-serif"/>
          <w:b w:val="false"/>
          <w:color w:val="000000"/>
          <w:sz w:val="20"/>
        </w:rPr>
        <w:t>.</w:t>
      </w:r>
    </w:p>
    <w:p>
      <w:pPr>
        <w:pStyle w:val="TextBody"/>
        <w:bidi w:val="0"/>
        <w:spacing w:lineRule="auto" w:line="288" w:before="20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 xml:space="preserve">Core deposits is a non-GAAP financial measure. For a reconciliation of non-GAAP measures to the most directly comparable GAAP financial measures, see </w:t>
      </w:r>
      <w:hyperlink w:anchor="i849a9726bda94af39d169d43c61a0228_178">
        <w:r>
          <w:rPr>
            <w:rStyle w:val="InternetLink"/>
            <w:color w:val="0000FF"/>
            <w:u w:val="single"/>
          </w:rPr>
          <w:t>“</w:t>
        </w:r>
      </w:hyperlink>
      <w:hyperlink w:anchor="i849a9726bda94af39d169d43c61a0228_178">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73685"/>
                <wp:effectExtent l="0" t="0" r="0" b="0"/>
                <wp:wrapNone/>
                <wp:docPr id="62" name="Frame6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Noninterest Income</w:t>
      </w:r>
    </w:p>
    <w:p>
      <w:pPr>
        <w:pStyle w:val="TextBody"/>
        <w:bidi w:val="0"/>
        <w:spacing w:lineRule="auto" w:line="288" w:before="200" w:after="200"/>
        <w:jc w:val="both"/>
        <w:rPr/>
      </w:pPr>
      <w:r>
        <w:rPr>
          <w:rFonts w:ascii="Times New Roman;sans-serif" w:hAnsi="Times New Roman;sans-serif"/>
          <w:b w:val="false"/>
          <w:color w:val="000000"/>
          <w:sz w:val="20"/>
        </w:rPr>
        <w:t xml:space="preserve">Changes in noninterest income are summarized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791"/>
        <w:gridCol w:w="1563"/>
        <w:gridCol w:w="1566"/>
        <w:gridCol w:w="211"/>
        <w:gridCol w:w="721"/>
        <w:gridCol w:w="109"/>
        <w:gridCol w:w="109"/>
        <w:gridCol w:w="109"/>
        <w:gridCol w:w="109"/>
        <w:gridCol w:w="211"/>
        <w:gridCol w:w="721"/>
        <w:gridCol w:w="109"/>
        <w:gridCol w:w="109"/>
        <w:gridCol w:w="109"/>
        <w:gridCol w:w="109"/>
        <w:gridCol w:w="211"/>
        <w:gridCol w:w="678"/>
        <w:gridCol w:w="109"/>
        <w:gridCol w:w="109"/>
        <w:gridCol w:w="109"/>
        <w:gridCol w:w="109"/>
        <w:gridCol w:w="337"/>
        <w:gridCol w:w="339"/>
        <w:gridCol w:w="548"/>
      </w:tblGrid>
      <w:tr>
        <w:trPr/>
        <w:tc>
          <w:tcPr>
            <w:tcW w:w="179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 and payment technology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 fees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technology solutions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wealth management fees and payment technology solutions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for customer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on bank owned life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net gains (losses) on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net gains (losses) recognized on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securities gains (losses)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73685"/>
                <wp:effectExtent l="0" t="0" r="0" b="0"/>
                <wp:wrapNone/>
                <wp:docPr id="63" name="Frame6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24"/>
        <w:gridCol w:w="1320"/>
        <w:gridCol w:w="1323"/>
        <w:gridCol w:w="211"/>
        <w:gridCol w:w="1081"/>
        <w:gridCol w:w="109"/>
        <w:gridCol w:w="109"/>
        <w:gridCol w:w="109"/>
        <w:gridCol w:w="109"/>
        <w:gridCol w:w="211"/>
        <w:gridCol w:w="1081"/>
        <w:gridCol w:w="109"/>
        <w:gridCol w:w="109"/>
        <w:gridCol w:w="109"/>
        <w:gridCol w:w="109"/>
        <w:gridCol w:w="211"/>
        <w:gridCol w:w="721"/>
        <w:gridCol w:w="109"/>
        <w:gridCol w:w="109"/>
        <w:gridCol w:w="109"/>
        <w:gridCol w:w="109"/>
        <w:gridCol w:w="332"/>
        <w:gridCol w:w="336"/>
        <w:gridCol w:w="546"/>
      </w:tblGrid>
      <w:tr>
        <w:trPr/>
        <w:tc>
          <w:tcPr>
            <w:tcW w:w="152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 and payment technology solutions income:</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Wealth management fees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technology solutions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wealth management fees and payment technology solutions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for customer services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on bank owned life insurance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income:</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net gains (losses) on securities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net gains (losses) recognized on equity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securities gains (losses)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under care as of period end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11,477,985 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11,453,753 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Total noninterest income was $28.0 million for the three months ended June 30, 2023, a decrease of 9.7% from the comparable period in 2022, and was $59.9 million for the six months ended June 30, 2023, a decrease of 10.4% from the comparable period in 2022. Combined, revenues from wealth management fees and payment technology solutions represented 70.7% and 66.7% of Busey’s noninterest income for the three and six months ended June 30, 2023, respectively, providing a complement to spread-based revenue from traditional banking activities. On a combined basis, revenue from these two critical operating areas was $19.8 million for the three months ended June 30, 2023, a 4.0% increase from the comparable period in 2022, and was $39.9 million for the six months ended June 30, 2023, an 0.1% increase from the comparable period in 2022.</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Wealth management fees were $14.6 million for the three months ended June 30, 2023, a 3.0% increase from the comparable period in 2022, and were $29.4 million for the six months ended June 30, 2023, a 1.9% decrease from the comparable period for 2022. Busey’s Wealth Management division ended the second quarter of 2023 with $11.5 billion in assets under care, which is comparable to June 30, 2022. Our portfolio management team continues to produce solid results in the face of volatile markets.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Payment technology solutions revenue relates to our payment processing company, FirsTech. Payment technology solutions revenue was $5.2 million for the three months ended June 30, 2023, a 7.0% increase from the comparable period in 2022, and was $10.5 million for the six months ended June 30, 2023, a 5.8% increase from the comparable period in 2022. We have made strategic investments in FirsTech to enhance future growth, including upgrades to the product and engineering teams to build an Application Programming Interface (“API”) cloud-based platform to provide for fully integrated payment capabilities as well as the continued development of our Banking as a Service (“BaaS”)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73685"/>
                <wp:effectExtent l="0" t="0" r="0" b="0"/>
                <wp:wrapNone/>
                <wp:docPr id="64"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Fees for customer services were $7.2 million for the three months ended June 30, 2023, a 24.5% decrease from the comparable period in 2022, and were $14.1 million for the six months ended June 30, 2023, a 24.0% decrease from the comparable period in 2022. Beginning on July 1, 2022, we became subject to the Durbin Amendment of the Dodd-Frank Act. The Durbin Amendment required the Federal Reserve to establish a maximum permissible interchange fee for many types of debit transactions, which resulted in a reduction in fee income totaling $2.4 million and $4.7 million during the three and six months ended June 30, 2023, respectively. Excluding the impact of the Durbin Amendment, fees for customer services would have shown an increase of 0.8% and 1.3% from the comparable three and six month periods in 2022, respectively.</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Mortgage revenue was $0.3 million for the three months ended June 30, 2023, a 4.2% decrease from the comparable period in 2022, and was $0.6 million for the six months ended June 30, 2023, a 55.5% decrease from the comparable period in 2022. Decreases primarily resulted from declines in mortgage origination and sold-loan mortgage volume. General economic conditions and interest rate volatility may impact fees in future quarters.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Income on bank owned life insurance was $1.0 million for the three months ended June 30, 2023, a 17.7% increase from the comparable period in 2022, and was $2.7 million for the six months ended June 30, 2023, a 52.5% increase from the comparable period in 2022. Year to date increases resulted primarily from earnings on death proceeds of $0.8 million.</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Net securities losses were $2.1 million for the three months ended June 30, 2023, a 20.1% increase from the comparable period in 2022. Losses were comprised of $0.2 million of realized net losses and $1.9 million of unrealized net losses recognized on equity securities. For the six months ended June 30, 2023, net securities losses were $2.7 million, a 14.9% increase from the comparable period in 2022, and were comprised of $0.2 million of realized net losses and $2.5 million of unrealized net losses recognized on equity securities.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was $1.7 million for the three months ended June 30, 2023, a $1.2 million decrease from the comparable period in 2022, and was $5.3 million for the six months ended June 30, 2023, a $2.4 million decrease from the comparable period in 2022. Other income fluctuations were primarily attributable to lower income recognized on venture capital investments during the three and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73685"/>
                <wp:effectExtent l="0" t="0" r="0" b="0"/>
                <wp:wrapNone/>
                <wp:docPr id="65"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Noninterest Expense</w:t>
      </w:r>
    </w:p>
    <w:p>
      <w:pPr>
        <w:pStyle w:val="TextBody"/>
        <w:bidi w:val="0"/>
        <w:spacing w:lineRule="auto" w:line="288" w:before="200" w:after="200"/>
        <w:jc w:val="both"/>
        <w:rPr/>
      </w:pPr>
      <w:r>
        <w:rPr>
          <w:rFonts w:ascii="Times New Roman;sans-serif" w:hAnsi="Times New Roman;sans-serif"/>
          <w:b w:val="false"/>
          <w:color w:val="000000"/>
          <w:sz w:val="20"/>
        </w:rPr>
        <w:t xml:space="preserve">Changes in noninterest expense are summarized as follows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755"/>
        <w:gridCol w:w="1507"/>
        <w:gridCol w:w="1512"/>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79"/>
        <w:gridCol w:w="282"/>
        <w:gridCol w:w="547"/>
      </w:tblGrid>
      <w:tr>
        <w:trPr/>
        <w:tc>
          <w:tcPr>
            <w:tcW w:w="175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wages,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processing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expenses: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occupancy expense of premises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net occupancy expense of premises and furniture and equipment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Interchange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FDIC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5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Efficiency ratio</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Adjusted efficiency ratio</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216"/>
        <w:jc w:val="both"/>
        <w:rPr/>
      </w:pPr>
      <w:r>
        <w:rPr>
          <w:rFonts w:ascii="Times New Roman;sans-serif" w:hAnsi="Times New Roman;sans-serif"/>
          <w:b w:val="false"/>
          <w:color w:val="000000"/>
          <w:sz w:val="16"/>
        </w:rPr>
        <w:t xml:space="preserve">1.The efficiency ratio and adjusted efficiency ratio are non-GAAP financial measures. For a reconciliation of non-GAAP measures to the most directly comparable financial GAAP measures, see </w:t>
      </w:r>
      <w:r>
        <w:rPr>
          <w:color w:val="000000"/>
        </w:rPr>
        <w:t>“</w:t>
      </w:r>
      <w:hyperlink w:anchor="i849a9726bda94af39d169d43c61a0228_178">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73685"/>
                <wp:effectExtent l="0" t="0" r="0" b="0"/>
                <wp:wrapNone/>
                <wp:docPr id="66"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82"/>
        <w:gridCol w:w="1440"/>
        <w:gridCol w:w="1445"/>
        <w:gridCol w:w="211"/>
        <w:gridCol w:w="826"/>
        <w:gridCol w:w="271"/>
        <w:gridCol w:w="109"/>
        <w:gridCol w:w="109"/>
        <w:gridCol w:w="109"/>
        <w:gridCol w:w="211"/>
        <w:gridCol w:w="826"/>
        <w:gridCol w:w="271"/>
        <w:gridCol w:w="109"/>
        <w:gridCol w:w="109"/>
        <w:gridCol w:w="109"/>
        <w:gridCol w:w="211"/>
        <w:gridCol w:w="616"/>
        <w:gridCol w:w="109"/>
        <w:gridCol w:w="109"/>
        <w:gridCol w:w="109"/>
        <w:gridCol w:w="109"/>
        <w:gridCol w:w="278"/>
        <w:gridCol w:w="281"/>
        <w:gridCol w:w="546"/>
      </w:tblGrid>
      <w:tr>
        <w:trPr/>
        <w:tc>
          <w:tcPr>
            <w:tcW w:w="168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wages, and employee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expenses: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occupancy expense of premises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equipment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net occupancy expense of premises and furniture and equipment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Interchange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FDIC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Efficiency ratio</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Adjusted efficiency ratio</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Full-time equivalent employees as of period-end</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216"/>
        <w:jc w:val="both"/>
        <w:rPr/>
      </w:pPr>
      <w:r>
        <w:rPr>
          <w:rFonts w:ascii="Times New Roman;sans-serif" w:hAnsi="Times New Roman;sans-serif"/>
          <w:b w:val="false"/>
          <w:color w:val="000000"/>
          <w:sz w:val="16"/>
        </w:rPr>
        <w:t xml:space="preserve">1.The efficiency ratio and adjusted efficiency ratio are non-GAAP financial measures. For a reconciliation of non-GAAP measures to the most directly comparable financial GAAP measures, see </w:t>
      </w:r>
      <w:r>
        <w:rPr>
          <w:color w:val="000000"/>
        </w:rPr>
        <w:t>“</w:t>
      </w:r>
      <w:hyperlink w:anchor="i849a9726bda94af39d169d43c61a0228_178">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 was $69.2 million for the three months ended June 30, 2023, a 0.2% increase from the comparable period in 2022, and was $139.6 million for the six months ended June 30, 2023, a 0.1% increase from the comparable period in 2022. We remain focused on expense discipline, and have been purposeful in our efforts to rationalize our expense base given our economic outlook and our view on the future of banking. During a time of decades-high inflation, we have effectively managed our noninterest expense base.</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Salaries, wages, and employee benefits were $39.9 million for the three months ended June 30, 2023, a 4.6% increase from the comparable period in 2022, and were $80.2 million for the six months ended June 30, 2023, a 3.5% increase from the comparable period in 2022. Full-time equivalents were 1,477 as of June 30, 2023, compared to 1,493 at June 30, 2022. Labor market trends over the past year reflected a tight labor supply, while job gains resulted in increased demands for a skilled workforce, maintaining upward pressure on salaries, wages, and employee benefits.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Data processing expense was $5.9 million for the three months ended June 30, 2023, a 9.8% increase from the comparable period in 2022, and was $11.5 million for the six months ended June 30, 2023, a 11.5% increase from the comparable period in 2022. Increases were primarily attributable to expenses for FirsTech transaction volume and continued Company-wide investments in technology enhancements, as well as inflation-driven price increases.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Combined, net occupancy expense of premises and furniture and equipment expense totaled $6.2 million for the three months ended June 30, 2023, a 8.0% decrease from the comparable period in 2022, and $12.7 million for the six months ended June 30, 2023, a 8.2% decrease from the comparable period in 2022. Year-over-year decreases were primarily attributable to lower maintenance costs and declines in depreciation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73685"/>
                <wp:effectExtent l="0" t="0" r="0" b="0"/>
                <wp:wrapNone/>
                <wp:docPr id="67"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fees were $1.0 million for the three months ended June 30, 2023, a 39.5% decrease from the comparable period in 2022. This decrease is primarily attributable to a recapture of legal expenses related to the payoff of a large classified asset in the quarter. Professional fees were $3.0 million for the six months ended June 30, 2023, a 2.7% decrease from the comparable period in 2022.</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was $2.7 million for the three months ended June 30, 2023, an 9.6% decrease from the comparable period in 2022, and $5.4 million for the six months ended June 30, 2023, a 9.5% decrease from the comparable period for 2022, due to the use of an accelerated amortization methodology.</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Interchange expense was $1.9 million for the three months ended June 30, 2023, a 25.8% increase from the comparable period in 2022, and was $3.7 million for the six months ended June 30, 2023, a 22.8% increase from the comparable period in 2022. Fluctuations in interchange expense were primarily the result of increased payment and volume activity at FirsTech.</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FDIC insurance expense was $1.5 million for the three months ended June 30, 2023, a 30.6% increase from the comparable period in 2022, and $3.0 million for the six months ended June 30, 2023, a 35.1% increase from the comparable period in 2022. Increases were the result of an FDIC final rule to increase the initial base deposit insurance assessment rate applicable to all depository institutions by two basis points beginning in 2023.</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was $10.2 million for the three months ended June 30, 2023, a 12.4% decrease from the comparable period in 2022, and was $20.0 million for the six months ended June 30, 2023, a 14.8% decrease from the comparable period in 2022. Decreases were across multiple expense categories as a result of expense discipline in marketing and business development activities and lower check card fees, partially offset by increases in New Markets Tax Credits amortization. Year to date decreases were also influenced by fluctuations in OREO and the provision for unfunded commitments.</w:t>
      </w:r>
    </w:p>
    <w:p>
      <w:pPr>
        <w:pStyle w:val="TextBody"/>
        <w:bidi w:val="0"/>
        <w:spacing w:lineRule="auto" w:line="288" w:before="200" w:after="200"/>
        <w:jc w:val="both"/>
        <w:rPr/>
      </w:pPr>
      <w:r>
        <w:rPr>
          <w:rFonts w:ascii="Times New Roman;sans-serif" w:hAnsi="Times New Roman;sans-serif"/>
          <w:b w:val="false"/>
          <w:color w:val="000000"/>
          <w:sz w:val="20"/>
        </w:rPr>
        <w:t>The efficiency ratio</w:t>
      </w:r>
      <w:r>
        <w:rPr>
          <w:rFonts w:ascii="Times New Roman;sans-serif" w:hAnsi="Times New Roman;sans-serif"/>
          <w:b w:val="false"/>
          <w:color w:val="000000"/>
          <w:sz w:val="13"/>
        </w:rPr>
        <w:t>2</w:t>
      </w:r>
      <w:r>
        <w:rPr>
          <w:rFonts w:ascii="Times New Roman;sans-serif" w:hAnsi="Times New Roman;sans-serif"/>
          <w:b w:val="false"/>
          <w:color w:val="000000"/>
          <w:sz w:val="20"/>
        </w:rPr>
        <w:t>, which is a measure commonly used by management and the banking industry, measures the amount of expense incurred to generate a dollar of revenue. Our efficiency ratios were 60.9% and 58.8% for the three and six months ended June 30, 2023, respectively, compared to 60.6% and 61.8% for the three and six months ended June 30, 2022, respectively.</w:t>
      </w:r>
    </w:p>
    <w:p>
      <w:pPr>
        <w:pStyle w:val="TextBody"/>
        <w:bidi w:val="0"/>
        <w:spacing w:lineRule="auto" w:line="288" w:before="200" w:after="200"/>
        <w:jc w:val="both"/>
        <w:rPr/>
      </w:pPr>
      <w:r>
        <w:rPr>
          <w:rFonts w:ascii="Times New Roman;sans-serif" w:hAnsi="Times New Roman;sans-serif"/>
          <w:b w:val="false"/>
          <w:color w:val="000000"/>
          <w:sz w:val="20"/>
        </w:rPr>
        <w:t>Our adjusted efficiency ratios</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were 60.9% and 58.8% for the three and six months ended June 30, 2023, respectively, compared to 60.3% and 61.2% for three and six months ended June 30, 2022, respectively.</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Taxes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rates of 20.3% and 20.5% for the three and six months ended June 30, 2023, respectively, were lower than the combined federal and state statutory rate of approximately 28.0% due to tax exempt interest income, such as municipal bond interest and bank owned life insurance income, and investments in various tax credits. We continue to monitor evolving federal and state tax legislation and its potential impact on operations on an ongoing basis. As of June 30, 2023, we were not under examination by any tax authority; however, we have received an inquiry from the State of Illinois regarding our prior franchise tax filings. In the event the Company is required to amend our prior franchise tax filings, we could incur additional expenses.</w:t>
      </w:r>
    </w:p>
    <w:p>
      <w:pPr>
        <w:pStyle w:val="TextBody"/>
        <w:bidi w:val="0"/>
        <w:spacing w:lineRule="auto" w:line="288" w:before="200" w:after="200"/>
        <w:jc w:val="both"/>
        <w:rPr/>
      </w:pPr>
      <w:bookmarkStart w:id="2" w:name="ibe11e411aaed447084c29056d4f8bdaf_305"/>
      <w:bookmarkEnd w:id="2"/>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 xml:space="preserve">The efficiency ratio and adjusted efficiency ratio are non-GAAP financial measures. For a reconciliation of non-GAAP measures to the most directly comparable GAAP financial measures, see </w:t>
      </w:r>
      <w:r>
        <w:rPr>
          <w:color w:val="000000"/>
        </w:rPr>
        <w:t>“</w:t>
      </w:r>
      <w:hyperlink w:anchor="i849a9726bda94af39d169d43c61a0228_178">
        <w:r>
          <w:rPr>
            <w:rStyle w:val="InternetLink"/>
            <w:rFonts w:ascii="Times New Roman;sans-serif" w:hAnsi="Times New Roman;sans-serif"/>
            <w:b w:val="false"/>
            <w:i/>
            <w:color w:val="0000EE"/>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73685"/>
                <wp:effectExtent l="0" t="0" r="0" b="0"/>
                <wp:wrapNone/>
                <wp:docPr id="68"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Balance Sheet</w:t>
      </w:r>
    </w:p>
    <w:p>
      <w:pPr>
        <w:pStyle w:val="TextBody"/>
        <w:bidi w:val="0"/>
        <w:spacing w:lineRule="auto" w:line="288" w:before="200" w:after="200"/>
        <w:jc w:val="both"/>
        <w:rPr/>
      </w:pPr>
      <w:r>
        <w:rPr>
          <w:rFonts w:ascii="Times New Roman;sans-serif" w:hAnsi="Times New Roman;sans-serif"/>
          <w:b w:val="false"/>
          <w:color w:val="000000"/>
          <w:sz w:val="20"/>
        </w:rPr>
        <w:t xml:space="preserve">Changes in significant items included in our unaudited Consolidated Balance Sheets are summarized as follows as of each of the dates indicated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530"/>
        <w:gridCol w:w="1289"/>
        <w:gridCol w:w="1270"/>
        <w:gridCol w:w="211"/>
        <w:gridCol w:w="1081"/>
        <w:gridCol w:w="109"/>
        <w:gridCol w:w="109"/>
        <w:gridCol w:w="109"/>
        <w:gridCol w:w="109"/>
        <w:gridCol w:w="211"/>
        <w:gridCol w:w="1081"/>
        <w:gridCol w:w="109"/>
        <w:gridCol w:w="109"/>
        <w:gridCol w:w="109"/>
        <w:gridCol w:w="109"/>
        <w:gridCol w:w="211"/>
        <w:gridCol w:w="892"/>
        <w:gridCol w:w="109"/>
        <w:gridCol w:w="109"/>
        <w:gridCol w:w="109"/>
        <w:gridCol w:w="109"/>
        <w:gridCol w:w="286"/>
        <w:gridCol w:w="289"/>
        <w:gridCol w:w="546"/>
      </w:tblGrid>
      <w:tr>
        <w:trPr/>
        <w:tc>
          <w:tcPr>
            <w:tcW w:w="153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held to maturity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net of ACL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10,062,755 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sold under agreements to repurchase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408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Subordinated notes, net of unamortized issuance costs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11,190,700 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Portfolio Loans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making sound and profitable loans is a necessary and desirable means of employing funds available for investment. Busey maintains lending policies and procedures designed to focus lending efforts on the types, locations, and duration of loans most appropriate for its business model and markets. While not specifically limited, we attempt to focus our lending on short to intermediate-term (0-10 years) loans in geographic areas within 125 miles of our lending offices. Loans originated outside of these areas are generally to existing customers of Busey Bank. We attempt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reviews and approves Busey Bank’s lending policies and procedures on a regular basis. Management routinely (at least quarterly) reviews the ACL in conjunction with reports related to loan production, loan quality, concentrations of credit, loan delinquencies, non-performing loans, and potential problem loans. Our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Bank maintains a well-diversified loan portfolio and, as a matter of policy and practice, limits concentration exposure in any particular loan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73685"/>
                <wp:effectExtent l="0" t="0" r="0" b="0"/>
                <wp:wrapNone/>
                <wp:docPr id="69"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At no time is a borrower’s total borrowing relationship permitted to exceed Busey Bank’s regulatory lending limit. We generally limit such relationships to amounts substantially less than the regulatory limit. Loans to related parties, including executive officers and directors of First Busey Corporation and its subsidiaries, are reviewed for compliance with regulatory guidelines.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maintains an independent loan review department that reviews loans for compliance with our loan policy on a periodic basis. In addition, the loan review department reviews risk assessments made by our credit department, lenders, and loan committees. Results of these reviews are presented to management and the audit committee at least quarterly.</w:t>
      </w:r>
    </w:p>
    <w:p>
      <w:pPr>
        <w:pStyle w:val="TextBody"/>
        <w:bidi w:val="0"/>
        <w:spacing w:lineRule="auto" w:line="288" w:before="200" w:after="200"/>
        <w:jc w:val="both"/>
        <w:rPr/>
      </w:pPr>
      <w:r>
        <w:rPr>
          <w:rFonts w:ascii="Times New Roman;sans-serif" w:hAnsi="Times New Roman;sans-serif"/>
          <w:b w:val="false"/>
          <w:color w:val="000000"/>
          <w:sz w:val="20"/>
        </w:rPr>
        <w:t xml:space="preserve">Busey Bank’s lending activities can be summarized into two primary categories: commercial and retail. Lending is further classified into five primary areas: commercial loans, commercial real estate loans, real estate construction loans, retail real estate loans, and retail other loans. A description of each of the five primary areas can be found in </w:t>
      </w:r>
      <w:hyperlink r:id="rId24">
        <w:r>
          <w:rPr>
            <w:rStyle w:val="InternetLink"/>
          </w:rPr>
          <w:t>B</w:t>
        </w:r>
      </w:hyperlink>
      <w:hyperlink r:id="rId25">
        <w:r>
          <w:rPr>
            <w:rStyle w:val="InternetLink"/>
          </w:rPr>
          <w:t>usey</w:t>
        </w:r>
      </w:hyperlink>
      <w:hyperlink r:id="rId26">
        <w:r>
          <w:rPr>
            <w:rStyle w:val="InternetLink"/>
          </w:rPr>
          <w:t xml:space="preserve">’s </w:t>
        </w:r>
      </w:hyperlink>
      <w:hyperlink r:id="rId27">
        <w:r>
          <w:rPr>
            <w:rStyle w:val="InternetLink"/>
          </w:rPr>
          <w:t>2022</w:t>
        </w:r>
      </w:hyperlink>
      <w:hyperlink r:id="rId28">
        <w:r>
          <w:rPr>
            <w:rStyle w:val="InternetLink"/>
          </w:rPr>
          <w:t xml:space="preserve"> Annual Report</w:t>
        </w:r>
      </w:hyperlink>
      <w:r>
        <w:rPr>
          <w:rFonts w:ascii="Times New Roman;sans-serif" w:hAnsi="Times New Roman;sans-serif"/>
          <w:b w:val="false"/>
          <w:color w:val="000000"/>
          <w:sz w:val="20"/>
        </w:rPr>
        <w:t>. A significant majority of our portfolio lending activity occurs in the Illinois and Missouri markets, with the remainder in the Florida and Indiana markets.</w:t>
      </w:r>
    </w:p>
    <w:p>
      <w:pPr>
        <w:pStyle w:val="TextBody"/>
        <w:bidi w:val="0"/>
        <w:spacing w:lineRule="auto" w:line="288" w:before="200" w:after="200"/>
        <w:jc w:val="both"/>
        <w:rPr/>
      </w:pPr>
      <w:r>
        <w:rPr>
          <w:rFonts w:ascii="Times New Roman;sans-serif" w:hAnsi="Times New Roman;sans-serif"/>
          <w:b w:val="false"/>
          <w:color w:val="000000"/>
          <w:sz w:val="20"/>
        </w:rPr>
        <w:t>Geographic distributions of portfolio loans, based on originations, by category and class were as follows</w:t>
      </w:r>
      <w:r>
        <w:rPr>
          <w:color w:val="000000"/>
        </w:rPr>
        <w:t xml:space="preserv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842" w:type="dxa"/>
        <w:jc w:val="left"/>
        <w:tblInd w:w="0" w:type="dxa"/>
        <w:tblLayout w:type="fixed"/>
        <w:tblCellMar>
          <w:top w:w="28" w:type="dxa"/>
          <w:left w:w="28" w:type="dxa"/>
          <w:bottom w:w="28" w:type="dxa"/>
          <w:right w:w="28" w:type="dxa"/>
        </w:tblCellMar>
      </w:tblPr>
      <w:tblGrid>
        <w:gridCol w:w="837"/>
        <w:gridCol w:w="733"/>
        <w:gridCol w:w="73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Illinois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Missouri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Florida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Indiana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5,793,426 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Retail loans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5,561,536 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net of ACL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7,713,645 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42" w:type="dxa"/>
        <w:jc w:val="left"/>
        <w:tblInd w:w="0" w:type="dxa"/>
        <w:tblLayout w:type="fixed"/>
        <w:tblCellMar>
          <w:top w:w="28" w:type="dxa"/>
          <w:left w:w="28" w:type="dxa"/>
          <w:bottom w:w="28" w:type="dxa"/>
          <w:right w:w="28" w:type="dxa"/>
        </w:tblCellMar>
      </w:tblPr>
      <w:tblGrid>
        <w:gridCol w:w="837"/>
        <w:gridCol w:w="733"/>
        <w:gridCol w:w="73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3"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Illinois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Missouri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Florida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Indiana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loans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Retail loans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net of ACL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7,634,094 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73685"/>
                <wp:effectExtent l="0" t="0" r="0" b="0"/>
                <wp:wrapNone/>
                <wp:docPr id="70"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pPr>
      <w:r>
        <w:rPr>
          <w:rFonts w:ascii="Times New Roman;sans-serif" w:hAnsi="Times New Roman;sans-serif"/>
          <w:b w:val="false"/>
          <w:color w:val="000000"/>
          <w:sz w:val="20"/>
        </w:rPr>
        <w:t xml:space="preserve">Busey generated $79.6 million, or 1.0%, in net loan growth during the six months ended June 30, 2023. Like prior periods, most of the loan growth occurred within the Company’s existing client base. Changes in portfolio loan balances were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8184" w:type="dxa"/>
        <w:jc w:val="left"/>
        <w:tblInd w:w="0" w:type="dxa"/>
        <w:tblLayout w:type="fixed"/>
        <w:tblCellMar>
          <w:top w:w="28" w:type="dxa"/>
          <w:left w:w="28" w:type="dxa"/>
          <w:bottom w:w="28" w:type="dxa"/>
          <w:right w:w="28" w:type="dxa"/>
        </w:tblCellMar>
      </w:tblPr>
      <w:tblGrid>
        <w:gridCol w:w="837"/>
        <w:gridCol w:w="733"/>
        <w:gridCol w:w="739"/>
        <w:gridCol w:w="354"/>
        <w:gridCol w:w="463"/>
        <w:gridCol w:w="468"/>
        <w:gridCol w:w="109"/>
        <w:gridCol w:w="109"/>
        <w:gridCol w:w="109"/>
        <w:gridCol w:w="538"/>
        <w:gridCol w:w="463"/>
        <w:gridCol w:w="468"/>
        <w:gridCol w:w="109"/>
        <w:gridCol w:w="109"/>
        <w:gridCol w:w="109"/>
        <w:gridCol w:w="211"/>
        <w:gridCol w:w="796"/>
        <w:gridCol w:w="109"/>
        <w:gridCol w:w="109"/>
        <w:gridCol w:w="109"/>
        <w:gridCol w:w="109"/>
        <w:gridCol w:w="239"/>
        <w:gridCol w:w="241"/>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loans</w:t>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354"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construction</w:t>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1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Retail loans</w:t>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real estate</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other</w:t>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loans</w:t>
            </w:r>
          </w:p>
        </w:tc>
        <w:tc>
          <w:tcPr>
            <w:tcW w:w="1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w:t>
            </w:r>
          </w:p>
        </w:tc>
        <w:tc>
          <w:tcPr>
            <w:tcW w:w="12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(91,639)</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 net of ACL</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7,634,094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00"/>
        <w:jc w:val="both"/>
        <w:rPr/>
      </w:pPr>
      <w:r>
        <w:rPr>
          <w:rFonts w:ascii="Times New Roman;sans-serif" w:hAnsi="Times New Roman;sans-serif"/>
          <w:b w:val="false"/>
          <w:color w:val="000000"/>
          <w:sz w:val="20"/>
        </w:rPr>
        <w:t xml:space="preserve">Excluding the amortized cost of PPP loans, changes in commercial loan balances were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648" w:type="dxa"/>
        <w:jc w:val="left"/>
        <w:tblInd w:w="0" w:type="dxa"/>
        <w:tblLayout w:type="fixed"/>
        <w:tblCellMar>
          <w:top w:w="28" w:type="dxa"/>
          <w:left w:w="28" w:type="dxa"/>
          <w:bottom w:w="28" w:type="dxa"/>
          <w:right w:w="28" w:type="dxa"/>
        </w:tblCellMar>
      </w:tblPr>
      <w:tblGrid>
        <w:gridCol w:w="1455"/>
        <w:gridCol w:w="1278"/>
        <w:gridCol w:w="1286"/>
        <w:gridCol w:w="211"/>
        <w:gridCol w:w="976"/>
        <w:gridCol w:w="109"/>
        <w:gridCol w:w="109"/>
        <w:gridCol w:w="109"/>
        <w:gridCol w:w="109"/>
        <w:gridCol w:w="211"/>
        <w:gridCol w:w="976"/>
        <w:gridCol w:w="109"/>
        <w:gridCol w:w="109"/>
        <w:gridCol w:w="109"/>
        <w:gridCol w:w="109"/>
        <w:gridCol w:w="325"/>
        <w:gridCol w:w="335"/>
        <w:gridCol w:w="341"/>
        <w:gridCol w:w="109"/>
        <w:gridCol w:w="109"/>
        <w:gridCol w:w="109"/>
        <w:gridCol w:w="255"/>
        <w:gridCol w:w="256"/>
        <w:gridCol w:w="544"/>
      </w:tblGrid>
      <w:tr>
        <w:trPr/>
        <w:tc>
          <w:tcPr>
            <w:tcW w:w="145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commercial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PPP loans amortized cost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loan balances, excluding PPP loans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has been our practice, we remain steadfast in our conservative approach to underwriting and disciplined approach to pricing, particularly given our outlook for the economy in the coming quarters. This posture will impact loan growth in subsequent quarters. Given this outlook, loan growth is likely to slow compared to Busey’s results of the last twelve months and our previous expectations.</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Allowance and Provision for Credit Losses</w:t>
      </w:r>
    </w:p>
    <w:p>
      <w:pPr>
        <w:pStyle w:val="TextBody"/>
        <w:bidi w:val="0"/>
        <w:spacing w:lineRule="auto" w:line="288" w:before="200" w:after="200"/>
        <w:jc w:val="both"/>
        <w:rPr/>
      </w:pPr>
      <w:r>
        <w:rPr>
          <w:rFonts w:ascii="Times New Roman;sans-serif" w:hAnsi="Times New Roman;sans-serif"/>
          <w:b w:val="false"/>
          <w:color w:val="000000"/>
          <w:sz w:val="20"/>
        </w:rPr>
        <w:t xml:space="preserve">The ACL is a significant estimate in our unaudited consolidated financial statements, affecting both earnings and capital. The methodology adopted influences, and is influenced by, Busey Bank’s overall credit risk management processes. The ACL is recorded in accordance with GAAP to provide an adequate reserve for expected credit losses that is reflective of management’s best estimate of what is expected to be collected. Estimates of credit losses are based on a careful consideration of all significant factors affecting collectability as of the evaluation date. The ACL is established through the provision for credit loss expense charged to income. Provision expenses were recorded as follows for each of the periods indicated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038" w:type="dxa"/>
        <w:jc w:val="left"/>
        <w:tblInd w:w="0" w:type="dxa"/>
        <w:tblLayout w:type="fixed"/>
        <w:tblCellMar>
          <w:top w:w="28" w:type="dxa"/>
          <w:left w:w="28" w:type="dxa"/>
          <w:bottom w:w="28" w:type="dxa"/>
          <w:right w:w="28" w:type="dxa"/>
        </w:tblCellMar>
      </w:tblPr>
      <w:tblGrid>
        <w:gridCol w:w="798"/>
        <w:gridCol w:w="702"/>
        <w:gridCol w:w="705"/>
        <w:gridCol w:w="233"/>
        <w:gridCol w:w="515"/>
        <w:gridCol w:w="120"/>
        <w:gridCol w:w="120"/>
        <w:gridCol w:w="120"/>
        <w:gridCol w:w="120"/>
        <w:gridCol w:w="233"/>
        <w:gridCol w:w="681"/>
        <w:gridCol w:w="120"/>
        <w:gridCol w:w="109"/>
        <w:gridCol w:w="109"/>
        <w:gridCol w:w="109"/>
        <w:gridCol w:w="211"/>
        <w:gridCol w:w="616"/>
        <w:gridCol w:w="109"/>
        <w:gridCol w:w="109"/>
        <w:gridCol w:w="109"/>
        <w:gridCol w:w="109"/>
        <w:gridCol w:w="211"/>
        <w:gridCol w:w="61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73685"/>
                <wp:effectExtent l="0" t="0" r="0" b="0"/>
                <wp:wrapNone/>
                <wp:docPr id="71"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pPr>
      <w:r>
        <w:rPr>
          <w:rFonts w:ascii="Times New Roman;sans-serif" w:hAnsi="Times New Roman;sans-serif"/>
          <w:b w:val="false"/>
          <w:color w:val="000000"/>
          <w:sz w:val="20"/>
        </w:rPr>
        <w:t xml:space="preserve">The ACL and the ratio of ACL to portfolio loan balances is presented below by loan category and class, as of each of the dates indicated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558"/>
        <w:gridCol w:w="489"/>
        <w:gridCol w:w="492"/>
        <w:gridCol w:w="211"/>
        <w:gridCol w:w="976"/>
        <w:gridCol w:w="109"/>
        <w:gridCol w:w="109"/>
        <w:gridCol w:w="109"/>
        <w:gridCol w:w="109"/>
        <w:gridCol w:w="211"/>
        <w:gridCol w:w="721"/>
        <w:gridCol w:w="109"/>
        <w:gridCol w:w="109"/>
        <w:gridCol w:w="109"/>
        <w:gridCol w:w="109"/>
        <w:gridCol w:w="294"/>
        <w:gridCol w:w="256"/>
        <w:gridCol w:w="602"/>
        <w:gridCol w:w="109"/>
        <w:gridCol w:w="109"/>
        <w:gridCol w:w="109"/>
        <w:gridCol w:w="211"/>
        <w:gridCol w:w="976"/>
        <w:gridCol w:w="109"/>
        <w:gridCol w:w="109"/>
        <w:gridCol w:w="109"/>
        <w:gridCol w:w="109"/>
        <w:gridCol w:w="211"/>
        <w:gridCol w:w="721"/>
        <w:gridCol w:w="109"/>
        <w:gridCol w:w="109"/>
        <w:gridCol w:w="109"/>
        <w:gridCol w:w="109"/>
        <w:gridCol w:w="280"/>
        <w:gridCol w:w="248"/>
        <w:gridCol w:w="677"/>
      </w:tblGrid>
      <w:tr>
        <w:trPr/>
        <w:tc>
          <w:tcPr>
            <w:tcW w:w="55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Portfolio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Ratio of ACL to</w:t>
              <w:br/>
              <w:t>Portfolio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Portfolio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Ratio of ACL to</w:t>
              <w:br/>
              <w:t>Portfolio Loans</w:t>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Commercial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0.95 </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6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Retail</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Retail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6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Retail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retail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6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6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6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6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management believed the level of the ACL to be appropriate based upon the information available. However, additional losses may be identified in our loan portfolio as new information is obtained. The ongoing impacts of CECL will be dependent upon changes in economic conditions and forecasts, originated and acquired loan portfolio composition, prepayment speeds, credit performance trends, portfolio duration, and other factors.</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Non-Performing Loans and Non-Performing Assets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Loans are considered past due if the required principal or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73685"/>
                <wp:effectExtent l="0" t="0" r="0" b="0"/>
                <wp:wrapNone/>
                <wp:docPr id="72"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pPr>
      <w:r>
        <w:rPr>
          <w:rFonts w:ascii="Times New Roman;sans-serif" w:hAnsi="Times New Roman;sans-serif"/>
          <w:b w:val="false"/>
          <w:color w:val="000000"/>
          <w:sz w:val="20"/>
        </w:rPr>
        <w:t>The following table sets forth information concerning non-performing loans and performing restructured loans, as of each of the dates indicated</w:t>
      </w:r>
      <w:r>
        <w:rPr>
          <w:color w:val="000000"/>
        </w:rPr>
        <w:t xml:space="preserve">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429"/>
        <w:gridCol w:w="999"/>
        <w:gridCol w:w="945"/>
        <w:gridCol w:w="109"/>
        <w:gridCol w:w="211"/>
        <w:gridCol w:w="976"/>
        <w:gridCol w:w="271"/>
        <w:gridCol w:w="109"/>
        <w:gridCol w:w="109"/>
        <w:gridCol w:w="109"/>
        <w:gridCol w:w="109"/>
        <w:gridCol w:w="109"/>
        <w:gridCol w:w="211"/>
        <w:gridCol w:w="976"/>
        <w:gridCol w:w="271"/>
        <w:gridCol w:w="109"/>
        <w:gridCol w:w="109"/>
        <w:gridCol w:w="109"/>
        <w:gridCol w:w="109"/>
        <w:gridCol w:w="109"/>
        <w:gridCol w:w="109"/>
        <w:gridCol w:w="109"/>
        <w:gridCol w:w="211"/>
        <w:gridCol w:w="757"/>
        <w:gridCol w:w="109"/>
        <w:gridCol w:w="109"/>
        <w:gridCol w:w="109"/>
        <w:gridCol w:w="109"/>
        <w:gridCol w:w="273"/>
        <w:gridCol w:w="273"/>
        <w:gridCol w:w="549"/>
      </w:tblGrid>
      <w:tr>
        <w:trPr/>
        <w:tc>
          <w:tcPr>
            <w:tcW w:w="142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3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3" w:type="dxa"/>
            <w:gridSpan w:val="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11"/>
            <w:tcBorders/>
          </w:tcPr>
          <w:p>
            <w:pPr>
              <w:pStyle w:val="TableContents"/>
              <w:bidi w:val="0"/>
              <w:spacing w:before="0" w:after="283"/>
              <w:jc w:val="left"/>
              <w:rPr>
                <w:sz w:val="4"/>
                <w:szCs w:val="4"/>
              </w:rPr>
            </w:pPr>
            <w:r>
              <w:rPr>
                <w:sz w:val="4"/>
                <w:szCs w:val="4"/>
              </w:rPr>
            </w:r>
          </w:p>
        </w:tc>
      </w:tr>
      <w:tr>
        <w:trPr/>
        <w:tc>
          <w:tcPr>
            <w:tcW w:w="3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loans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30 – 89 days past due</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12,209,029 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12,336,677 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Non-performing assets</w:t>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w:t>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90+ days past due and still accruing</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non-performing loans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OREO and other repossessed assets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non-performing assets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 (excludes 90+ days past due)</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Tier 1 Capital</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1,338,375 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Ratios</w:t>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to portfolio loans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to non-accrual loans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to non-performing loans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to non-performing assets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Non-accrual loans to portfolio loans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 to portfolio loans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xml:space="preserve">— </w:t>
            </w:r>
            <w:r>
              <w:rPr>
                <w:rFonts w:ascii="Times New Roman;sans-serif" w:hAnsi="Times New Roman;sans-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assets to total assets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xml:space="preserve">— </w:t>
            </w:r>
            <w:r>
              <w:rPr>
                <w:rFonts w:ascii="Times New Roman;sans-serif" w:hAnsi="Times New Roman;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assets to portfolio loans and OREO and other repossessed assets</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assets to Bank Tier 1 Capital and ACL</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Asset quality remains strong by both historical and current industry trends, and our operating mandate and focus have been on emphasizing credit quality over asset growth. Non-performing loan balances increased by 0.2% to $15.8 million as of June 30, 2023, compared to $15.7 million as of December 31, 2022. We saw a decline in classified assets from $107.1 million as of December 31, 2022 to $81.9 million as of June 30, 2023. Continued disciplined credit management resulted in non-performing loans as a percentage of portfolio loans of 0.20% as of both June 30, 2023, and December 31, 2022.</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Asset quality metrics remain dependent upon market-specific economic conditions, and specific measures may fluctuate from period to period. If economic conditions were to deteriorate, we would expect the credit quality of our loan portfolio to decline and loan defaults to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73685"/>
                <wp:effectExtent l="0" t="0" r="0" b="0"/>
                <wp:wrapNone/>
                <wp:docPr id="73"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Potential Problem Loans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Potential problem loans are loans classified as substandard which are not individually evaluated,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decreased to $66.0 million as of June 30, 2023, compared to $89.2 million as of December 31, 2022. Management continues to monitor these loans and anticipates that restructurings, guarantees, additional collateral, or other planned actions will result in full repayment of the debts. As of June 30, 2023, management identified no other loans that represent or result from trends or uncertainties which would be expected to materially impact future operating results, liquidity, or capital resources.</w:t>
      </w:r>
    </w:p>
    <w:p>
      <w:pPr>
        <w:pStyle w:val="TextBody"/>
        <w:bidi w:val="0"/>
        <w:spacing w:lineRule="auto" w:line="288" w:before="200" w:after="20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COVID-19 Modifications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 alleviate some of the financial hardships faced as a result of COVID-19, Busey offered a Financial Relief Program to qualifying customers. The program included options for short-term loan payment deferrals and certain fee waivers. We had no commercial loans remaining in the program, and one payment deferred retail loan representing $0.1 million in loans, as of June 30, 2023. In comparison, we had eight payment deferred commercial loans totaling $20.6 million that were on interest-only payment terms, and one payment deferred retail loans totaling $0.1 million as of December 31, 2022. As the remaining deferral expires, we will continue to monitor for indications of a potential problem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Deposits</w:t>
      </w:r>
    </w:p>
    <w:p>
      <w:pPr>
        <w:pStyle w:val="TextBody"/>
        <w:bidi w:val="0"/>
        <w:spacing w:lineRule="auto" w:line="288" w:before="200" w:after="200"/>
        <w:jc w:val="both"/>
        <w:rPr/>
      </w:pPr>
      <w:r>
        <w:rPr>
          <w:rFonts w:ascii="Times New Roman;sans-serif" w:hAnsi="Times New Roman;sans-serif"/>
          <w:b w:val="false"/>
          <w:color w:val="000000"/>
          <w:sz w:val="20"/>
        </w:rPr>
        <w:t>Total deposits of $10.1 billion as of June 30, 2023, remained steady with the prior year end balance. We focus on deepening our relationships with customers to strengthen our core deposit</w:t>
      </w: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franchise. Core deposits include non-brokered transaction accounts, money market deposit accounts, and time deposits of $250,000 or less. Core deposits represented 97.0% of total deposits as of June 30, 2023, compared to 98.8%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200" w:after="200"/>
        <w:jc w:val="both"/>
        <w:rPr/>
      </w:pPr>
      <w:r>
        <w:rPr>
          <w:rFonts w:ascii="Times New Roman;sans-serif" w:hAnsi="Times New Roman;sans-serif"/>
          <w:b w:val="false"/>
          <w:color w:val="000000"/>
          <w:sz w:val="20"/>
        </w:rPr>
        <w:t xml:space="preserve">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our operating, investing, lending, and financing activities during any given period. Average liquid assets are summarized in the table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485"/>
        <w:gridCol w:w="1236"/>
        <w:gridCol w:w="1224"/>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48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Average liquid assets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bank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394,562 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liquid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518,647 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liquid assets as a percent of average total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0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6"/>
        </w:rPr>
        <w:t xml:space="preserve">Core deposits is a non-GAAP financial measure. For a reconciliation of non-GAAP measures to the most directly comparable GAAP financial measures, see </w:t>
      </w:r>
      <w:hyperlink w:anchor="i849a9726bda94af39d169d43c61a0228_178">
        <w:r>
          <w:rPr>
            <w:rStyle w:val="InternetLink"/>
            <w:color w:val="0000FF"/>
            <w:u w:val="single"/>
          </w:rPr>
          <w:t>“</w:t>
        </w:r>
      </w:hyperlink>
      <w:hyperlink w:anchor="i849a9726bda94af39d169d43c61a0228_178">
        <w:r>
          <w:rPr>
            <w:rStyle w:val="InternetLink"/>
            <w:rFonts w:ascii="Times New Roman;sans-serif" w:hAnsi="Times New Roman;sans-serif"/>
            <w:b w:val="false"/>
            <w:i/>
            <w:color w:val="0000FF"/>
            <w:sz w:val="16"/>
            <w:u w:val="single"/>
          </w:rPr>
          <w:t>Item 2. Management’s Discussion and Analysis—Non-GAAP Financial Information”</w:t>
        </w:r>
      </w:hyperlink>
      <w:r>
        <w:rPr>
          <w:color w:val="000000"/>
        </w:rPr>
        <w:t xml:space="preserve"> </w:t>
      </w:r>
      <w:r>
        <w:rPr>
          <w:rFonts w:ascii="Times New Roman;sans-serif" w:hAnsi="Times New Roman;sans-serif"/>
          <w:b w:val="false"/>
          <w:color w:val="000000"/>
          <w:sz w:val="16"/>
        </w:rPr>
        <w:t>included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3685"/>
                <wp:effectExtent l="0" t="0" r="0" b="0"/>
                <wp:wrapNone/>
                <wp:docPr id="74" name="Frame7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pPr>
      <w:r>
        <w:rPr>
          <w:rFonts w:ascii="Times New Roman;sans-serif" w:hAnsi="Times New Roman;sans-serif"/>
          <w:b w:val="false"/>
          <w:color w:val="000000"/>
          <w:sz w:val="20"/>
        </w:rPr>
        <w:t xml:space="preserve">Cash and unencumbered securities on our Consolidated Balance Sheets are summarized as follows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433" w:type="dxa"/>
        <w:jc w:val="left"/>
        <w:tblInd w:w="0" w:type="dxa"/>
        <w:tblLayout w:type="fixed"/>
        <w:tblCellMar>
          <w:top w:w="28" w:type="dxa"/>
          <w:left w:w="28" w:type="dxa"/>
          <w:bottom w:w="28" w:type="dxa"/>
          <w:right w:w="28" w:type="dxa"/>
        </w:tblCellMar>
      </w:tblPr>
      <w:tblGrid>
        <w:gridCol w:w="1620"/>
        <w:gridCol w:w="1423"/>
        <w:gridCol w:w="1426"/>
        <w:gridCol w:w="211"/>
        <w:gridCol w:w="976"/>
        <w:gridCol w:w="109"/>
        <w:gridCol w:w="109"/>
        <w:gridCol w:w="109"/>
        <w:gridCol w:w="109"/>
        <w:gridCol w:w="211"/>
        <w:gridCol w:w="976"/>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unencumbered securities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 for sale pledged as collateral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unencumbered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1,941,882 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20"/>
        </w:rPr>
        <w:t xml:space="preserve">Busey’s primary sources of funds consist of deposits, investment maturities and sales, loan principal repayments, and capital funds. Additional liquidity is provided by the ability to borrow from the FHLB, the Federal Reserve, and our revolving credit facility, as summarized in the table below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6993" w:type="dxa"/>
        <w:jc w:val="left"/>
        <w:tblInd w:w="0" w:type="dxa"/>
        <w:tblLayout w:type="fixed"/>
        <w:tblCellMar>
          <w:top w:w="28" w:type="dxa"/>
          <w:left w:w="28" w:type="dxa"/>
          <w:bottom w:w="28" w:type="dxa"/>
          <w:right w:w="28" w:type="dxa"/>
        </w:tblCellMar>
      </w:tblPr>
      <w:tblGrid>
        <w:gridCol w:w="1411"/>
        <w:gridCol w:w="1240"/>
        <w:gridCol w:w="1248"/>
        <w:gridCol w:w="354"/>
        <w:gridCol w:w="463"/>
        <w:gridCol w:w="468"/>
        <w:gridCol w:w="109"/>
        <w:gridCol w:w="109"/>
        <w:gridCol w:w="109"/>
        <w:gridCol w:w="506"/>
        <w:gridCol w:w="403"/>
        <w:gridCol w:w="573"/>
      </w:tblGrid>
      <w:tr>
        <w:trPr/>
        <w:tc>
          <w:tcPr>
            <w:tcW w:w="14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borrowing capacity available from:</w:t>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w:t>
            </w:r>
          </w:p>
        </w:tc>
        <w:tc>
          <w:tcPr>
            <w:tcW w:w="354"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1,765,388</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Reserve Bank</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659,680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funds purchased</w:t>
            </w:r>
          </w:p>
        </w:tc>
        <w:tc>
          <w:tcPr>
            <w:tcW w:w="128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482,500</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borrowing capacity</w:t>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2,947,568</w:t>
            </w:r>
          </w:p>
        </w:tc>
      </w:tr>
    </w:tbl>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company could utilize brokered deposits as additional sources of liquidity, as needed.</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OFF-BALANCE-SHEET ARRANGEMENTS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Bank routinely enters into commitments to extend credit and standby letters of credit in the normal course of business to meet the financing needs of its customers. The balance of commitments to extend credit represents future cash requirements and some of these commitments may expire without being drawn upon.</w:t>
      </w:r>
    </w:p>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 summarizes our outstanding commitments and reserves for unfunded commitments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7928" w:type="dxa"/>
        <w:jc w:val="left"/>
        <w:tblInd w:w="0" w:type="dxa"/>
        <w:tblLayout w:type="fixed"/>
        <w:tblCellMar>
          <w:top w:w="28" w:type="dxa"/>
          <w:left w:w="28" w:type="dxa"/>
          <w:bottom w:w="28" w:type="dxa"/>
          <w:right w:w="28" w:type="dxa"/>
        </w:tblCellMar>
      </w:tblPr>
      <w:tblGrid>
        <w:gridCol w:w="1796"/>
        <w:gridCol w:w="1580"/>
        <w:gridCol w:w="1588"/>
        <w:gridCol w:w="211"/>
        <w:gridCol w:w="976"/>
        <w:gridCol w:w="109"/>
        <w:gridCol w:w="109"/>
        <w:gridCol w:w="109"/>
        <w:gridCol w:w="109"/>
        <w:gridCol w:w="211"/>
        <w:gridCol w:w="976"/>
        <w:gridCol w:w="154"/>
      </w:tblGrid>
      <w:tr>
        <w:trPr/>
        <w:tc>
          <w:tcPr>
            <w:tcW w:w="179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loan commitments and standby letters of credit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unfunded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20"/>
        </w:rPr>
        <w:t xml:space="preserve">The following table summarizes our provision for unfunded commitments expenses (releases) for the periods presented </w:t>
      </w:r>
      <w:r>
        <w:rPr>
          <w:rFonts w:ascii="Times New Roman;sans-serif" w:hAnsi="Times New Roman;sans-serif"/>
          <w:b w:val="false"/>
          <w:i/>
          <w:color w:val="000000"/>
          <w:sz w:val="20"/>
        </w:rPr>
        <w:t>(dollars in thousands)</w:t>
      </w:r>
      <w:r>
        <w:rPr>
          <w:rFonts w:ascii="Times New Roman;sans-serif" w:hAnsi="Times New Roman;sans-serif"/>
          <w:b w:val="false"/>
          <w:color w:val="000000"/>
          <w:sz w:val="20"/>
        </w:rPr>
        <w:t>:</w:t>
      </w:r>
    </w:p>
    <w:tbl>
      <w:tblPr>
        <w:tblW w:w="9264" w:type="dxa"/>
        <w:jc w:val="left"/>
        <w:tblInd w:w="0" w:type="dxa"/>
        <w:tblLayout w:type="fixed"/>
        <w:tblCellMar>
          <w:top w:w="28" w:type="dxa"/>
          <w:left w:w="28" w:type="dxa"/>
          <w:bottom w:w="28" w:type="dxa"/>
          <w:right w:w="28" w:type="dxa"/>
        </w:tblCellMar>
      </w:tblPr>
      <w:tblGrid>
        <w:gridCol w:w="1650"/>
        <w:gridCol w:w="1451"/>
        <w:gridCol w:w="1459"/>
        <w:gridCol w:w="242"/>
        <w:gridCol w:w="534"/>
        <w:gridCol w:w="125"/>
        <w:gridCol w:w="125"/>
        <w:gridCol w:w="125"/>
        <w:gridCol w:w="125"/>
        <w:gridCol w:w="242"/>
        <w:gridCol w:w="621"/>
        <w:gridCol w:w="125"/>
        <w:gridCol w:w="109"/>
        <w:gridCol w:w="109"/>
        <w:gridCol w:w="109"/>
        <w:gridCol w:w="221"/>
        <w:gridCol w:w="566"/>
        <w:gridCol w:w="114"/>
        <w:gridCol w:w="114"/>
        <w:gridCol w:w="114"/>
        <w:gridCol w:w="114"/>
        <w:gridCol w:w="221"/>
        <w:gridCol w:w="488"/>
        <w:gridCol w:w="161"/>
      </w:tblGrid>
      <w:tr>
        <w:trPr/>
        <w:tc>
          <w:tcPr>
            <w:tcW w:w="165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unfunded commitments expense (release)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73685"/>
                <wp:effectExtent l="0" t="0" r="0" b="0"/>
                <wp:wrapNone/>
                <wp:docPr id="75" name="Frame7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we will have sufficient funds available to meet current loan commitments, including loan applications received and in process prior to the issuance of firm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CAPITAL RESOURCES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Busey Bank as of June 30, 2023:</w:t>
      </w:r>
    </w:p>
    <w:tbl>
      <w:tblPr>
        <w:tblW w:w="10074" w:type="dxa"/>
        <w:jc w:val="left"/>
        <w:tblInd w:w="0" w:type="dxa"/>
        <w:tblLayout w:type="fixed"/>
        <w:tblCellMar>
          <w:top w:w="28" w:type="dxa"/>
          <w:left w:w="28" w:type="dxa"/>
          <w:bottom w:w="28" w:type="dxa"/>
          <w:right w:w="28" w:type="dxa"/>
        </w:tblCellMar>
      </w:tblPr>
      <w:tblGrid>
        <w:gridCol w:w="1691"/>
        <w:gridCol w:w="1482"/>
        <w:gridCol w:w="1492"/>
        <w:gridCol w:w="618"/>
        <w:gridCol w:w="618"/>
        <w:gridCol w:w="1539"/>
        <w:gridCol w:w="109"/>
        <w:gridCol w:w="109"/>
        <w:gridCol w:w="109"/>
        <w:gridCol w:w="309"/>
        <w:gridCol w:w="307"/>
        <w:gridCol w:w="319"/>
        <w:gridCol w:w="128"/>
        <w:gridCol w:w="128"/>
        <w:gridCol w:w="128"/>
        <w:gridCol w:w="309"/>
        <w:gridCol w:w="307"/>
        <w:gridCol w:w="372"/>
      </w:tblGrid>
      <w:tr>
        <w:trPr/>
        <w:tc>
          <w:tcPr>
            <w:tcW w:w="1691"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Minimum Capital Requirements with</w:t>
              <w:br/>
              <w:t>Capital Buffer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2023</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First</w:t>
              <w:br/>
              <w:t>Busey</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Busey</w:t>
              <w:br/>
              <w:t>Bank</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Capital to Risk Weighted Assets</w:t>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 Weighted Assets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 Weighted Assets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3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of Tier 1 Capital to Average Assets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3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00"/>
        <w:jc w:val="both"/>
        <w:rPr/>
      </w:pPr>
      <w:r>
        <w:rPr>
          <w:rFonts w:ascii="Times New Roman;sans-serif" w:hAnsi="Times New Roman;sans-serif"/>
          <w:b w:val="false"/>
          <w:color w:val="000000"/>
          <w:sz w:val="20"/>
        </w:rPr>
        <w:t xml:space="preserve">For further discussion of capital resources and requirements, see </w:t>
      </w:r>
      <w:hyperlink w:anchor="i849a9726bda94af39d169d43c61a0228_79">
        <w:r>
          <w:rPr>
            <w:rStyle w:val="InternetLink"/>
            <w:strike w:val="false"/>
            <w:dstrike w:val="false"/>
            <w:color w:val="0000FF"/>
            <w:u w:val="none"/>
            <w:effect w:val="none"/>
          </w:rPr>
          <w:t>“</w:t>
        </w:r>
      </w:hyperlink>
      <w:hyperlink w:anchor="i849a9726bda94af39d169d43c61a0228_79">
        <w:r>
          <w:rPr>
            <w:rStyle w:val="InternetLink"/>
            <w:rFonts w:ascii="Times New Roman;sans-serif" w:hAnsi="Times New Roman;sans-serif"/>
            <w:b w:val="false"/>
            <w:i/>
            <w:strike w:val="false"/>
            <w:dstrike w:val="false"/>
            <w:color w:val="0000FF"/>
            <w:sz w:val="20"/>
            <w:u w:val="none"/>
            <w:effect w:val="none"/>
          </w:rPr>
          <w:t>Note 7: Regulatory Capital.”</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73685"/>
                <wp:effectExtent l="0" t="0" r="0" b="0"/>
                <wp:wrapNone/>
                <wp:docPr id="76" name="Frame7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NON-GAAP FINANCIAL INFORMATION</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contains certain financial information determined by methods other than in accordance with GAAP. Management uses these non-GAAP financial measures and non-GAAP ratios, together with the related GAAP financial measures, in analysis of Busey’s performance and in making business decisions, as well as for comparison to Busey’s peers. We believe the adjusted measures are useful for investors and management to understand the effects of certain non-recurring noninterest items and provide additional perspective on our performance over time.</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listing of Busey's non-GAAP financial measures and ratios are shown in the table below, together with the related GAAP financial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73685"/>
                <wp:effectExtent l="0" t="0" r="0" b="0"/>
                <wp:wrapNone/>
                <wp:docPr id="77" name="Frame7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200" w:after="200"/>
        <w:jc w:val="both"/>
        <w:rPr/>
      </w:pPr>
      <w:hyperlink w:anchor="id8e9505b4b634662becfd501b907f7ad_62">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47"/>
        <w:gridCol w:w="782"/>
        <w:gridCol w:w="789"/>
        <w:gridCol w:w="109"/>
        <w:gridCol w:w="109"/>
        <w:gridCol w:w="109"/>
        <w:gridCol w:w="1302"/>
        <w:gridCol w:w="1257"/>
        <w:gridCol w:w="1261"/>
        <w:gridCol w:w="109"/>
        <w:gridCol w:w="109"/>
        <w:gridCol w:w="109"/>
        <w:gridCol w:w="955"/>
        <w:gridCol w:w="932"/>
        <w:gridCol w:w="1326"/>
      </w:tblGrid>
      <w:tr>
        <w:trPr/>
        <w:tc>
          <w:tcPr>
            <w:tcW w:w="94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Related Non-GAAP Financial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Related Non-GAAP Ratios</w:t>
            </w:r>
          </w:p>
        </w:tc>
      </w:tr>
      <w:tr>
        <w:trPr/>
        <w:tc>
          <w:tcPr>
            <w:tcW w:w="2518"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income</w:t>
              <w:br/>
              <w:t>Total noninterest income</w:t>
              <w:br/>
              <w:t>Net security gains and losses</w:t>
              <w:b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Pre-provision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Pre-provision net revenue to average assets</w:t>
            </w:r>
          </w:p>
        </w:tc>
      </w:tr>
      <w:tr>
        <w:trPr/>
        <w:tc>
          <w:tcPr>
            <w:tcW w:w="2518"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pre-provision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pre-provision net revenue to average assets</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diluted earnings per share</w:t>
            </w:r>
          </w:p>
        </w:tc>
      </w:tr>
      <w:tr>
        <w:trPr/>
        <w:tc>
          <w:tcPr>
            <w:tcW w:w="25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return on average assets</w:t>
            </w:r>
          </w:p>
        </w:tc>
      </w:tr>
      <w:tr>
        <w:trPr/>
        <w:tc>
          <w:tcPr>
            <w:tcW w:w="25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return on average tangible common equity</w:t>
            </w:r>
          </w:p>
        </w:tc>
      </w:tr>
      <w:tr>
        <w:trPr/>
        <w:tc>
          <w:tcPr>
            <w:tcW w:w="25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3" w:type="dxa"/>
            <w:gridSpan w:val="3"/>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Average tangible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Return on average tangible common equity</w:t>
            </w:r>
          </w:p>
        </w:tc>
      </w:tr>
      <w:tr>
        <w:trPr/>
        <w:tc>
          <w:tcPr>
            <w:tcW w:w="25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return on average tangible common equity</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Tax-equivalent 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margin</w:t>
            </w:r>
          </w:p>
        </w:tc>
      </w:tr>
      <w:tr>
        <w:trPr/>
        <w:tc>
          <w:tcPr>
            <w:tcW w:w="25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interest margin</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income</w:t>
              <w:br/>
              <w:t>Total noninterest income</w:t>
              <w:br/>
              <w:t>Net security gains and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Tax-equivalent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Efficiency ratio</w:t>
            </w:r>
          </w:p>
        </w:tc>
      </w:tr>
      <w:tr>
        <w:trPr/>
        <w:tc>
          <w:tcPr>
            <w:tcW w:w="25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efficiency ratio</w:t>
            </w:r>
          </w:p>
        </w:tc>
      </w:tr>
      <w:tr>
        <w:trPr/>
        <w:tc>
          <w:tcPr>
            <w:tcW w:w="25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core efficiency ratio</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noninterest expense</w:t>
              <w:b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 expense excluding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Efficiency ratio</w:t>
            </w:r>
          </w:p>
        </w:tc>
      </w:tr>
      <w:tr>
        <w:trPr/>
        <w:tc>
          <w:tcPr>
            <w:tcW w:w="25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efficiency ratio</w:t>
            </w:r>
          </w:p>
        </w:tc>
      </w:tr>
      <w:tr>
        <w:trPr/>
        <w:tc>
          <w:tcPr>
            <w:tcW w:w="25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core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core efficiency ratio</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 expense, excluding non-operating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br/>
              <w:t>Goodwill and 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Tangible common equity to tangible assets</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br/>
              <w:t>Goodwill and 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Tangible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Tangible common equity to tangible assets</w:t>
            </w:r>
          </w:p>
        </w:tc>
      </w:tr>
      <w:tr>
        <w:trPr/>
        <w:tc>
          <w:tcPr>
            <w:tcW w:w="25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Tangible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Tangible book value per common share</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Portfolio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Core loans to portfolio loans</w:t>
            </w:r>
          </w:p>
        </w:tc>
      </w:tr>
      <w:tr>
        <w:trPr/>
        <w:tc>
          <w:tcPr>
            <w:tcW w:w="25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Core loans to core deposits</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Core deposits to total deposits</w:t>
            </w:r>
          </w:p>
        </w:tc>
      </w:tr>
      <w:tr>
        <w:trPr/>
        <w:tc>
          <w:tcPr>
            <w:tcW w:w="251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3"/>
            <w:tcBorders>
              <w:top w:val="single" w:sz="4" w:space="0" w:color="6D6D6D"/>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Core loans to core deposits</w:t>
            </w:r>
          </w:p>
        </w:tc>
      </w:tr>
    </w:tbl>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non-GAAP financial measures to what management believes to be the most directly comparable GAAP financial measures appears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73685"/>
                <wp:effectExtent l="0" t="0" r="0" b="0"/>
                <wp:wrapNone/>
                <wp:docPr id="78"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200" w:after="12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(unaudited)</w:t>
      </w:r>
    </w:p>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865"/>
        <w:gridCol w:w="761"/>
        <w:gridCol w:w="763"/>
        <w:gridCol w:w="163"/>
        <w:gridCol w:w="126"/>
        <w:gridCol w:w="126"/>
        <w:gridCol w:w="278"/>
        <w:gridCol w:w="960"/>
        <w:gridCol w:w="315"/>
        <w:gridCol w:w="126"/>
        <w:gridCol w:w="126"/>
        <w:gridCol w:w="126"/>
        <w:gridCol w:w="126"/>
        <w:gridCol w:w="126"/>
        <w:gridCol w:w="278"/>
        <w:gridCol w:w="960"/>
        <w:gridCol w:w="315"/>
        <w:gridCol w:w="126"/>
        <w:gridCol w:w="126"/>
        <w:gridCol w:w="126"/>
        <w:gridCol w:w="278"/>
        <w:gridCol w:w="960"/>
        <w:gridCol w:w="315"/>
        <w:gridCol w:w="109"/>
        <w:gridCol w:w="109"/>
        <w:gridCol w:w="109"/>
        <w:gridCol w:w="219"/>
        <w:gridCol w:w="862"/>
        <w:gridCol w:w="326"/>
      </w:tblGrid>
      <w:tr>
        <w:trPr/>
        <w:tc>
          <w:tcPr>
            <w:tcW w:w="86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8471"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Pre-Provision Net Revenue, Adjusted Pre-Provision Net Revenue, </w:t>
              <w:br/>
              <w:t>Pre-Provision Net Revenue to Average Assets, and Adjusted Pre-Provision Net Revenue to Average Assets</w:t>
            </w:r>
          </w:p>
        </w:tc>
        <w:tc>
          <w:tcPr>
            <w:tcW w:w="1734" w:type="dxa"/>
            <w:gridSpan w:val="6"/>
            <w:tcBorders/>
          </w:tcPr>
          <w:p>
            <w:pPr>
              <w:pStyle w:val="TableContents"/>
              <w:bidi w:val="0"/>
              <w:spacing w:before="0" w:after="283"/>
              <w:jc w:val="left"/>
              <w:rPr>
                <w:sz w:val="4"/>
                <w:szCs w:val="4"/>
              </w:rPr>
            </w:pPr>
            <w:r>
              <w:rPr>
                <w:sz w:val="4"/>
                <w:szCs w:val="4"/>
              </w:rPr>
            </w:r>
          </w:p>
        </w:tc>
      </w:tr>
      <w:tr>
        <w:trPr/>
        <w:tc>
          <w:tcPr>
            <w:tcW w:w="8471"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734" w:type="dxa"/>
            <w:gridSpan w:val="6"/>
            <w:tcBorders/>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7"/>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9"/>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734" w:type="dxa"/>
            <w:gridSpan w:val="6"/>
            <w:tcBorders/>
          </w:tcPr>
          <w:p>
            <w:pPr>
              <w:pStyle w:val="TableContents"/>
              <w:bidi w:val="0"/>
              <w:spacing w:before="0" w:after="283"/>
              <w:jc w:val="left"/>
              <w:rPr>
                <w:sz w:val="4"/>
                <w:szCs w:val="4"/>
              </w:rPr>
            </w:pPr>
            <w:r>
              <w:rPr>
                <w:sz w:val="4"/>
                <w:szCs w:val="4"/>
              </w:rPr>
            </w:r>
          </w:p>
        </w:tc>
      </w:tr>
      <w:tr>
        <w:trPr/>
        <w:tc>
          <w:tcPr>
            <w:tcW w:w="2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PRE-PROVISION NET REVENUE </w:t>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noninterest income</w:t>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66,791 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security (gains) losses</w:t>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noninterest expense</w:t>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(69,205)</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(69,092)</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(139,608)</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(139,468)</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Pre-provision net revenue</w:t>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39,536 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39,569 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87,454 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75,635 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other restructuring expenses</w:t>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unfunded commitments</w:t>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New Markets Tax Credits</w:t>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pre-provision net revenue</w:t>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42,072 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41,267 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91,576 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80,621 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Pre-provision net revenue, annualized</w:t>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158,578 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158,711 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176,358 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152,524 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pre-provision net revenue, annualized</w:t>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168,750 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165,521 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184,670 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162,578 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total assets</w:t>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12,209,865 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12,452,070 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12,236,643 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12,555,928 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Reported: </w:t>
            </w:r>
            <w:r>
              <w:rPr>
                <w:rFonts w:ascii="Times New Roman;sans-serif" w:hAnsi="Times New Roman;sans-serif"/>
                <w:b w:val="false"/>
                <w:color w:val="000000"/>
                <w:sz w:val="20"/>
              </w:rPr>
              <w:t>Pre-provision net revenue to average assets</w:t>
            </w:r>
            <w:r>
              <w:rPr>
                <w:rFonts w:ascii="Times New Roman;sans-serif" w:hAnsi="Times New Roman;sans-serif"/>
                <w:b w:val="false"/>
                <w:color w:val="000000"/>
                <w:sz w:val="13"/>
              </w:rPr>
              <w:t>1</w:t>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Adjusted:</w:t>
            </w:r>
            <w:r>
              <w:rPr>
                <w:color w:val="000000"/>
              </w:rPr>
              <w:t xml:space="preserve"> </w:t>
            </w:r>
            <w:r>
              <w:rPr>
                <w:rFonts w:ascii="Times New Roman;sans-serif" w:hAnsi="Times New Roman;sans-serif"/>
                <w:b w:val="false"/>
                <w:color w:val="000000"/>
                <w:sz w:val="20"/>
              </w:rPr>
              <w:t>Pre-provision net revenue to average assets</w:t>
            </w:r>
            <w:r>
              <w:rPr>
                <w:rFonts w:ascii="Times New Roman;sans-serif" w:hAnsi="Times New Roman;sans-serif"/>
                <w:b w:val="false"/>
                <w:color w:val="000000"/>
                <w:sz w:val="13"/>
              </w:rPr>
              <w:t>1</w:t>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[b÷c]</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1.Annualized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73685"/>
                <wp:effectExtent l="0" t="0" r="0" b="0"/>
                <wp:wrapNone/>
                <wp:docPr id="79"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200" w:after="12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(unaudited)</w:t>
      </w:r>
    </w:p>
    <w:tbl>
      <w:tblPr>
        <w:tblW w:w="10205" w:type="dxa"/>
        <w:jc w:val="center"/>
        <w:tblInd w:w="0" w:type="dxa"/>
        <w:tblLayout w:type="fixed"/>
        <w:tblCellMar>
          <w:top w:w="28" w:type="dxa"/>
          <w:left w:w="28" w:type="dxa"/>
          <w:bottom w:w="28" w:type="dxa"/>
          <w:right w:w="28" w:type="dxa"/>
        </w:tblCellMar>
      </w:tblPr>
      <w:tblGrid>
        <w:gridCol w:w="715"/>
        <w:gridCol w:w="628"/>
        <w:gridCol w:w="629"/>
        <w:gridCol w:w="170"/>
        <w:gridCol w:w="124"/>
        <w:gridCol w:w="124"/>
        <w:gridCol w:w="240"/>
        <w:gridCol w:w="1112"/>
        <w:gridCol w:w="309"/>
        <w:gridCol w:w="124"/>
        <w:gridCol w:w="124"/>
        <w:gridCol w:w="124"/>
        <w:gridCol w:w="124"/>
        <w:gridCol w:w="124"/>
        <w:gridCol w:w="240"/>
        <w:gridCol w:w="1112"/>
        <w:gridCol w:w="309"/>
        <w:gridCol w:w="124"/>
        <w:gridCol w:w="124"/>
        <w:gridCol w:w="124"/>
        <w:gridCol w:w="240"/>
        <w:gridCol w:w="1112"/>
        <w:gridCol w:w="309"/>
        <w:gridCol w:w="109"/>
        <w:gridCol w:w="109"/>
        <w:gridCol w:w="109"/>
        <w:gridCol w:w="211"/>
        <w:gridCol w:w="976"/>
        <w:gridCol w:w="326"/>
      </w:tblGrid>
      <w:tr>
        <w:trPr/>
        <w:tc>
          <w:tcPr>
            <w:tcW w:w="7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8365"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Adjusted Net Income, Adjusted Diluted Earnings Per Share, Adjusted Return on Average Assets, Average Tangible Common Equity, Return on Average Tangible Common Equity, and Adjusted Return on Average Tangible Common Equity</w:t>
            </w:r>
          </w:p>
        </w:tc>
        <w:tc>
          <w:tcPr>
            <w:tcW w:w="1840" w:type="dxa"/>
            <w:gridSpan w:val="6"/>
            <w:tcBorders/>
          </w:tcPr>
          <w:p>
            <w:pPr>
              <w:pStyle w:val="TableContents"/>
              <w:bidi w:val="0"/>
              <w:spacing w:before="0" w:after="283"/>
              <w:jc w:val="left"/>
              <w:rPr>
                <w:sz w:val="4"/>
                <w:szCs w:val="4"/>
              </w:rPr>
            </w:pPr>
            <w:r>
              <w:rPr>
                <w:sz w:val="4"/>
                <w:szCs w:val="4"/>
              </w:rPr>
            </w:r>
          </w:p>
        </w:tc>
      </w:tr>
      <w:tr>
        <w:trPr/>
        <w:tc>
          <w:tcPr>
            <w:tcW w:w="8365"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 except per share amounts)</w:t>
            </w:r>
          </w:p>
        </w:tc>
        <w:tc>
          <w:tcPr>
            <w:tcW w:w="1840" w:type="dxa"/>
            <w:gridSpan w:val="6"/>
            <w:tcBorders/>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7"/>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4" w:type="dxa"/>
            <w:gridSpan w:val="9"/>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840" w:type="dxa"/>
            <w:gridSpan w:val="6"/>
            <w:tcBorders/>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ADJUSTED FOR NON-OPERATING ITEMS</w:t>
            </w:r>
          </w:p>
        </w:tc>
        <w:tc>
          <w:tcPr>
            <w:tcW w:w="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41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40"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expenses:</w:t>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wages, and employee benefits</w:t>
            </w:r>
          </w:p>
        </w:tc>
        <w:tc>
          <w:tcPr>
            <w:tcW w:w="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processing</w:t>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41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 occupancy, and other</w:t>
            </w:r>
          </w:p>
        </w:tc>
        <w:tc>
          <w:tcPr>
            <w:tcW w:w="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restructuring expenses:</w:t>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41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41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leases or fixed asset impairment</w:t>
            </w:r>
          </w:p>
        </w:tc>
        <w:tc>
          <w:tcPr>
            <w:tcW w:w="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41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41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benefit</w:t>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418"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41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29,373 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30,081 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66,159 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59,185 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average common shares outstanding</w:t>
            </w:r>
          </w:p>
        </w:tc>
        <w:tc>
          <w:tcPr>
            <w:tcW w:w="41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56,195,801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56,104,017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56,187,820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56,149,466</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Reported: </w:t>
            </w:r>
            <w:r>
              <w:rPr>
                <w:rFonts w:ascii="Times New Roman;sans-serif" w:hAnsi="Times New Roman;sans-serif"/>
                <w:b w:val="false"/>
                <w:color w:val="000000"/>
                <w:sz w:val="20"/>
              </w:rPr>
              <w:t>Diluted earnings per share</w:t>
            </w:r>
          </w:p>
        </w:tc>
        <w:tc>
          <w:tcPr>
            <w:tcW w:w="41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w:t>
            </w:r>
          </w:p>
        </w:tc>
        <w:tc>
          <w:tcPr>
            <w:tcW w:w="240"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Adjusted: </w:t>
            </w:r>
            <w:r>
              <w:rPr>
                <w:rFonts w:ascii="Times New Roman;sans-serif" w:hAnsi="Times New Roman;sans-serif"/>
                <w:b w:val="false"/>
                <w:color w:val="000000"/>
                <w:sz w:val="20"/>
              </w:rPr>
              <w:t>Diluted earnings per share</w:t>
            </w:r>
          </w:p>
        </w:tc>
        <w:tc>
          <w:tcPr>
            <w:tcW w:w="41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w:t>
            </w:r>
          </w:p>
        </w:tc>
        <w:tc>
          <w:tcPr>
            <w:tcW w:w="240"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RETURN ON AVERAGE ASSETS</w:t>
            </w:r>
          </w:p>
        </w:tc>
        <w:tc>
          <w:tcPr>
            <w:tcW w:w="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annualized</w:t>
            </w:r>
          </w:p>
        </w:tc>
        <w:tc>
          <w:tcPr>
            <w:tcW w:w="41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240"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119,624 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133,396 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117,492 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annualized</w:t>
            </w:r>
          </w:p>
        </w:tc>
        <w:tc>
          <w:tcPr>
            <w:tcW w:w="41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117,815 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120,655 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133,415 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119,351 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total assets</w:t>
            </w:r>
          </w:p>
        </w:tc>
        <w:tc>
          <w:tcPr>
            <w:tcW w:w="41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12,209,865 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12,452,070 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12,236,643 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12,555,928 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Reported:</w:t>
            </w:r>
            <w:r>
              <w:rPr>
                <w:color w:val="000000"/>
              </w:rPr>
              <w:t xml:space="preserve"> </w:t>
            </w:r>
            <w:r>
              <w:rPr>
                <w:rFonts w:ascii="Times New Roman;sans-serif" w:hAnsi="Times New Roman;sans-serif"/>
                <w:b w:val="false"/>
                <w:color w:val="000000"/>
                <w:sz w:val="20"/>
              </w:rPr>
              <w:t>Return on average assets</w:t>
            </w:r>
            <w:r>
              <w:rPr>
                <w:rFonts w:ascii="Times New Roman;sans-serif" w:hAnsi="Times New Roman;sans-serif"/>
                <w:b w:val="false"/>
                <w:color w:val="000000"/>
                <w:sz w:val="13"/>
              </w:rPr>
              <w:t>1</w:t>
            </w:r>
          </w:p>
        </w:tc>
        <w:tc>
          <w:tcPr>
            <w:tcW w:w="41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309"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309"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09"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326"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Adjusted:</w:t>
            </w:r>
            <w:r>
              <w:rPr>
                <w:color w:val="000000"/>
              </w:rPr>
              <w:t xml:space="preserve"> </w:t>
            </w:r>
            <w:r>
              <w:rPr>
                <w:rFonts w:ascii="Times New Roman;sans-serif" w:hAnsi="Times New Roman;sans-serif"/>
                <w:b w:val="false"/>
                <w:color w:val="000000"/>
                <w:sz w:val="20"/>
              </w:rPr>
              <w:t>Return on average assets</w:t>
            </w:r>
            <w:r>
              <w:rPr>
                <w:rFonts w:ascii="Times New Roman;sans-serif" w:hAnsi="Times New Roman;sans-serif"/>
                <w:b w:val="false"/>
                <w:color w:val="000000"/>
                <w:sz w:val="13"/>
              </w:rPr>
              <w:t>1</w:t>
            </w:r>
          </w:p>
        </w:tc>
        <w:tc>
          <w:tcPr>
            <w:tcW w:w="41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309"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309"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309"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0.95 </w:t>
            </w:r>
          </w:p>
        </w:tc>
        <w:tc>
          <w:tcPr>
            <w:tcW w:w="32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RETURN ON AVERAGE TANGIBLE COMMON EQUITY</w:t>
            </w:r>
          </w:p>
        </w:tc>
        <w:tc>
          <w:tcPr>
            <w:tcW w:w="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equity</w:t>
            </w:r>
          </w:p>
        </w:tc>
        <w:tc>
          <w:tcPr>
            <w:tcW w:w="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1,207,935 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1,197,052 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1,189,479 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1,239,060 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goodwill and other intangible assets, net</w:t>
            </w:r>
          </w:p>
        </w:tc>
        <w:tc>
          <w:tcPr>
            <w:tcW w:w="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(360,641)</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(371,890)</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(361,990)</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(373,342)</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tangible common equity</w:t>
            </w:r>
          </w:p>
        </w:tc>
        <w:tc>
          <w:tcPr>
            <w:tcW w:w="41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847,294 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825,162 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827,489 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865,718 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color w:val="000000"/>
                <w:sz w:val="20"/>
              </w:rPr>
              <w:t xml:space="preserve">Reported: </w:t>
            </w:r>
            <w:r>
              <w:rPr>
                <w:rFonts w:ascii="Times New Roman;sans-serif" w:hAnsi="Times New Roman;sans-serif"/>
                <w:b w:val="false"/>
                <w:color w:val="000000"/>
                <w:sz w:val="20"/>
              </w:rPr>
              <w:t>Return on average tangible common equity</w:t>
            </w:r>
            <w:r>
              <w:rPr>
                <w:rFonts w:ascii="Times New Roman;sans-serif" w:hAnsi="Times New Roman;sans-serif"/>
                <w:b w:val="false"/>
                <w:color w:val="000000"/>
                <w:sz w:val="13"/>
              </w:rPr>
              <w:t>1</w:t>
            </w:r>
          </w:p>
        </w:tc>
        <w:tc>
          <w:tcPr>
            <w:tcW w:w="41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[d÷g]</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309"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309"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309"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326"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color w:val="000000"/>
                <w:sz w:val="20"/>
              </w:rPr>
              <w:t>Adjusted:</w:t>
            </w:r>
            <w:r>
              <w:rPr>
                <w:color w:val="000000"/>
              </w:rPr>
              <w:t xml:space="preserve"> </w:t>
            </w:r>
            <w:r>
              <w:rPr>
                <w:rFonts w:ascii="Times New Roman;sans-serif" w:hAnsi="Times New Roman;sans-serif"/>
                <w:b w:val="false"/>
                <w:color w:val="000000"/>
                <w:sz w:val="20"/>
              </w:rPr>
              <w:t>Return on average tangible common equity</w:t>
            </w:r>
            <w:r>
              <w:rPr>
                <w:rFonts w:ascii="Times New Roman;sans-serif" w:hAnsi="Times New Roman;sans-serif"/>
                <w:b w:val="false"/>
                <w:color w:val="000000"/>
                <w:sz w:val="13"/>
              </w:rPr>
              <w:t>1</w:t>
            </w:r>
          </w:p>
        </w:tc>
        <w:tc>
          <w:tcPr>
            <w:tcW w:w="41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[e÷g]</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13.90 </w:t>
            </w:r>
          </w:p>
        </w:tc>
        <w:tc>
          <w:tcPr>
            <w:tcW w:w="309"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14.62 </w:t>
            </w:r>
          </w:p>
        </w:tc>
        <w:tc>
          <w:tcPr>
            <w:tcW w:w="309"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309"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13.79 </w:t>
            </w:r>
          </w:p>
        </w:tc>
        <w:tc>
          <w:tcPr>
            <w:tcW w:w="32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1.Annualized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73685"/>
                <wp:effectExtent l="0" t="0" r="0" b="0"/>
                <wp:wrapNone/>
                <wp:docPr id="80"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200" w:after="12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(unaudited)</w:t>
      </w:r>
    </w:p>
    <w:tbl>
      <w:tblPr>
        <w:tblW w:w="10205" w:type="dxa"/>
        <w:jc w:val="left"/>
        <w:tblInd w:w="0" w:type="dxa"/>
        <w:tblLayout w:type="fixed"/>
        <w:tblCellMar>
          <w:top w:w="28" w:type="dxa"/>
          <w:left w:w="28" w:type="dxa"/>
          <w:bottom w:w="28" w:type="dxa"/>
          <w:right w:w="28" w:type="dxa"/>
        </w:tblCellMar>
      </w:tblPr>
      <w:tblGrid>
        <w:gridCol w:w="1237"/>
        <w:gridCol w:w="881"/>
        <w:gridCol w:w="811"/>
        <w:gridCol w:w="150"/>
        <w:gridCol w:w="141"/>
        <w:gridCol w:w="142"/>
        <w:gridCol w:w="262"/>
        <w:gridCol w:w="923"/>
        <w:gridCol w:w="302"/>
        <w:gridCol w:w="121"/>
        <w:gridCol w:w="121"/>
        <w:gridCol w:w="121"/>
        <w:gridCol w:w="121"/>
        <w:gridCol w:w="109"/>
        <w:gridCol w:w="219"/>
        <w:gridCol w:w="862"/>
        <w:gridCol w:w="271"/>
        <w:gridCol w:w="109"/>
        <w:gridCol w:w="109"/>
        <w:gridCol w:w="109"/>
        <w:gridCol w:w="219"/>
        <w:gridCol w:w="862"/>
        <w:gridCol w:w="271"/>
        <w:gridCol w:w="109"/>
        <w:gridCol w:w="109"/>
        <w:gridCol w:w="109"/>
        <w:gridCol w:w="219"/>
        <w:gridCol w:w="862"/>
        <w:gridCol w:w="324"/>
      </w:tblGrid>
      <w:tr>
        <w:trPr/>
        <w:tc>
          <w:tcPr>
            <w:tcW w:w="12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8473"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Adjusted Net Interest Income and Adjusted Net Interest Margin</w:t>
            </w:r>
          </w:p>
        </w:tc>
        <w:tc>
          <w:tcPr>
            <w:tcW w:w="1732" w:type="dxa"/>
            <w:gridSpan w:val="6"/>
            <w:tcBorders/>
          </w:tcPr>
          <w:p>
            <w:pPr>
              <w:pStyle w:val="TableContents"/>
              <w:bidi w:val="0"/>
              <w:spacing w:before="0" w:after="283"/>
              <w:jc w:val="left"/>
              <w:rPr>
                <w:sz w:val="4"/>
                <w:szCs w:val="4"/>
              </w:rPr>
            </w:pPr>
            <w:r>
              <w:rPr>
                <w:sz w:val="4"/>
                <w:szCs w:val="4"/>
              </w:rPr>
            </w:r>
          </w:p>
        </w:tc>
      </w:tr>
      <w:tr>
        <w:trPr/>
        <w:tc>
          <w:tcPr>
            <w:tcW w:w="8473"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732" w:type="dxa"/>
            <w:gridSpan w:val="6"/>
            <w:tcBorders/>
          </w:tcPr>
          <w:p>
            <w:pPr>
              <w:pStyle w:val="TableContents"/>
              <w:bidi w:val="0"/>
              <w:spacing w:before="0" w:after="283"/>
              <w:jc w:val="left"/>
              <w:rPr>
                <w:sz w:val="4"/>
                <w:szCs w:val="4"/>
              </w:rPr>
            </w:pPr>
            <w:r>
              <w:rPr>
                <w:sz w:val="4"/>
                <w:szCs w:val="4"/>
              </w:rPr>
            </w:r>
          </w:p>
        </w:tc>
      </w:tr>
      <w:tr>
        <w:trPr/>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7"/>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732" w:type="dxa"/>
            <w:gridSpan w:val="6"/>
            <w:tcBorders/>
          </w:tcPr>
          <w:p>
            <w:pPr>
              <w:pStyle w:val="TableContents"/>
              <w:bidi w:val="0"/>
              <w:spacing w:before="0" w:after="283"/>
              <w:jc w:val="left"/>
              <w:rPr>
                <w:sz w:val="4"/>
                <w:szCs w:val="4"/>
              </w:rPr>
            </w:pPr>
            <w:r>
              <w:rPr>
                <w:sz w:val="4"/>
                <w:szCs w:val="4"/>
              </w:rPr>
            </w:r>
          </w:p>
        </w:tc>
      </w:tr>
      <w:tr>
        <w:trPr/>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145,984 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adjustment</w:t>
            </w:r>
          </w:p>
        </w:tc>
        <w:tc>
          <w:tcPr>
            <w:tcW w:w="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net interest income</w:t>
            </w:r>
          </w:p>
        </w:tc>
        <w:tc>
          <w:tcPr>
            <w:tcW w:w="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79,231 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147,076 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accounting accretion related to business combinations</w:t>
            </w:r>
          </w:p>
        </w:tc>
        <w:tc>
          <w:tcPr>
            <w:tcW w:w="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interest income</w:t>
            </w:r>
          </w:p>
        </w:tc>
        <w:tc>
          <w:tcPr>
            <w:tcW w:w="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78,818 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145,318 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net interest income, annualized</w:t>
            </w:r>
          </w:p>
        </w:tc>
        <w:tc>
          <w:tcPr>
            <w:tcW w:w="433"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62"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317,795 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296,590 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interest income, annualized</w:t>
            </w:r>
          </w:p>
        </w:tc>
        <w:tc>
          <w:tcPr>
            <w:tcW w:w="433"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316,138 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293,045 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interest-earning assets</w:t>
            </w:r>
          </w:p>
        </w:tc>
        <w:tc>
          <w:tcPr>
            <w:tcW w:w="433"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11,130,298 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11,453,198 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11,155,291 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11,577,879 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Reported:</w:t>
            </w:r>
            <w:r>
              <w:rPr>
                <w:color w:val="000000"/>
              </w:rPr>
              <w:t xml:space="preserve"> </w:t>
            </w:r>
            <w:r>
              <w:rPr>
                <w:rFonts w:ascii="Times New Roman;sans-serif" w:hAnsi="Times New Roman;sans-serif"/>
                <w:b w:val="false"/>
                <w:color w:val="000000"/>
                <w:sz w:val="20"/>
              </w:rPr>
              <w:t>Net interest margin</w:t>
            </w:r>
            <w:r>
              <w:rPr>
                <w:rFonts w:ascii="Times New Roman;sans-serif" w:hAnsi="Times New Roman;sans-serif"/>
                <w:b w:val="false"/>
                <w:color w:val="000000"/>
                <w:sz w:val="13"/>
              </w:rPr>
              <w:t>1</w:t>
            </w:r>
          </w:p>
        </w:tc>
        <w:tc>
          <w:tcPr>
            <w:tcW w:w="433"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302"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71"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71"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324"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Adjusted:</w:t>
            </w:r>
            <w:r>
              <w:rPr>
                <w:color w:val="000000"/>
              </w:rPr>
              <w:t xml:space="preserve"> </w:t>
            </w:r>
            <w:r>
              <w:rPr>
                <w:rFonts w:ascii="Times New Roman;sans-serif" w:hAnsi="Times New Roman;sans-serif"/>
                <w:b w:val="false"/>
                <w:color w:val="000000"/>
                <w:sz w:val="20"/>
              </w:rPr>
              <w:t>Net interest margin</w:t>
            </w:r>
            <w:r>
              <w:rPr>
                <w:rFonts w:ascii="Times New Roman;sans-serif" w:hAnsi="Times New Roman;sans-serif"/>
                <w:b w:val="false"/>
                <w:color w:val="000000"/>
                <w:sz w:val="13"/>
              </w:rPr>
              <w:t>1</w:t>
            </w:r>
          </w:p>
        </w:tc>
        <w:tc>
          <w:tcPr>
            <w:tcW w:w="433"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[b÷c]</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302"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71"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1"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324"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1.Annualized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73685"/>
                <wp:effectExtent l="0" t="0" r="0" b="0"/>
                <wp:wrapNone/>
                <wp:docPr id="81"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200" w:after="12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(unaudited)</w:t>
      </w:r>
    </w:p>
    <w:tbl>
      <w:tblPr>
        <w:tblW w:w="10205" w:type="dxa"/>
        <w:jc w:val="center"/>
        <w:tblInd w:w="0" w:type="dxa"/>
        <w:tblLayout w:type="fixed"/>
        <w:tblCellMar>
          <w:top w:w="28" w:type="dxa"/>
          <w:left w:w="28" w:type="dxa"/>
          <w:bottom w:w="28" w:type="dxa"/>
          <w:right w:w="28" w:type="dxa"/>
        </w:tblCellMar>
      </w:tblPr>
      <w:tblGrid>
        <w:gridCol w:w="1092"/>
        <w:gridCol w:w="738"/>
        <w:gridCol w:w="655"/>
        <w:gridCol w:w="167"/>
        <w:gridCol w:w="131"/>
        <w:gridCol w:w="130"/>
        <w:gridCol w:w="245"/>
        <w:gridCol w:w="966"/>
        <w:gridCol w:w="316"/>
        <w:gridCol w:w="127"/>
        <w:gridCol w:w="127"/>
        <w:gridCol w:w="127"/>
        <w:gridCol w:w="127"/>
        <w:gridCol w:w="127"/>
        <w:gridCol w:w="245"/>
        <w:gridCol w:w="966"/>
        <w:gridCol w:w="316"/>
        <w:gridCol w:w="127"/>
        <w:gridCol w:w="127"/>
        <w:gridCol w:w="127"/>
        <w:gridCol w:w="245"/>
        <w:gridCol w:w="966"/>
        <w:gridCol w:w="323"/>
        <w:gridCol w:w="109"/>
        <w:gridCol w:w="109"/>
        <w:gridCol w:w="109"/>
        <w:gridCol w:w="211"/>
        <w:gridCol w:w="826"/>
        <w:gridCol w:w="324"/>
      </w:tblGrid>
      <w:tr>
        <w:trPr/>
        <w:tc>
          <w:tcPr>
            <w:tcW w:w="109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8517"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Noninterest Expense Excluding Amortization of Intangible Assets, Adjusted Noninterest Expense,</w:t>
              <w:br/>
              <w:t xml:space="preserve">Adjusted Core Expense, Noninterest Expense Excluding Non-operating Adjustments, </w:t>
              <w:br/>
              <w:t>Efficiency Ratio, Adjusted Efficiency Ratio, and Adjusted Core Efficiency Ratio</w:t>
            </w:r>
          </w:p>
        </w:tc>
        <w:tc>
          <w:tcPr>
            <w:tcW w:w="1688" w:type="dxa"/>
            <w:gridSpan w:val="6"/>
            <w:tcBorders/>
          </w:tcPr>
          <w:p>
            <w:pPr>
              <w:pStyle w:val="TableContents"/>
              <w:bidi w:val="0"/>
              <w:spacing w:before="0" w:after="283"/>
              <w:jc w:val="left"/>
              <w:rPr>
                <w:sz w:val="4"/>
                <w:szCs w:val="4"/>
              </w:rPr>
            </w:pPr>
            <w:r>
              <w:rPr>
                <w:sz w:val="4"/>
                <w:szCs w:val="4"/>
              </w:rPr>
            </w:r>
          </w:p>
        </w:tc>
      </w:tr>
      <w:tr>
        <w:trPr/>
        <w:tc>
          <w:tcPr>
            <w:tcW w:w="8517"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688" w:type="dxa"/>
            <w:gridSpan w:val="6"/>
            <w:tcBorders/>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7"/>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9"/>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688" w:type="dxa"/>
            <w:gridSpan w:val="6"/>
            <w:tcBorders/>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75,928 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164,527 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145,984 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adjustment</w:t>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net interest income</w:t>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165,646 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147,076 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noninterest income</w:t>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59,860 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66,791 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security (gains) losses</w:t>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 excluding net securities gains and losses</w:t>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62,535 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69,119 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Tax-equivalent revenue</w:t>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45"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109,302 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228,181 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216,195 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noninterest expense</w:t>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139,608 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139,468 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 excluding amortization of intangible assets</w:t>
            </w:r>
          </w:p>
        </w:tc>
        <w:tc>
          <w:tcPr>
            <w:tcW w:w="42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66,536 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134,210 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133,506 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adjustments:</w:t>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wages, and employee benefits</w:t>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processing</w:t>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or fixed asset impairment</w:t>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 and other</w:t>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noninterest expense</w:t>
            </w:r>
          </w:p>
        </w:tc>
        <w:tc>
          <w:tcPr>
            <w:tcW w:w="42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65,838 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134,198 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132,368 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unfunded commitments</w:t>
            </w:r>
          </w:p>
        </w:tc>
        <w:tc>
          <w:tcPr>
            <w:tcW w:w="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New Markets Tax Credits</w:t>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core expense</w:t>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130,088 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128,520 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 excluding non-operating adjustments</w:t>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[f-b]</w:t>
            </w:r>
          </w:p>
        </w:tc>
        <w:tc>
          <w:tcPr>
            <w:tcW w:w="245"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139,596 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138,330 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Reported: </w:t>
            </w:r>
            <w:r>
              <w:rPr>
                <w:rFonts w:ascii="Times New Roman;sans-serif" w:hAnsi="Times New Roman;sans-serif"/>
                <w:b w:val="false"/>
                <w:color w:val="000000"/>
                <w:sz w:val="20"/>
              </w:rPr>
              <w:t>Efficiency ratio</w:t>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60.87 </w:t>
            </w:r>
          </w:p>
        </w:tc>
        <w:tc>
          <w:tcPr>
            <w:tcW w:w="31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60.56 </w:t>
            </w:r>
          </w:p>
        </w:tc>
        <w:tc>
          <w:tcPr>
            <w:tcW w:w="31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58.82 </w:t>
            </w:r>
          </w:p>
        </w:tc>
        <w:tc>
          <w:tcPr>
            <w:tcW w:w="323"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61.75 </w:t>
            </w:r>
          </w:p>
        </w:tc>
        <w:tc>
          <w:tcPr>
            <w:tcW w:w="324"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Adjusted: </w:t>
            </w:r>
            <w:r>
              <w:rPr>
                <w:rFonts w:ascii="Times New Roman;sans-serif" w:hAnsi="Times New Roman;sans-serif"/>
                <w:b w:val="false"/>
                <w:color w:val="000000"/>
                <w:sz w:val="20"/>
              </w:rPr>
              <w:t>Efficiency ratio</w:t>
            </w:r>
          </w:p>
        </w:tc>
        <w:tc>
          <w:tcPr>
            <w:tcW w:w="42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60.86 </w:t>
            </w:r>
          </w:p>
        </w:tc>
        <w:tc>
          <w:tcPr>
            <w:tcW w:w="316"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60.29 </w:t>
            </w:r>
          </w:p>
        </w:tc>
        <w:tc>
          <w:tcPr>
            <w:tcW w:w="316"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58.81 </w:t>
            </w:r>
          </w:p>
        </w:tc>
        <w:tc>
          <w:tcPr>
            <w:tcW w:w="323"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61.23 </w:t>
            </w:r>
          </w:p>
        </w:tc>
        <w:tc>
          <w:tcPr>
            <w:tcW w:w="324"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Adjusted:</w:t>
            </w:r>
            <w:r>
              <w:rPr>
                <w:color w:val="000000"/>
              </w:rPr>
              <w:t xml:space="preserve"> </w:t>
            </w:r>
            <w:r>
              <w:rPr>
                <w:rFonts w:ascii="Times New Roman;sans-serif" w:hAnsi="Times New Roman;sans-serif"/>
                <w:b w:val="false"/>
                <w:color w:val="000000"/>
                <w:sz w:val="20"/>
              </w:rPr>
              <w:t>Core efficiency ratio</w:t>
            </w:r>
          </w:p>
        </w:tc>
        <w:tc>
          <w:tcPr>
            <w:tcW w:w="42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58.55 </w:t>
            </w:r>
          </w:p>
        </w:tc>
        <w:tc>
          <w:tcPr>
            <w:tcW w:w="31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59.01 </w:t>
            </w:r>
          </w:p>
        </w:tc>
        <w:tc>
          <w:tcPr>
            <w:tcW w:w="316"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57.01 </w:t>
            </w:r>
          </w:p>
        </w:tc>
        <w:tc>
          <w:tcPr>
            <w:tcW w:w="323"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59.45 </w:t>
            </w:r>
          </w:p>
        </w:tc>
        <w:tc>
          <w:tcPr>
            <w:tcW w:w="324" w:type="dxa"/>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3685"/>
                <wp:effectExtent l="0" t="0" r="0" b="0"/>
                <wp:wrapNone/>
                <wp:docPr id="82"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200" w:after="12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(unaudited)</w:t>
      </w:r>
    </w:p>
    <w:tbl>
      <w:tblPr>
        <w:tblW w:w="9121" w:type="dxa"/>
        <w:jc w:val="center"/>
        <w:tblInd w:w="0" w:type="dxa"/>
        <w:tblLayout w:type="fixed"/>
        <w:tblCellMar>
          <w:top w:w="28" w:type="dxa"/>
          <w:left w:w="28" w:type="dxa"/>
          <w:bottom w:w="28" w:type="dxa"/>
          <w:right w:w="28" w:type="dxa"/>
        </w:tblCellMar>
      </w:tblPr>
      <w:tblGrid>
        <w:gridCol w:w="1417"/>
        <w:gridCol w:w="1240"/>
        <w:gridCol w:w="1243"/>
        <w:gridCol w:w="335"/>
        <w:gridCol w:w="335"/>
        <w:gridCol w:w="335"/>
        <w:gridCol w:w="652"/>
        <w:gridCol w:w="465"/>
        <w:gridCol w:w="466"/>
        <w:gridCol w:w="335"/>
        <w:gridCol w:w="335"/>
        <w:gridCol w:w="335"/>
        <w:gridCol w:w="652"/>
        <w:gridCol w:w="387"/>
        <w:gridCol w:w="589"/>
      </w:tblGrid>
      <w:tr>
        <w:trPr/>
        <w:tc>
          <w:tcPr>
            <w:tcW w:w="1417"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912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Tangible Book Value and Tangible Book Value Per Common Share</w:t>
            </w:r>
          </w:p>
        </w:tc>
      </w:tr>
      <w:tr>
        <w:trPr/>
        <w:tc>
          <w:tcPr>
            <w:tcW w:w="912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 except per share amounts)</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9"/>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1,201,948</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1,145,977</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 net</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(358,898)</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(364,296)</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book value</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843,050</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781,681</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number of common shares outstanding</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55,290,847</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55,279,124</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book value per common share</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w:t>
            </w:r>
          </w:p>
        </w:tc>
        <w:tc>
          <w:tcPr>
            <w:tcW w:w="652"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510" w:type="dxa"/>
        <w:jc w:val="left"/>
        <w:tblInd w:w="0" w:type="dxa"/>
        <w:tblLayout w:type="fixed"/>
        <w:tblCellMar>
          <w:top w:w="28" w:type="dxa"/>
          <w:left w:w="28" w:type="dxa"/>
          <w:bottom w:w="28" w:type="dxa"/>
          <w:right w:w="28" w:type="dxa"/>
        </w:tblCellMar>
      </w:tblPr>
      <w:tblGrid>
        <w:gridCol w:w="1337"/>
        <w:gridCol w:w="1176"/>
        <w:gridCol w:w="1176"/>
        <w:gridCol w:w="375"/>
        <w:gridCol w:w="375"/>
        <w:gridCol w:w="375"/>
        <w:gridCol w:w="727"/>
        <w:gridCol w:w="518"/>
        <w:gridCol w:w="518"/>
        <w:gridCol w:w="375"/>
        <w:gridCol w:w="375"/>
        <w:gridCol w:w="375"/>
        <w:gridCol w:w="727"/>
        <w:gridCol w:w="441"/>
        <w:gridCol w:w="640"/>
      </w:tblGrid>
      <w:tr>
        <w:trPr/>
        <w:tc>
          <w:tcPr>
            <w:tcW w:w="133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95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Tangible Common Equity and Tangible Common Equity to Tangible Assets</w:t>
            </w:r>
          </w:p>
        </w:tc>
      </w:tr>
      <w:tr>
        <w:trPr/>
        <w:tc>
          <w:tcPr>
            <w:tcW w:w="95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9"/>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12,209,029</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12,336,677</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 net</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(358,898)</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(364,296)</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Tax effect of other intangible assets</w:t>
            </w:r>
            <w:r>
              <w:rPr>
                <w:rFonts w:ascii="Times New Roman;sans-serif" w:hAnsi="Times New Roman;sans-serif"/>
                <w:b w:val="false"/>
                <w:color w:val="000000"/>
                <w:sz w:val="13"/>
              </w:rPr>
              <w:t>1</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assets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11,857,964</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11,981,228</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1,201,948</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1,145,977</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 net</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(358,898)</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(364,296)</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Tax effect of other intangible assets</w:t>
            </w:r>
            <w:r>
              <w:rPr>
                <w:rFonts w:ascii="Times New Roman;sans-serif" w:hAnsi="Times New Roman;sans-serif"/>
                <w:b w:val="false"/>
                <w:color w:val="000000"/>
                <w:sz w:val="13"/>
              </w:rPr>
              <w:t>1</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common equity</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850,883</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790,528</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Tangible common equity to tangible assets</w:t>
            </w:r>
            <w:r>
              <w:rPr>
                <w:rFonts w:ascii="Times New Roman;sans-serif" w:hAnsi="Times New Roman;sans-serif"/>
                <w:b w:val="false"/>
                <w:color w:val="000000"/>
                <w:sz w:val="13"/>
              </w:rPr>
              <w:t>2</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w:t>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1.Net of estimated deferred tax liability.</w:t>
      </w:r>
    </w:p>
    <w:p>
      <w:pPr>
        <w:pStyle w:val="TextBody"/>
        <w:bidi w:val="0"/>
        <w:spacing w:lineRule="auto" w:line="288" w:before="0" w:after="0"/>
        <w:ind w:left="0" w:right="0" w:hanging="216"/>
        <w:jc w:val="both"/>
        <w:rPr>
          <w:rFonts w:ascii="Times New Roman;sans-serif" w:hAnsi="Times New Roman;sans-serif"/>
          <w:b w:val="false"/>
          <w:color w:val="000000"/>
          <w:sz w:val="16"/>
        </w:rPr>
      </w:pPr>
      <w:r>
        <w:rPr>
          <w:rFonts w:ascii="Times New Roman;sans-serif" w:hAnsi="Times New Roman;sans-serif"/>
          <w:b w:val="false"/>
          <w:color w:val="000000"/>
          <w:sz w:val="16"/>
        </w:rPr>
        <w:t>2.Tax-effected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73685"/>
                <wp:effectExtent l="0" t="0" r="0" b="0"/>
                <wp:wrapNone/>
                <wp:docPr id="83"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200" w:after="12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NON-GAAP FINANCIAL MEASURES (unaudited)</w:t>
      </w:r>
    </w:p>
    <w:tbl>
      <w:tblPr>
        <w:tblW w:w="9262" w:type="dxa"/>
        <w:jc w:val="center"/>
        <w:tblInd w:w="0" w:type="dxa"/>
        <w:tblLayout w:type="fixed"/>
        <w:tblCellMar>
          <w:top w:w="28" w:type="dxa"/>
          <w:left w:w="28" w:type="dxa"/>
          <w:bottom w:w="28" w:type="dxa"/>
          <w:right w:w="28" w:type="dxa"/>
        </w:tblCellMar>
      </w:tblPr>
      <w:tblGrid>
        <w:gridCol w:w="1071"/>
        <w:gridCol w:w="940"/>
        <w:gridCol w:w="944"/>
        <w:gridCol w:w="196"/>
        <w:gridCol w:w="196"/>
        <w:gridCol w:w="196"/>
        <w:gridCol w:w="380"/>
        <w:gridCol w:w="1949"/>
        <w:gridCol w:w="196"/>
        <w:gridCol w:w="196"/>
        <w:gridCol w:w="196"/>
        <w:gridCol w:w="196"/>
        <w:gridCol w:w="380"/>
        <w:gridCol w:w="1949"/>
        <w:gridCol w:w="277"/>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92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Core Loans, Core Loans to Portfolio Loans, </w:t>
              <w:br/>
              <w:t>Core Deposits, Core Deposits to Total Deposits, and Core Loans to Core Deposits</w:t>
            </w:r>
          </w:p>
        </w:tc>
      </w:tr>
      <w:tr>
        <w:trPr/>
        <w:tc>
          <w:tcPr>
            <w:tcW w:w="92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9" w:type="dxa"/>
            <w:gridSpan w:val="9"/>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Portfolio loans</w:t>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7,805,284</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7,725,702</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 loans amortized cost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loans</w:t>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7,804,617 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7,724,857 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Total deposits</w:t>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10,062,755 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10,071,280 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Brokered transaction accounts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of $250,000 or more</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(297,967)</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(120,377)</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2606"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deposits</w:t>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9,758,733 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9,949,600 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20"/>
              </w:rPr>
            </w:pPr>
            <w:r>
              <w:rPr>
                <w:rFonts w:ascii="Times New Roman;sans-serif" w:hAnsi="Times New Roman;sans-serif"/>
                <w:b/>
                <w:color w:val="000000"/>
                <w:sz w:val="20"/>
              </w:rPr>
              <w:t>RATIOS</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loans to portfolio loans</w:t>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w:t>
            </w:r>
          </w:p>
        </w:tc>
        <w:tc>
          <w:tcPr>
            <w:tcW w:w="252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deposits to total deposits</w:t>
            </w:r>
          </w:p>
        </w:tc>
        <w:tc>
          <w:tcPr>
            <w:tcW w:w="5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[d÷c]</w:t>
            </w:r>
          </w:p>
        </w:tc>
        <w:tc>
          <w:tcPr>
            <w:tcW w:w="252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98.79%</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loans to core deposits</w:t>
            </w:r>
          </w:p>
        </w:tc>
        <w:tc>
          <w:tcPr>
            <w:tcW w:w="5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w:t>
            </w:r>
          </w:p>
        </w:tc>
        <w:tc>
          <w:tcPr>
            <w:tcW w:w="252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79.98%</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73685"/>
                <wp:effectExtent l="0" t="0" r="0" b="0"/>
                <wp:wrapNone/>
                <wp:docPr id="84"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200" w:after="20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made in this document, other than those concerning historical financial information, may be considered forward-looking statements within the meaning of the Private Securities Litigation Reform Act of 1995 with respect to Busey’s financial condition, results of operations, plans, objectives, future performance, and business. Forward-looking statements, which may be based upon beliefs, expectations, and assumptions of Busey’s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state, national, and international economy (including effects of inflationary pressures and supply chain constraints); (ii) the economic impact of any future terrorist threats or attacks, widespread disease or pandemics (including the Coronavirus Disease 2019 pandemic), or other adverse external events that could cause economic deterioration or instability in credit markets (including Russia’s invasion of Ukraine); (iii) changes in state and federal laws, regulations, and governmental policies concerning Busey’s general business (including changes in response to the recent failures of other banks); (iv) changes in accounting policies and practices (v) changes in interest rates and prepayment rates of Busey’s assets (including the impact of the LIBOR phase-out); (vi) increased competition in the financial services sector (including from non-bank competitors such as credit unions and fintech companies) and the inability to attract new customers; (vii) changes in technology and the ability to develop and maintain secure and reliable electronic systems; (viii) the loss of key executives or associates; (ix) changes in consumer spending; (x) unexpected results of current and/or future acquisitions, which may include failure to realize the anticipated benefits of any acquisition and the possibility that transaction costs may be greater than anticipated; (xi) unexpected outcomes of existing or new litigation involving Busey; (xii) fluctuations in the value of securities held in our securities portfolio; (xiii) concentrations within our loan portfolio, large loans to certain borrowers, and large deposits from certain clients; (xiv) the concentration of large deposits from certain clients who have balances above current FDIC insurance limits and may withdraw deposits to diversify their exposure; (xv) the level of non-performing assets on our balance sheets; (xvi) interruptions involving our information technology and communications systems or third-party servicers; (xvii) breaches or failures of our information security controls or cybersecurity-related incidents; and (xviii) the economic impact of exceptional weather occurrences such as tornadoes, hurricanes, floods, blizzards, and droughts. These risks and uncertainties should be considered in evaluating forward-looking statements and undue reliance should not be placed on such statements. Additional information concerning Busey and our business, including additional factors that could materially affect our financial results, is included in our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00" w:after="200"/>
        <w:jc w:val="both"/>
        <w:rPr/>
      </w:pPr>
      <w:r>
        <w:rPr>
          <w:rFonts w:ascii="Times New Roman;sans-serif" w:hAnsi="Times New Roman;sans-serif"/>
          <w:b w:val="false"/>
          <w:color w:val="000000"/>
          <w:sz w:val="20"/>
        </w:rPr>
        <w:t xml:space="preserve">Busey has established various accounting policies that govern the application of GAAP in the preparation of its unaudited consolidated financial statements. Significant accounting policies are described in </w:t>
      </w:r>
      <w:r>
        <w:rPr>
          <w:color w:val="000000"/>
        </w:rPr>
        <w:t>“</w:t>
      </w:r>
      <w:r>
        <w:fldChar w:fldCharType="begin"/>
      </w:r>
      <w:r>
        <w:rPr>
          <w:rStyle w:val="InternetLink"/>
        </w:rPr>
        <w:instrText xml:space="preserve"> HYPERLINK "https://www.sec.gov/ix?doc=/Archives/edgar/data/0000314489/000031448923000010/buse-20221231.htm" \l "i5887e58b083b4ebe85d5c92e135ca21c_88"</w:instrText>
      </w:r>
      <w:r>
        <w:rPr>
          <w:rStyle w:val="InternetLink"/>
        </w:rPr>
        <w:fldChar w:fldCharType="separate"/>
      </w:r>
      <w:r>
        <w:rPr>
          <w:rStyle w:val="InternetLink"/>
        </w:rPr>
        <w:t>Note</w:t>
      </w:r>
      <w:r>
        <w:rPr>
          <w:rStyle w:val="InternetLink"/>
        </w:rPr>
        <w:fldChar w:fldCharType="end"/>
      </w:r>
      <w:r>
        <w:fldChar w:fldCharType="begin"/>
      </w:r>
      <w:r>
        <w:rPr>
          <w:rStyle w:val="InternetLink"/>
        </w:rPr>
        <w:instrText xml:space="preserve"> HYPERLINK "https://www.sec.gov/ix?doc=/Archives/edgar/data/0000314489/000031448923000010/buse-20221231.htm" \l "i5887e58b083b4ebe85d5c92e135ca21c_88"</w:instrText>
      </w:r>
      <w:r>
        <w:rPr>
          <w:rStyle w:val="InternetLink"/>
        </w:rPr>
        <w:fldChar w:fldCharType="separate"/>
      </w:r>
      <w:r>
        <w:rPr>
          <w:rStyle w:val="InternetLink"/>
        </w:rPr>
        <w:t> </w:t>
      </w:r>
      <w:r>
        <w:rPr>
          <w:rStyle w:val="InternetLink"/>
        </w:rPr>
        <w:fldChar w:fldCharType="end"/>
      </w:r>
      <w:r>
        <w:fldChar w:fldCharType="begin"/>
      </w:r>
      <w:r>
        <w:rPr>
          <w:rStyle w:val="InternetLink"/>
        </w:rPr>
        <w:instrText xml:space="preserve"> HYPERLINK "https://www.sec.gov/ix?doc=/Archives/edgar/data/0000314489/000031448923000010/buse-20221231.htm" \l "i5887e58b083b4ebe85d5c92e135ca21c_88"</w:instrText>
      </w:r>
      <w:r>
        <w:rPr>
          <w:rStyle w:val="InternetLink"/>
        </w:rPr>
        <w:fldChar w:fldCharType="separate"/>
      </w:r>
      <w:r>
        <w:rPr>
          <w:rStyle w:val="InternetLink"/>
        </w:rPr>
        <w:t>1. Significant Accounting Policies</w:t>
      </w:r>
      <w:r>
        <w:rPr>
          <w:rStyle w:val="InternetLink"/>
        </w:rPr>
        <w:fldChar w:fldCharType="end"/>
      </w:r>
      <w:r>
        <w:rPr>
          <w:color w:val="000000"/>
        </w:rPr>
        <w:t xml:space="preserve">” </w:t>
      </w:r>
      <w:r>
        <w:rPr>
          <w:rFonts w:ascii="Times New Roman;sans-serif" w:hAnsi="Times New Roman;sans-serif"/>
          <w:b w:val="false"/>
          <w:color w:val="000000"/>
          <w:sz w:val="20"/>
        </w:rPr>
        <w:t xml:space="preserve">of </w:t>
      </w:r>
      <w:hyperlink r:id="rId29">
        <w:r>
          <w:rPr>
            <w:rStyle w:val="InternetLink"/>
          </w:rPr>
          <w:t>Buse</w:t>
        </w:r>
      </w:hyperlink>
      <w:hyperlink r:id="rId30">
        <w:r>
          <w:rPr>
            <w:rStyle w:val="InternetLink"/>
          </w:rPr>
          <w:t xml:space="preserve">y’s </w:t>
        </w:r>
      </w:hyperlink>
      <w:hyperlink r:id="rId31">
        <w:r>
          <w:rPr>
            <w:rStyle w:val="InternetLink"/>
          </w:rPr>
          <w:t>2022</w:t>
        </w:r>
      </w:hyperlink>
      <w:hyperlink r:id="rId32">
        <w:r>
          <w:rPr>
            <w:rStyle w:val="InternetLink"/>
          </w:rPr>
          <w:t xml:space="preserve"> Annual Report</w:t>
        </w:r>
      </w:hyperlink>
      <w:r>
        <w:rPr>
          <w:rFonts w:ascii="Times New Roman;sans-serif" w:hAnsi="Times New Roman;sans-serif"/>
          <w:b w:val="false"/>
          <w:color w:val="000000"/>
          <w:sz w:val="20"/>
        </w:rPr>
        <w:t>.</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estimates are those that are critical to the portrayal and understanding of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our critical accounting estimates. Management has reviewed these critical accounting estimates and related disclosures with our Audit Committee. The following accounting policies could be deemed critical: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Fair Value of Debt Securities Available for Sale</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Different fair value estimates could result from the use of different judgments and estimates to determine the fair values of securities.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Realized securities gains or losses are reported in the unaudited Consolidated Statements of Income. The cost of securities sold is based on the specific identification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73685"/>
                <wp:effectExtent l="0" t="0" r="0" b="0"/>
                <wp:wrapNone/>
                <wp:docPr id="85"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200" w:after="20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 debt security available for sale is impaired if the fair value of the security declines below its amortized cost basis. To determine the appropriate accounting, we must first determine if we intend to sell the security or if it is more likely than not that we will be required to sell the security before the fair value increases to at least the amortized cost basis. If either of those selling events is expected, we will write down the amortized cost basis of the security to its fair value. This is achieved by writing off any previously recorded allowance related to the debt security, if applicable, and recognizing any incremental impairment through earnings. If we do not intend to sell the security, nor believe it more likely than not that we will be required to sell the security before the fair value recovers to the amortized cost basis, we must determine whether any of the decline in fair value has resulted from a credit loss, or if it is entirely the result of noncredit factors.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the following factors in assessing whether the decline is due to a credit loss:</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Extent to which the fair value is less than the amortized cost basis;</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Payment structure of the debt security and the likelihood of the issuer being able to make payments that increase in the future;</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Failure of the issuer of the security to make scheduled interest or principal payments; and</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Any changes to the rating of the security by a rating agency.</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related to a credit loss must be measured using the discounted cash flow method. Credit loss recognition is limited to the fair value of the security. Impairment is recognized by establishing an allowance for the debt security through the provision for credit losses. Impairment related to noncredit factors is recognized in AOCI, net of applicable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Fair Value of Assets Acquired and Liabilities Assumed in Business Combinations</w:t>
      </w:r>
    </w:p>
    <w:p>
      <w:pPr>
        <w:pStyle w:val="TextBody"/>
        <w:bidi w:val="0"/>
        <w:spacing w:lineRule="auto" w:line="288" w:before="200" w:after="200"/>
        <w:jc w:val="both"/>
        <w:rPr/>
      </w:pPr>
      <w:r>
        <w:rPr>
          <w:rFonts w:ascii="Times New Roman;sans-serif" w:hAnsi="Times New Roman;sans-serif"/>
          <w:b w:val="false"/>
          <w:color w:val="000000"/>
          <w:sz w:val="20"/>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color w:val="000000"/>
        </w:rPr>
        <w:t>“</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as “the price that would be received to sell an asset or paid to transfer a liability in an orderly transaction between market participants at the measurement date.”</w:t>
      </w:r>
    </w:p>
    <w:p>
      <w:pPr>
        <w:pStyle w:val="TextBody"/>
        <w:bidi w:val="0"/>
        <w:spacing w:lineRule="auto" w:line="288" w:before="200" w:after="200"/>
        <w:jc w:val="both"/>
        <w:rPr/>
      </w:pPr>
      <w:r>
        <w:rPr>
          <w:rFonts w:ascii="Times New Roman;sans-serif" w:hAnsi="Times New Roman;sans-serif"/>
          <w:b w:val="false"/>
          <w:color w:val="000000"/>
          <w:sz w:val="20"/>
        </w:rPr>
        <w:t xml:space="preserve">The fair value of a loan portfolio acquired in a business combination generally requires greater levels of management estimates and judgment than other assets acquired or liabilities assumed. Acquired loans are in the scope of ASC Topic 326 </w:t>
      </w:r>
      <w:r>
        <w:rPr>
          <w:color w:val="000000"/>
        </w:rPr>
        <w:t>“</w:t>
      </w:r>
      <w:r>
        <w:rPr>
          <w:rFonts w:ascii="Times New Roman;sans-serif" w:hAnsi="Times New Roman;sans-serif"/>
          <w:b w:val="false"/>
          <w:i/>
          <w:color w:val="000000"/>
          <w:sz w:val="20"/>
        </w:rPr>
        <w:t>Financial Instruments—Credit Losses.”</w:t>
      </w:r>
      <w:r>
        <w:rPr>
          <w:color w:val="000000"/>
        </w:rPr>
        <w:t xml:space="preserve"> </w:t>
      </w:r>
      <w:r>
        <w:rPr>
          <w:rFonts w:ascii="Times New Roman;sans-serif" w:hAnsi="Times New Roman;sans-serif"/>
          <w:b w:val="false"/>
          <w:color w:val="000000"/>
          <w:sz w:val="20"/>
        </w:rPr>
        <w:t>However, the offset to record the allowance on acquired loans at the date of acquisition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we assess the potential for impairment on an annual basis or more frequently if events and circumstances indicate that goodwill might be impaired.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73685"/>
                <wp:effectExtent l="0" t="0" r="0" b="0"/>
                <wp:wrapNone/>
                <wp:docPr id="86"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200" w:after="20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estimates income tax expense based on amounts expected to be owed to federal and state tax jurisdictions. Estimated income tax expense is reported in the unaudited Consolidated Statements of Income. Accrued and deferred taxes, as reported in other assets or other liabilities in the unaudited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calculates the ACL at each reporting date. We recognize an allowance for the lifetime expected credit losses for the amount we do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Busey may not be able to make or obtain such forecasts for the entire life of the financial assets and requires a reversion to historical credit loss information.</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the ACL, management relies predominantly on a disciplined credit review and approval process that extends to the full range of Busey’s credit exposure. The ACL must be determined on a collective (pool) basis when similar risk characteristics exist. On a case-by-case basis, we may conclude a loan should be evaluated on an individual basis based on disparate risk characteristics.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Loans deemed uncollectible are charged against and reduce the ACL. A provision for credit losses is charged to current expense and acts to replenish the ACL in order to maintain the ACL at a level that management deems adequate. Determining the ACL involves significant judgments and assumptions by management. Because of the nature of the judgments and assumptions made by management, actual results may differ from these judgments and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Busey as other types of market risk, such as foreign currency exchange rate risk and commodity price risk, have minimal impact or do not arise in the normal course of Busey’s business activities.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+/-300, and +/-400 basis points.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Busey’s interest rate risk resulting from immediate and sustained changes in interest rates, expressed as a change in net interest income as a percentage of the net interest income calculated in the constant base model, was as follows:</w:t>
      </w:r>
    </w:p>
    <w:tbl>
      <w:tblPr>
        <w:tblW w:w="10072" w:type="dxa"/>
        <w:jc w:val="left"/>
        <w:tblInd w:w="0" w:type="dxa"/>
        <w:tblLayout w:type="fixed"/>
        <w:tblCellMar>
          <w:top w:w="28" w:type="dxa"/>
          <w:left w:w="28" w:type="dxa"/>
          <w:bottom w:w="28" w:type="dxa"/>
          <w:right w:w="28" w:type="dxa"/>
        </w:tblCellMar>
      </w:tblPr>
      <w:tblGrid>
        <w:gridCol w:w="612"/>
        <w:gridCol w:w="539"/>
        <w:gridCol w:w="543"/>
        <w:gridCol w:w="344"/>
        <w:gridCol w:w="346"/>
        <w:gridCol w:w="271"/>
        <w:gridCol w:w="109"/>
        <w:gridCol w:w="109"/>
        <w:gridCol w:w="109"/>
        <w:gridCol w:w="283"/>
        <w:gridCol w:w="283"/>
        <w:gridCol w:w="289"/>
        <w:gridCol w:w="109"/>
        <w:gridCol w:w="109"/>
        <w:gridCol w:w="109"/>
        <w:gridCol w:w="293"/>
        <w:gridCol w:w="293"/>
        <w:gridCol w:w="271"/>
        <w:gridCol w:w="109"/>
        <w:gridCol w:w="109"/>
        <w:gridCol w:w="109"/>
        <w:gridCol w:w="248"/>
        <w:gridCol w:w="248"/>
        <w:gridCol w:w="254"/>
        <w:gridCol w:w="109"/>
        <w:gridCol w:w="109"/>
        <w:gridCol w:w="109"/>
        <w:gridCol w:w="209"/>
        <w:gridCol w:w="209"/>
        <w:gridCol w:w="211"/>
        <w:gridCol w:w="109"/>
        <w:gridCol w:w="109"/>
        <w:gridCol w:w="109"/>
        <w:gridCol w:w="209"/>
        <w:gridCol w:w="209"/>
        <w:gridCol w:w="211"/>
        <w:gridCol w:w="109"/>
        <w:gridCol w:w="109"/>
        <w:gridCol w:w="109"/>
        <w:gridCol w:w="209"/>
        <w:gridCol w:w="209"/>
        <w:gridCol w:w="211"/>
        <w:gridCol w:w="109"/>
        <w:gridCol w:w="109"/>
        <w:gridCol w:w="109"/>
        <w:gridCol w:w="227"/>
        <w:gridCol w:w="227"/>
        <w:gridCol w:w="325"/>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8" w:type="dxa"/>
            <w:gridSpan w:val="45"/>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Year-One: Basis Point Changes</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-400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-300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- 100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+100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+300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+400</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w:t>
            </w:r>
          </w:p>
        </w:tc>
        <w:tc>
          <w:tcPr>
            <w:tcW w:w="271"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271"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73685"/>
                <wp:effectExtent l="0" t="0" r="0" b="0"/>
                <wp:wrapNone/>
                <wp:docPr id="87"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200" w:after="20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06"/>
        <w:gridCol w:w="530"/>
        <w:gridCol w:w="528"/>
        <w:gridCol w:w="342"/>
        <w:gridCol w:w="344"/>
        <w:gridCol w:w="271"/>
        <w:gridCol w:w="109"/>
        <w:gridCol w:w="109"/>
        <w:gridCol w:w="109"/>
        <w:gridCol w:w="280"/>
        <w:gridCol w:w="280"/>
        <w:gridCol w:w="285"/>
        <w:gridCol w:w="109"/>
        <w:gridCol w:w="109"/>
        <w:gridCol w:w="109"/>
        <w:gridCol w:w="342"/>
        <w:gridCol w:w="344"/>
        <w:gridCol w:w="271"/>
        <w:gridCol w:w="109"/>
        <w:gridCol w:w="109"/>
        <w:gridCol w:w="109"/>
        <w:gridCol w:w="245"/>
        <w:gridCol w:w="245"/>
        <w:gridCol w:w="251"/>
        <w:gridCol w:w="109"/>
        <w:gridCol w:w="109"/>
        <w:gridCol w:w="109"/>
        <w:gridCol w:w="206"/>
        <w:gridCol w:w="206"/>
        <w:gridCol w:w="208"/>
        <w:gridCol w:w="109"/>
        <w:gridCol w:w="109"/>
        <w:gridCol w:w="109"/>
        <w:gridCol w:w="206"/>
        <w:gridCol w:w="206"/>
        <w:gridCol w:w="208"/>
        <w:gridCol w:w="109"/>
        <w:gridCol w:w="109"/>
        <w:gridCol w:w="109"/>
        <w:gridCol w:w="242"/>
        <w:gridCol w:w="242"/>
        <w:gridCol w:w="242"/>
        <w:gridCol w:w="109"/>
        <w:gridCol w:w="109"/>
        <w:gridCol w:w="109"/>
        <w:gridCol w:w="224"/>
        <w:gridCol w:w="224"/>
        <w:gridCol w:w="338"/>
      </w:tblGrid>
      <w:tr>
        <w:trPr/>
        <w:tc>
          <w:tcPr>
            <w:tcW w:w="60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1" w:type="dxa"/>
            <w:gridSpan w:val="45"/>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Year-Two: Basis Point Changes</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-400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-300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- 100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+100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+200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+300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+400</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w:t>
            </w:r>
          </w:p>
        </w:tc>
        <w:tc>
          <w:tcPr>
            <w:tcW w:w="271"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271" w:type="dxa"/>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w:t>
            </w:r>
          </w:p>
        </w:tc>
      </w:tr>
    </w:tbl>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of our disclosure controls and procedures, as defined in Rule 13a-15(e) under the Exchange Act, was carried out as of June 30, 2023, under the supervision and with the participation of our Chief Executive Officer, Chief Financial Officer, and several other members of our senior management. Based on this evaluation, our Chief Executive Officer and Chief Financial Officer concluded that, as of June 30, 2023,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pStyle w:val="TextBody"/>
        <w:bidi w:val="0"/>
        <w:spacing w:lineRule="auto" w:line="288" w:before="200" w:after="20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no change occurred in our internal control over financial reporting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73685"/>
                <wp:effectExtent l="0" t="0" r="0" b="0"/>
                <wp:wrapNone/>
                <wp:docPr id="88" name="Frame8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200" w:after="20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ordinary course of business, First Busey Corporation and its subsidiaries are parties to litigation that is incidental to their regular business activities.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material pending litigation, other than ordinary routine litigation incidental to its business, in which First Busey Corporation or any of its subsidiaries is involved or of which any of their property is the subject. Furthermore, there is no pending legal proceeding that is adverse to Busey in which any director, officer, or affiliate of Busey, or any associate of any such director or officer, is a party, or has a material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00"/>
        <w:jc w:val="both"/>
        <w:rPr/>
      </w:pPr>
      <w:r>
        <w:rPr>
          <w:rFonts w:ascii="Times New Roman;sans-serif" w:hAnsi="Times New Roman;sans-serif"/>
          <w:b w:val="false"/>
          <w:color w:val="000000"/>
          <w:sz w:val="20"/>
        </w:rPr>
        <w:t xml:space="preserve">There have been no material changes to the risk factors disclosed in </w:t>
      </w:r>
      <w:r>
        <w:fldChar w:fldCharType="begin"/>
      </w:r>
      <w:r>
        <w:rPr>
          <w:rStyle w:val="InternetLink"/>
          <w:sz w:val="20"/>
          <w:i/>
          <w:u w:val="single"/>
          <w:b w:val="false"/>
          <w:rFonts w:ascii="Times New Roman;sans-serif" w:hAnsi="Times New Roman;sans-serif"/>
          <w:color w:val="0000FF"/>
        </w:rPr>
        <w:instrText xml:space="preserve"> HYPERLINK "https://www.sec.gov/ix?doc=/Archives/edgar/data/0000314489/000031448923000010/buse-20221231.htm" \l "i5887e58b083b4ebe85d5c92e135ca21c_19"</w:instrText>
      </w:r>
      <w:r>
        <w:rPr>
          <w:rStyle w:val="InternetLink"/>
          <w:sz w:val="20"/>
          <w:i/>
          <w:u w:val="single"/>
          <w:b w:val="false"/>
          <w:rFonts w:ascii="Times New Roman;sans-serif" w:hAnsi="Times New Roman;sans-serif"/>
          <w:color w:val="0000FF"/>
        </w:rPr>
        <w:fldChar w:fldCharType="separate"/>
      </w:r>
      <w:r>
        <w:rPr>
          <w:rStyle w:val="InternetLink"/>
          <w:rFonts w:ascii="Times New Roman;sans-serif" w:hAnsi="Times New Roman;sans-serif"/>
          <w:b w:val="false"/>
          <w:i/>
          <w:color w:val="0000FF"/>
          <w:sz w:val="20"/>
          <w:u w:val="single"/>
        </w:rPr>
        <w:t>Part I—Item 1A</w:t>
      </w:r>
      <w:r>
        <w:rPr>
          <w:rStyle w:val="InternetLink"/>
          <w:sz w:val="20"/>
          <w:i/>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of </w:t>
      </w:r>
      <w:hyperlink r:id="rId33">
        <w:r>
          <w:rPr>
            <w:rStyle w:val="InternetLink"/>
          </w:rPr>
          <w:t xml:space="preserve">Busey’s </w:t>
        </w:r>
      </w:hyperlink>
      <w:hyperlink r:id="rId34">
        <w:r>
          <w:rPr>
            <w:rStyle w:val="InternetLink"/>
          </w:rPr>
          <w:t>2022</w:t>
        </w:r>
      </w:hyperlink>
      <w:hyperlink r:id="rId35">
        <w:r>
          <w:rPr>
            <w:rStyle w:val="InternetLink"/>
          </w:rPr>
          <w:t xml:space="preserve"> Annual Report</w:t>
        </w:r>
      </w:hyperlink>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3, 2015, Busey’s board of directors authorized the Company to repurchase up to an aggregate of 666,667 shares of its common stock. The repurchase plan has no expiration date, and has been amended to increase the number of shares available for repurchase as follows:</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On May 22, 2019, Busey’s board of directors approved an amendment to increase the authorized shares under the repurchase plan by 1,000,000 shares.</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On February 5, 2020, Busey’s board of directors approved an amendment to increase the authorized shares under the repurchase plan by an additional 2,000,000 shares.</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On May 24, 2023, Busey’s board of directors approved an amendment to increase the authorized shares under the repurchase plan by an additional 2,000,000 shares.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2023, Busey purchased 20,000 shares under the repurchase plan. As of June 30, 2023, the Company had 2,102,210 shares that may still be purchased under the plan.</w:t>
      </w:r>
    </w:p>
    <w:tbl>
      <w:tblPr>
        <w:tblW w:w="10205" w:type="dxa"/>
        <w:jc w:val="left"/>
        <w:tblInd w:w="0" w:type="dxa"/>
        <w:tblLayout w:type="fixed"/>
        <w:tblCellMar>
          <w:top w:w="28" w:type="dxa"/>
          <w:left w:w="28" w:type="dxa"/>
          <w:bottom w:w="28" w:type="dxa"/>
          <w:right w:w="28" w:type="dxa"/>
        </w:tblCellMar>
      </w:tblPr>
      <w:tblGrid>
        <w:gridCol w:w="475"/>
        <w:gridCol w:w="418"/>
        <w:gridCol w:w="425"/>
        <w:gridCol w:w="109"/>
        <w:gridCol w:w="109"/>
        <w:gridCol w:w="109"/>
        <w:gridCol w:w="438"/>
        <w:gridCol w:w="438"/>
        <w:gridCol w:w="439"/>
        <w:gridCol w:w="109"/>
        <w:gridCol w:w="109"/>
        <w:gridCol w:w="109"/>
        <w:gridCol w:w="759"/>
        <w:gridCol w:w="515"/>
        <w:gridCol w:w="394"/>
        <w:gridCol w:w="109"/>
        <w:gridCol w:w="109"/>
        <w:gridCol w:w="109"/>
        <w:gridCol w:w="730"/>
        <w:gridCol w:w="730"/>
        <w:gridCol w:w="732"/>
        <w:gridCol w:w="109"/>
        <w:gridCol w:w="109"/>
        <w:gridCol w:w="109"/>
        <w:gridCol w:w="742"/>
        <w:gridCol w:w="686"/>
        <w:gridCol w:w="976"/>
      </w:tblGrid>
      <w:tr>
        <w:trPr/>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Price Paid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color w:val="000000"/>
                <w:sz w:val="16"/>
              </w:rPr>
            </w:pPr>
            <w:r>
              <w:rPr>
                <w:rFonts w:ascii="Times New Roman;sans-serif" w:hAnsi="Times New Roman;sans-serif"/>
                <w:b/>
                <w:color w:val="000000"/>
                <w:sz w:val="16"/>
              </w:rPr>
              <w:t>Maximum Number of Shares That May Yet Be Purchased Under the Plans or Programs</w:t>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4"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4"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4"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122,210</w:t>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2,122,210</w:t>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shd w:fill="CCEE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shd w:fill="CCEE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2,102,210</w:t>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4"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4"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4"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4"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4"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4" w:type="dxa"/>
            <w:gridSpan w:val="3"/>
            <w:tcBorders/>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shd w:fill="FFFFFF" w:val="clear"/>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5"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June 30,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73685"/>
                <wp:effectExtent l="0" t="0" r="0" b="0"/>
                <wp:wrapNone/>
                <wp:docPr id="89" name="Frame8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62"/>
        <w:gridCol w:w="231"/>
        <w:gridCol w:w="232"/>
        <w:gridCol w:w="109"/>
        <w:gridCol w:w="109"/>
        <w:gridCol w:w="109"/>
        <w:gridCol w:w="1476"/>
        <w:gridCol w:w="835"/>
        <w:gridCol w:w="838"/>
        <w:gridCol w:w="109"/>
        <w:gridCol w:w="109"/>
        <w:gridCol w:w="109"/>
        <w:gridCol w:w="366"/>
        <w:gridCol w:w="366"/>
        <w:gridCol w:w="367"/>
        <w:gridCol w:w="110"/>
        <w:gridCol w:w="110"/>
        <w:gridCol w:w="110"/>
        <w:gridCol w:w="184"/>
        <w:gridCol w:w="184"/>
        <w:gridCol w:w="185"/>
        <w:gridCol w:w="110"/>
        <w:gridCol w:w="110"/>
        <w:gridCol w:w="110"/>
        <w:gridCol w:w="311"/>
        <w:gridCol w:w="311"/>
        <w:gridCol w:w="315"/>
        <w:gridCol w:w="110"/>
        <w:gridCol w:w="110"/>
        <w:gridCol w:w="110"/>
        <w:gridCol w:w="311"/>
        <w:gridCol w:w="311"/>
        <w:gridCol w:w="312"/>
        <w:gridCol w:w="109"/>
        <w:gridCol w:w="109"/>
        <w:gridCol w:w="109"/>
        <w:gridCol w:w="242"/>
        <w:gridCol w:w="242"/>
        <w:gridCol w:w="353"/>
      </w:tblGrid>
      <w:tr>
        <w:trPr/>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herein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16"/>
              </w:rPr>
              <w:t>Filing Entity</w:t>
            </w:r>
            <w:r>
              <w:rPr>
                <w:rFonts w:ascii="Times New Roman;sans-serif" w:hAnsi="Times New Roman;sans-serif"/>
                <w:b/>
                <w:color w:val="000000"/>
                <w:sz w:val="10"/>
              </w:rPr>
              <w:t>1</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ans-serif" w:hAnsi="Times New Roman;sans-serif"/>
                <w:color w:val="0000FF"/>
              </w:rPr>
              <w:instrText xml:space="preserve"> HYPERLINK "https://www.sec.gov/ix?doc=/Archives/edgar/data/0000314489/000110465923045566/tm231845d3_def14a.htm" \l "tAPA"</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First Busey Corporation Amended 2020 Equity Incentive Plan</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BUSE</w:t>
              <w:br/>
              <w:t>(0-15950)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DEF 14A</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04/14/2023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ans-serif" w:hAnsi="Times New Roman;sans-serif"/>
                  <w:b w:val="false"/>
                  <w:color w:val="0000FF"/>
                  <w:sz w:val="20"/>
                  <w:u w:val="single"/>
                </w:rPr>
                <w:t>Form of Restricted Stock Unit Award Agreement under the First Busey Corporation Amended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BUSE</w:t>
              <w:br/>
              <w:t>(333-272268)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ans-serif" w:hAnsi="Times New Roman;sans-serif"/>
                  <w:b w:val="false"/>
                  <w:color w:val="0000FF"/>
                  <w:sz w:val="20"/>
                  <w:u w:val="single"/>
                </w:rPr>
                <w:t>Form of Performance-Based Restricted Stock Unit Award Agreement under the First Busey Corporation Amended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BUSE</w:t>
              <w:br/>
              <w:t>(333-272268)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ans-serif" w:hAnsi="Times New Roman;sans-serif"/>
                  <w:b w:val="false"/>
                  <w:color w:val="0000FF"/>
                  <w:sz w:val="20"/>
                  <w:u w:val="single"/>
                </w:rPr>
                <w:t>Form of Director Deferred Stock Unit Award Agreement under the First Busey Corporation Amended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BUSE</w:t>
              <w:br/>
              <w:t>(333-272268)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use_20230630xex311.htm">
              <w:r>
                <w:rPr>
                  <w:rStyle w:val="InternetLink"/>
                  <w:rFonts w:ascii="Times New Roman;sans-serif" w:hAnsi="Times New Roman;sans-serif"/>
                  <w:b w:val="false"/>
                  <w:color w:val="0000EE"/>
                  <w:sz w:val="20"/>
                  <w:u w:val="single"/>
                </w:rPr>
                <w:t>Certification of Principal Executive Officer,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5" w:before="0" w:after="0"/>
              <w:jc w:val="both"/>
              <w:rPr/>
            </w:pPr>
            <w:hyperlink w:anchor="buse_20230630xex312.htm">
              <w:r>
                <w:rPr>
                  <w:rStyle w:val="InternetLink"/>
                  <w:rFonts w:ascii="Times New Roman;sans-serif" w:hAnsi="Times New Roman;sans-serif"/>
                  <w:b w:val="false"/>
                  <w:color w:val="0000EE"/>
                  <w:sz w:val="20"/>
                  <w:u w:val="single"/>
                </w:rPr>
                <w:t>Certification of Principal Financial Officer, pursuant to Rule 13a-14(a) and Rule 15d-14(a)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use_20230630xex321.htm">
              <w:r>
                <w:rPr>
                  <w:rStyle w:val="InternetLink"/>
                  <w:rFonts w:ascii="Times New Roman;sans-serif" w:hAnsi="Times New Roman;sans-serif"/>
                  <w:b w:val="false"/>
                  <w:color w:val="0000EE"/>
                  <w:sz w:val="20"/>
                  <w:u w:val="single"/>
                </w:rPr>
                <w:t>Certification pursuant to 18 U.S.C. Section 1350, as adopted pursuant to Section 906 of the Sarbanes-Oxley Act of 2002, from First Busey’s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buse_20230630xex322.htm">
              <w:r>
                <w:rPr>
                  <w:rStyle w:val="InternetLink"/>
                  <w:rFonts w:ascii="Times New Roman;sans-serif" w:hAnsi="Times New Roman;sans-serif"/>
                  <w:b w:val="false"/>
                  <w:color w:val="0000EE"/>
                  <w:sz w:val="20"/>
                  <w:u w:val="single"/>
                </w:rPr>
                <w:t>Certification pursuant to 18 U.S.C. Section 1350, as adopted pursuant to Section 906 of the Sarbanes-Oxley Act of 2002, from First Busey’s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lineRule="auto" w:line="285"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0"/>
        <w:gridCol w:w="207"/>
        <w:gridCol w:w="208"/>
        <w:gridCol w:w="109"/>
        <w:gridCol w:w="109"/>
        <w:gridCol w:w="109"/>
        <w:gridCol w:w="1976"/>
        <w:gridCol w:w="1936"/>
        <w:gridCol w:w="194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9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5" w:type="dxa"/>
            <w:gridSpan w:val="3"/>
            <w:tcBorders/>
            <w:tcMar>
              <w:top w:w="0" w:type="dxa"/>
              <w:left w:w="0" w:type="dxa"/>
              <w:bottom w:w="0" w:type="dxa"/>
              <w:right w:w="0" w:type="dxa"/>
            </w:tcMar>
            <w:vAlign w:val="center"/>
          </w:tcPr>
          <w:p>
            <w:pPr>
              <w:pStyle w:val="TableContents"/>
              <w:bidi w:val="0"/>
              <w:spacing w:lineRule="auto" w:line="285"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200" w:after="200"/>
        <w:jc w:val="left"/>
        <w:rPr/>
      </w:pPr>
      <w:hyperlink w:anchor="id8e9505b4b634662becfd501b907f7ad_62">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Exchange Act, the Registrant has duly caused this report to be signed on its behalf by the undersigned thereunto duly authorized.</w:t>
      </w:r>
    </w:p>
    <w:tbl>
      <w:tblPr>
        <w:tblW w:w="7777" w:type="dxa"/>
        <w:jc w:val="left"/>
        <w:tblInd w:w="0" w:type="dxa"/>
        <w:tblLayout w:type="fixed"/>
        <w:tblCellMar>
          <w:top w:w="28" w:type="dxa"/>
          <w:left w:w="28" w:type="dxa"/>
          <w:bottom w:w="28" w:type="dxa"/>
          <w:right w:w="28" w:type="dxa"/>
        </w:tblCellMar>
      </w:tblPr>
      <w:tblGrid>
        <w:gridCol w:w="667"/>
        <w:gridCol w:w="587"/>
        <w:gridCol w:w="590"/>
        <w:gridCol w:w="453"/>
        <w:gridCol w:w="453"/>
        <w:gridCol w:w="453"/>
        <w:gridCol w:w="1336"/>
        <w:gridCol w:w="1336"/>
        <w:gridCol w:w="190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593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FIRST BUSEY CORPORATION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574"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VAN A. DUKEMAN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 A. Dukeman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b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574"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D. JONES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D. Jones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574"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A. PHILLIPS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A. Phillips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Controller and Principal Accounting Officer</w:t>
              <w:b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73685"/>
                <wp:effectExtent l="0" t="0" r="0" b="0"/>
                <wp:wrapNone/>
                <wp:docPr id="92" name="Frame9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 OF PRINCIPAL EXECUTIVE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Van A. Dukeman, Chairman, President and Chief Executive Officer of First Busey Corporation,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First Busey Corporation;</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240" w:after="283"/>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0"/>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240" w:after="283"/>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0"/>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pPr>
      <w:r>
        <w:rPr>
          <w:rFonts w:ascii="Times New Roman;sans-serif" w:hAnsi="Times New Roman;sans-serif"/>
          <w:b w:val="false"/>
          <w:color w:val="000000"/>
          <w:sz w:val="22"/>
        </w:rPr>
        <w:t>5)</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bl>
      <w:tblPr>
        <w:tblW w:w="4436" w:type="dxa"/>
        <w:jc w:val="left"/>
        <w:tblInd w:w="0" w:type="dxa"/>
        <w:tblLayout w:type="fixed"/>
        <w:tblCellMar>
          <w:top w:w="28" w:type="dxa"/>
          <w:left w:w="28" w:type="dxa"/>
          <w:bottom w:w="28" w:type="dxa"/>
          <w:right w:w="28" w:type="dxa"/>
        </w:tblCellMar>
      </w:tblPr>
      <w:tblGrid>
        <w:gridCol w:w="124"/>
        <w:gridCol w:w="109"/>
        <w:gridCol w:w="109"/>
        <w:gridCol w:w="1196"/>
        <w:gridCol w:w="1196"/>
        <w:gridCol w:w="1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VAN A. DUKEMAN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 A. Dukeman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 OF PRINCIPAL FINANCIAL OFFICER</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Jeffrey D. Jones, Chief Financial Officer of First Busey Corporation,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First Busey Corporation;</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366" w:type="dxa"/>
        <w:jc w:val="left"/>
        <w:tblInd w:w="0" w:type="dxa"/>
        <w:tblLayout w:type="fixed"/>
        <w:tblCellMar>
          <w:top w:w="28" w:type="dxa"/>
          <w:left w:w="28" w:type="dxa"/>
          <w:bottom w:w="28" w:type="dxa"/>
          <w:right w:w="28" w:type="dxa"/>
        </w:tblCellMar>
      </w:tblPr>
      <w:tblGrid>
        <w:gridCol w:w="124"/>
        <w:gridCol w:w="109"/>
        <w:gridCol w:w="109"/>
        <w:gridCol w:w="592"/>
        <w:gridCol w:w="592"/>
        <w:gridCol w:w="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D. JONES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D. Jones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pStyle w:val="TextBody"/>
        <w:bidi w:val="0"/>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hereby certify, pursuant to 18 U.S.C. Section 1350, as adopted pursuant to Section 906 of the Sarbanes-Oxley Act of 2002, that the accompanying Quarterly Report of First Busey Corporation on Form 10-Q for the quarter ended June 30, 2023,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tbl>
      <w:tblPr>
        <w:tblW w:w="4436" w:type="dxa"/>
        <w:jc w:val="left"/>
        <w:tblInd w:w="0" w:type="dxa"/>
        <w:tblLayout w:type="fixed"/>
        <w:tblCellMar>
          <w:top w:w="28" w:type="dxa"/>
          <w:left w:w="28" w:type="dxa"/>
          <w:bottom w:w="28" w:type="dxa"/>
          <w:right w:w="28" w:type="dxa"/>
        </w:tblCellMar>
      </w:tblPr>
      <w:tblGrid>
        <w:gridCol w:w="124"/>
        <w:gridCol w:w="109"/>
        <w:gridCol w:w="109"/>
        <w:gridCol w:w="1196"/>
        <w:gridCol w:w="1196"/>
        <w:gridCol w:w="1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VAN A. DUKEMAN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 A. Dukeman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President and Chief Executive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pStyle w:val="TextBody"/>
        <w:bidi w:val="0"/>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hereby certify, pursuant to 18 U.S.C. Section 1350, as adopted pursuant to Section 906 of the Sarbanes-Oxley Act of 2002, that the accompanying Quarterly Report of First Busey Corporation on Form 10-Q for the quarter ended June 30, 2023,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tbl>
      <w:tblPr>
        <w:tblW w:w="2366" w:type="dxa"/>
        <w:jc w:val="left"/>
        <w:tblInd w:w="0" w:type="dxa"/>
        <w:tblLayout w:type="fixed"/>
        <w:tblCellMar>
          <w:top w:w="28" w:type="dxa"/>
          <w:left w:w="28" w:type="dxa"/>
          <w:bottom w:w="28" w:type="dxa"/>
          <w:right w:w="28" w:type="dxa"/>
        </w:tblCellMar>
      </w:tblPr>
      <w:tblGrid>
        <w:gridCol w:w="124"/>
        <w:gridCol w:w="109"/>
        <w:gridCol w:w="109"/>
        <w:gridCol w:w="592"/>
        <w:gridCol w:w="592"/>
        <w:gridCol w:w="8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D. JONES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D. Jones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p>
      <w:pPr>
        <w:pStyle w:val="TextBody"/>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314489/000031448923000010/buse-20221231.htm" TargetMode="External"/><Relationship Id="rId3" Type="http://schemas.openxmlformats.org/officeDocument/2006/relationships/hyperlink" Target="https://www.sec.gov/Archives/edgar/data/314489/000104746920002220/a2241264zdef14a.htm" TargetMode="External"/><Relationship Id="rId4" Type="http://schemas.openxmlformats.org/officeDocument/2006/relationships/hyperlink" Target="https://www.sec.gov/Archives/edgar/data/314489/000104746920002220/a2241264zdef14a.htm" TargetMode="External"/><Relationship Id="rId5" Type="http://schemas.openxmlformats.org/officeDocument/2006/relationships/hyperlink" Target="https://www.sec.gov/Archives/edgar/data/314489/000104746920002220/a2241264zdef14a.htm" TargetMode="External"/><Relationship Id="rId6" Type="http://schemas.openxmlformats.org/officeDocument/2006/relationships/hyperlink" Target="https://www.sec.gov/Archives/edgar/data/314489/000104746920002220/a2241264zdef14a.htm" TargetMode="External"/><Relationship Id="rId7" Type="http://schemas.openxmlformats.org/officeDocument/2006/relationships/hyperlink" Target="https://www.sec.gov/ix?doc=/Archives/edgar/data/0000314489/000110465923045566/tm231845d3_def14a.htm" TargetMode="External"/><Relationship Id="rId8" Type="http://schemas.openxmlformats.org/officeDocument/2006/relationships/hyperlink" Target="https://www.sec.gov/ix?doc=/Archives/edgar/data/0000314489/000110465923045566/tm231845d3_def14a.htm" TargetMode="External"/><Relationship Id="rId9" Type="http://schemas.openxmlformats.org/officeDocument/2006/relationships/hyperlink" Target="https://www.sec.gov/ix?doc=/Archives/edgar/data/0000314489/000110465923045566/tm231845d3_def14a.htm" TargetMode="External"/><Relationship Id="rId10" Type="http://schemas.openxmlformats.org/officeDocument/2006/relationships/hyperlink" Target="https://www.sec.gov/ix?doc=/Archives/edgar/data/0000314489/000110465923045566/tm231845d3_def14a.htm" TargetMode="External"/><Relationship Id="rId11" Type="http://schemas.openxmlformats.org/officeDocument/2006/relationships/hyperlink" Target="https://www.sec.gov/Archives/edgar/data/314489/000110465921048078/tm212379-1_def14a.htm" TargetMode="External"/><Relationship Id="rId12" Type="http://schemas.openxmlformats.org/officeDocument/2006/relationships/hyperlink" Target="https://www.sec.gov/Archives/edgar/data/314489/000110465921048078/tm212379-1_def14a.htm" TargetMode="External"/><Relationship Id="rId13" Type="http://schemas.openxmlformats.org/officeDocument/2006/relationships/hyperlink" Target="https://www.sec.gov/ix?doc=/Archives/edgar/data/0000314489/000031448923000010/buse-20221231.htm" TargetMode="External"/><Relationship Id="rId14" Type="http://schemas.openxmlformats.org/officeDocument/2006/relationships/hyperlink" Target="https://www.sec.gov/ix?doc=/Archives/edgar/data/0000314489/000031448923000010/buse-20221231.htm" TargetMode="External"/><Relationship Id="rId15" Type="http://schemas.openxmlformats.org/officeDocument/2006/relationships/hyperlink" Target="https://www.sec.gov/ix?doc=/Archives/edgar/data/0000314489/000031448923000010/buse-20221231.htm" TargetMode="External"/><Relationship Id="rId16" Type="http://schemas.openxmlformats.org/officeDocument/2006/relationships/hyperlink" Target="https://www.sec.gov/ix?doc=/Archives/edgar/data/0000314489/000031448923000010/buse-20221231.htm" TargetMode="External"/><Relationship Id="rId17" Type="http://schemas.openxmlformats.org/officeDocument/2006/relationships/hyperlink" Target="https://www.sec.gov/ix?doc=/Archives/edgar/data/0000314489/000031448923000010/buse-20221231.htm" TargetMode="External"/><Relationship Id="rId18" Type="http://schemas.openxmlformats.org/officeDocument/2006/relationships/hyperlink" Target="https://www.sec.gov/ix?doc=/Archives/edgar/data/0000314489/000031448923000010/buse-20221231.htm" TargetMode="External"/><Relationship Id="rId19" Type="http://schemas.openxmlformats.org/officeDocument/2006/relationships/hyperlink" Target="https://www.sec.gov/ix?doc=/Archives/edgar/data/0000314489/000031448923000010/buse-20221231.htm" TargetMode="External"/><Relationship Id="rId20" Type="http://schemas.openxmlformats.org/officeDocument/2006/relationships/hyperlink" Target="https://www.sec.gov/ix?doc=/Archives/edgar/data/0000314489/000031448923000010/buse-20221231.htm" TargetMode="External"/><Relationship Id="rId21" Type="http://schemas.openxmlformats.org/officeDocument/2006/relationships/hyperlink" Target="https://www.sec.gov/ix?doc=/Archives/edgar/data/0000314489/000031448923000010/buse-20221231.htm" TargetMode="External"/><Relationship Id="rId22" Type="http://schemas.openxmlformats.org/officeDocument/2006/relationships/hyperlink" Target="https://www.sec.gov/ix?doc=/Archives/edgar/data/0000314489/000031448923000010/buse-20221231.htm" TargetMode="External"/><Relationship Id="rId23" Type="http://schemas.openxmlformats.org/officeDocument/2006/relationships/hyperlink" Target="https://www.sec.gov/ix?doc=/Archives/edgar/data/0000314489/000031448923000010/buse-20221231.htm" TargetMode="External"/><Relationship Id="rId24" Type="http://schemas.openxmlformats.org/officeDocument/2006/relationships/hyperlink" Target="https://www.sec.gov/ix?doc=/Archives/edgar/data/0000314489/000031448923000010/buse-20221231.htm" TargetMode="External"/><Relationship Id="rId25" Type="http://schemas.openxmlformats.org/officeDocument/2006/relationships/hyperlink" Target="https://www.sec.gov/ix?doc=/Archives/edgar/data/0000314489/000031448923000010/buse-20221231.htm" TargetMode="External"/><Relationship Id="rId26" Type="http://schemas.openxmlformats.org/officeDocument/2006/relationships/hyperlink" Target="https://www.sec.gov/ix?doc=/Archives/edgar/data/0000314489/000031448923000010/buse-20221231.htm" TargetMode="External"/><Relationship Id="rId27" Type="http://schemas.openxmlformats.org/officeDocument/2006/relationships/hyperlink" Target="https://www.sec.gov/ix?doc=/Archives/edgar/data/0000314489/000031448923000010/buse-20221231.htm" TargetMode="External"/><Relationship Id="rId28" Type="http://schemas.openxmlformats.org/officeDocument/2006/relationships/hyperlink" Target="https://www.sec.gov/ix?doc=/Archives/edgar/data/0000314489/000031448923000010/buse-20221231.htm" TargetMode="External"/><Relationship Id="rId29" Type="http://schemas.openxmlformats.org/officeDocument/2006/relationships/hyperlink" Target="https://www.sec.gov/ix?doc=/Archives/edgar/data/0000314489/000031448923000010/buse-20221231.htm" TargetMode="External"/><Relationship Id="rId30" Type="http://schemas.openxmlformats.org/officeDocument/2006/relationships/hyperlink" Target="https://www.sec.gov/ix?doc=/Archives/edgar/data/0000314489/000031448923000010/buse-20221231.htm" TargetMode="External"/><Relationship Id="rId31" Type="http://schemas.openxmlformats.org/officeDocument/2006/relationships/hyperlink" Target="https://www.sec.gov/ix?doc=/Archives/edgar/data/0000314489/000031448923000010/buse-20221231.htm" TargetMode="External"/><Relationship Id="rId32" Type="http://schemas.openxmlformats.org/officeDocument/2006/relationships/hyperlink" Target="https://www.sec.gov/ix?doc=/Archives/edgar/data/0000314489/000031448923000010/buse-20221231.htm" TargetMode="External"/><Relationship Id="rId33" Type="http://schemas.openxmlformats.org/officeDocument/2006/relationships/hyperlink" Target="https://www.sec.gov/ix?doc=/Archives/edgar/data/0000314489/000031448923000010/buse-20221231.htm" TargetMode="External"/><Relationship Id="rId34" Type="http://schemas.openxmlformats.org/officeDocument/2006/relationships/hyperlink" Target="https://www.sec.gov/ix?doc=/Archives/edgar/data/0000314489/000031448923000010/buse-20221231.htm" TargetMode="External"/><Relationship Id="rId35" Type="http://schemas.openxmlformats.org/officeDocument/2006/relationships/hyperlink" Target="https://www.sec.gov/ix?doc=/Archives/edgar/data/0000314489/000031448923000010/buse-20221231.htm" TargetMode="External"/><Relationship Id="rId36" Type="http://schemas.openxmlformats.org/officeDocument/2006/relationships/hyperlink" Target="https://www.sec.gov/Archives/edgar/data/314489/000031448923000069/buse_20230530xex45.htm" TargetMode="External"/><Relationship Id="rId37" Type="http://schemas.openxmlformats.org/officeDocument/2006/relationships/hyperlink" Target="https://www.sec.gov/Archives/edgar/data/314489/000031448923000069/buse_20230530xex46.htm" TargetMode="External"/><Relationship Id="rId38" Type="http://schemas.openxmlformats.org/officeDocument/2006/relationships/hyperlink" Target="https://www.sec.gov/Archives/edgar/data/314489/000031448923000069/buse_20230530xex47.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33881</Words>
  <Characters>189279</Characters>
  <CharactersWithSpaces>218021</CharactersWithSpaces>
  <Paragraphs>8869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